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68" w:lineRule="exact"/>
        <w:jc w:val="center"/>
      </w:pPr>
      <w:r>
        <w:rPr>
          <w:rFonts w:ascii="Calibri" w:hAnsi="Calibri"/>
          <w:b/>
          <w:i w:val="0"/>
          <w:sz w:val="32"/>
        </w:rPr>
        <w:t>Report Module 5</w:t>
      </w:r>
    </w:p>
    <w:p>
      <w:pPr>
        <w:keepNext w:val="0"/>
        <w:spacing w:before="0" w:after="80" w:line="299" w:lineRule="exact"/>
        <w:jc w:val="center"/>
      </w:pPr>
      <w:r>
        <w:rPr>
          <w:rFonts w:ascii="Calibri" w:hAnsi="Calibri"/>
          <w:b w:val="0"/>
          <w:i w:val="0"/>
          <w:sz w:val="26"/>
        </w:rPr>
        <w:t>Cyber Terrorism and Information Warfare</w:t>
      </w:r>
    </w:p>
    <w:p>
      <w:pPr>
        <w:keepNext w:val="0"/>
        <w:spacing w:before="0" w:after="40" w:line="253" w:lineRule="exact"/>
        <w:jc w:val="center"/>
      </w:pPr>
      <w:r>
        <w:rPr>
          <w:rFonts w:ascii="Calibri" w:hAnsi="Calibri"/>
          <w:b w:val="0"/>
          <w:i w:val="0"/>
          <w:sz w:val="22"/>
        </w:rPr>
        <w:t>CS 475: Introduction to Computer Security</w:t>
      </w:r>
    </w:p>
    <w:p>
      <w:pPr>
        <w:keepNext w:val="0"/>
        <w:spacing w:before="0" w:after="40" w:line="253" w:lineRule="exact"/>
        <w:jc w:val="center"/>
      </w:pPr>
      <w:r>
        <w:rPr>
          <w:rFonts w:ascii="Calibri" w:hAnsi="Calibri"/>
          <w:b w:val="0"/>
          <w:i w:val="0"/>
          <w:sz w:val="22"/>
        </w:rPr>
        <w:t>Mária Nyolcas  |  Prof: Asen Nikolov Grozdanov</w:t>
      </w:r>
    </w:p>
    <w:p>
      <w:pPr>
        <w:keepNext w:val="0"/>
        <w:spacing w:before="0" w:after="120" w:line="253" w:lineRule="exact"/>
        <w:jc w:val="center"/>
      </w:pPr>
      <w:r>
        <w:rPr>
          <w:rFonts w:ascii="Calibri" w:hAnsi="Calibri"/>
          <w:b w:val="0"/>
          <w:i w:val="0"/>
          <w:sz w:val="22"/>
        </w:rPr>
        <w:t>March 2026</w:t>
      </w:r>
    </w:p>
    <w:p>
      <w:pPr>
        <w:pBdr>
          <w:bottom w:val="single" w:sz="6" w:space="1" w:color="000000"/>
        </w:pBdr>
        <w:spacing w:after="120"/>
      </w:pPr>
    </w:p>
    <w:p>
      <w:pPr>
        <w:spacing w:before="0" w:after="200" w:line="253" w:lineRule="exact"/>
      </w:pPr>
      <w:r>
        <w:rPr>
          <w:rFonts w:ascii="Calibri" w:hAnsi="Calibri"/>
          <w:b/>
          <w:i w:val="0"/>
          <w:sz w:val="22"/>
        </w:rPr>
        <w:t xml:space="preserve">Abstract.  </w:t>
      </w:r>
      <w:r>
        <w:rPr>
          <w:rFonts w:ascii="Calibri" w:hAnsi="Calibri"/>
          <w:b w:val="0"/>
          <w:i w:val="0"/>
          <w:sz w:val="22"/>
        </w:rPr>
        <w:t>This report examines cyber terrorism and information warfare as distinct but overlapping threat categories, combining theoretical analysis with three practical exercises: threat actor mapping using MITRE ATT&amp;CK, an anatomy of a documented disinformation campaign (Operation Secondary Infektion), and the design of a fictional attack scenario against a hospital network with paired countermeasures. The report connects these topics to vulnerability and scanning work from Week 4 and ends with a forward link to industrial espionage.</w:t>
      </w:r>
    </w:p>
    <w:p>
      <w:pPr>
        <w:keepNext/>
        <w:spacing w:before="200" w:after="60" w:line="299" w:lineRule="exact"/>
        <w:pBdr>
          <w:bottom w:val="single" w:sz="4" w:space="2" w:color="000000"/>
        </w:pBdr>
      </w:pPr>
      <w:r>
        <w:rPr>
          <w:rFonts w:ascii="Calibri" w:hAnsi="Calibri"/>
          <w:b/>
          <w:i w:val="0"/>
          <w:sz w:val="26"/>
        </w:rPr>
        <w:t>1  Introduction</w:t>
      </w:r>
    </w:p>
    <w:p>
      <w:pPr>
        <w:keepNext w:val="0"/>
        <w:spacing w:before="0" w:after="120" w:line="253" w:lineRule="exact"/>
      </w:pPr>
      <w:r>
        <w:rPr>
          <w:rFonts w:ascii="Calibri" w:hAnsi="Calibri"/>
          <w:b w:val="0"/>
          <w:i w:val="0"/>
          <w:sz w:val="22"/>
        </w:rPr>
        <w:t>Cyber terrorism and information warfare are two of the most debated concepts in contemporary security. The confusion is partly terminological: the word “terrorism” carries legal and political weight that shapes how incidents are classified, investigated, and attributed. A working definition that cuts through the noise comes from RAND Corporation: cyber terrorism consists of “premeditated, politically motivated attacks against information, computer systems, computer programs, and data which result in violence against non-combatant targets by sub-national groups or clandestine agents.” The key ingredients are intent (political), target (civilian or non-combatant infrastructure), and effect (fear, coercion, or physical disruption through digital means).</w:t>
      </w:r>
    </w:p>
    <w:p>
      <w:pPr>
        <w:keepNext w:val="0"/>
        <w:spacing w:before="0" w:after="120" w:line="253" w:lineRule="exact"/>
      </w:pPr>
      <w:r>
        <w:rPr>
          <w:rFonts w:ascii="Calibri" w:hAnsi="Calibri"/>
          <w:b w:val="0"/>
          <w:i w:val="0"/>
          <w:sz w:val="22"/>
        </w:rPr>
        <w:t>This distinguishes cyber terrorism from two closely related categories. Cybercrime is financially motivated: ransomware gangs, payment card fraud, and cryptocurrency theft are canonical examples. Hacktivism is ideologically motivated but typically non-violent: website defacement and DDoS protests are disruptive but rarely cause lasting physical harm. The boundary between the three is blurry in practice — a ransomware attack on a hospital may simultaneously constitute cybercrime (extortion), potential terrorism (endangering patients), and, if state-sponsored, an act of warfare.</w:t>
      </w:r>
    </w:p>
    <w:p>
      <w:pPr>
        <w:keepNext w:val="0"/>
        <w:spacing w:before="0" w:after="120" w:line="253" w:lineRule="exact"/>
      </w:pPr>
      <w:r>
        <w:rPr>
          <w:rFonts w:ascii="Calibri" w:hAnsi="Calibri"/>
          <w:b w:val="0"/>
          <w:i w:val="0"/>
          <w:sz w:val="22"/>
        </w:rPr>
        <w:t>Information Warfare (IW) predates the internet by centuries; propaganda leaflets dropped from aircraft in WWI are textbook examples. What digital networks changed is scale, speed, and deniability. Modern IW doctrine covers six sub-domains: psychological operations (PSYOP), electronic warfare, cyber operations, deception, OSINT exploitation, and censorship or narrative control. This module sits at the intersection of all six, making it the most cross-cutting topic in the course so far.</w:t>
      </w:r>
    </w:p>
    <w:p>
      <w:pPr>
        <w:keepNext w:val="0"/>
        <w:spacing w:before="0" w:after="200" w:line="253" w:lineRule="exact"/>
      </w:pPr>
      <w:r>
        <w:rPr>
          <w:rFonts w:ascii="Calibri" w:hAnsi="Calibri"/>
          <w:b w:val="0"/>
          <w:i w:val="0"/>
          <w:sz w:val="22"/>
        </w:rPr>
        <w:t>For a computer science student, the relevance is concrete: the same scanning and exploitation techniques studied in Week 4 (Nmap, OpenVAS, CVE analysis) are the operational foundation for the cyber operations sub-domain of IW. The distinction is motivation and scale, not method.</w:t>
      </w:r>
    </w:p>
    <w:p>
      <w:pPr>
        <w:keepNext/>
        <w:spacing w:before="200" w:after="60" w:line="299" w:lineRule="exact"/>
        <w:pBdr>
          <w:bottom w:val="single" w:sz="4" w:space="2" w:color="000000"/>
        </w:pBdr>
      </w:pPr>
      <w:r>
        <w:rPr>
          <w:rFonts w:ascii="Calibri" w:hAnsi="Calibri"/>
          <w:b/>
          <w:i w:val="0"/>
          <w:sz w:val="26"/>
        </w:rPr>
        <w:t>2  Theoretical Framework</w:t>
      </w:r>
    </w:p>
    <w:p>
      <w:pPr>
        <w:keepNext/>
        <w:spacing w:before="120" w:after="60" w:line="253" w:lineRule="exact"/>
      </w:pPr>
      <w:r>
        <w:rPr>
          <w:rFonts w:ascii="Calibri" w:hAnsi="Calibri"/>
          <w:b/>
          <w:i w:val="0"/>
          <w:sz w:val="22"/>
        </w:rPr>
        <w:t>2.1  Actor Taxonomy</w:t>
      </w:r>
    </w:p>
    <w:p>
      <w:pPr>
        <w:keepNext w:val="0"/>
        <w:spacing w:before="0" w:after="80" w:line="253" w:lineRule="exact"/>
      </w:pPr>
      <w:r>
        <w:rPr>
          <w:rFonts w:ascii="Calibri" w:hAnsi="Calibri"/>
          <w:b w:val="0"/>
          <w:i w:val="0"/>
          <w:sz w:val="22"/>
        </w:rPr>
        <w:t>Understanding who conducts cyber terrorism and IW is as important as understanding the technical methods, because the actor type determines capability, persistence, and the likelihood of attribution. Four categories matter for threat modelling:</w:t>
      </w:r>
    </w:p>
    <w:p>
      <w:pPr>
        <w:pStyle w:val="ListBullet"/>
        <w:spacing w:after="60" w:line="253" w:lineRule="exact"/>
        <w:ind w:left="283"/>
      </w:pPr>
      <w:r>
        <w:rPr>
          <w:rFonts w:ascii="Calibri" w:hAnsi="Calibri"/>
          <w:b/>
          <w:i w:val="0"/>
          <w:sz w:val="22"/>
        </w:rPr>
        <w:t>Nation-state APTs</w:t>
      </w:r>
      <w:r>
        <w:rPr>
          <w:rFonts w:ascii="Calibri" w:hAnsi="Calibri"/>
          <w:b w:val="0"/>
          <w:i w:val="0"/>
          <w:sz w:val="22"/>
        </w:rPr>
        <w:t xml:space="preserve"> operate with virtually unlimited resources, long planning horizons, and geopolitical objectives. MITRE ATT&amp;CK documents dozens of these groups with their full TTP profiles.</w:t>
      </w:r>
    </w:p>
    <w:p>
      <w:pPr>
        <w:pStyle w:val="ListBullet"/>
        <w:spacing w:after="60" w:line="253" w:lineRule="exact"/>
        <w:ind w:left="283"/>
      </w:pPr>
      <w:r>
        <w:rPr>
          <w:rFonts w:ascii="Calibri" w:hAnsi="Calibri"/>
          <w:b/>
          <w:i w:val="0"/>
          <w:sz w:val="22"/>
        </w:rPr>
        <w:t>Non-state terrorist organisations</w:t>
      </w:r>
      <w:r>
        <w:rPr>
          <w:rFonts w:ascii="Calibri" w:hAnsi="Calibri"/>
          <w:b w:val="0"/>
          <w:i w:val="0"/>
          <w:sz w:val="22"/>
        </w:rPr>
        <w:t xml:space="preserve"> increasingly use cyber capabilities for recruitment, propaganda distribution, and cryptocurrency fundraising — less often for direct disruption.</w:t>
      </w:r>
    </w:p>
    <w:p>
      <w:pPr>
        <w:pStyle w:val="ListBullet"/>
        <w:spacing w:after="60" w:line="253" w:lineRule="exact"/>
        <w:ind w:left="283"/>
      </w:pPr>
      <w:r>
        <w:rPr>
          <w:rFonts w:ascii="Calibri" w:hAnsi="Calibri"/>
          <w:b/>
          <w:i w:val="0"/>
          <w:sz w:val="22"/>
        </w:rPr>
        <w:t>Hacktivist collectives</w:t>
      </w:r>
      <w:r>
        <w:rPr>
          <w:rFonts w:ascii="Calibri" w:hAnsi="Calibri"/>
          <w:b w:val="0"/>
          <w:i w:val="0"/>
          <w:sz w:val="22"/>
        </w:rPr>
        <w:t xml:space="preserve"> are loosely organised and ideologically driven; their campaigns often blur into IW territory when they amplify disinformation alongside DDoS attacks.</w:t>
      </w:r>
    </w:p>
    <w:p>
      <w:pPr>
        <w:pStyle w:val="ListBullet"/>
        <w:spacing w:after="60" w:line="253" w:lineRule="exact"/>
        <w:ind w:left="283"/>
      </w:pPr>
      <w:r>
        <w:rPr>
          <w:rFonts w:ascii="Calibri" w:hAnsi="Calibri"/>
          <w:b/>
          <w:i w:val="0"/>
          <w:sz w:val="22"/>
        </w:rPr>
        <w:t>Insider threats</w:t>
      </w:r>
      <w:r>
        <w:rPr>
          <w:rFonts w:ascii="Calibri" w:hAnsi="Calibri"/>
          <w:b w:val="0"/>
          <w:i w:val="0"/>
          <w:sz w:val="22"/>
        </w:rPr>
        <w:t xml:space="preserve"> are relevant because, as Week 2’s access-control analysis showed, overly permissive role assignments create the conditions that insiders (and APTs using stolen credentials) exploit.</w:t>
      </w:r>
    </w:p>
    <w:p/>
    <w:p>
      <w:pPr>
        <w:keepNext/>
        <w:spacing w:before="120" w:after="60" w:line="253" w:lineRule="exact"/>
      </w:pPr>
      <w:r>
        <w:rPr>
          <w:rFonts w:ascii="Calibri" w:hAnsi="Calibri"/>
          <w:b/>
          <w:i w:val="0"/>
          <w:sz w:val="22"/>
        </w:rPr>
        <w:t>2.2  Landmark Case Studies</w:t>
      </w:r>
    </w:p>
    <w:p>
      <w:pPr>
        <w:spacing w:before="0" w:after="120" w:line="253" w:lineRule="exact"/>
      </w:pPr>
      <w:r>
        <w:rPr>
          <w:rFonts w:ascii="Calibri" w:hAnsi="Calibri"/>
          <w:b/>
          <w:i w:val="0"/>
          <w:sz w:val="22"/>
        </w:rPr>
        <w:t xml:space="preserve">Estonia 2007.  </w:t>
      </w:r>
      <w:r>
        <w:rPr>
          <w:rFonts w:ascii="Calibri" w:hAnsi="Calibri"/>
          <w:b w:val="0"/>
          <w:i w:val="0"/>
          <w:sz w:val="22"/>
        </w:rPr>
        <w:t>A wave of DDoS attacks paralysed Estonian government, banking, and media websites following a political dispute with Russia over the relocation of a Soviet-era war memorial. This is the first large-scale cyber attack against a nation-state’s digital infrastructure and directly accelerated the creation of NATO CCDCOE in Tallinn. The key takeaway is that even technically unsophisticated attacks (volumetric DDoS) can cause strategic-level disruption if the target lacks redundancy and has not planned for the scenario.</w:t>
      </w:r>
    </w:p>
    <w:p>
      <w:pPr>
        <w:spacing w:before="0" w:after="200" w:line="253" w:lineRule="exact"/>
      </w:pPr>
      <w:r>
        <w:rPr>
          <w:rFonts w:ascii="Calibri" w:hAnsi="Calibri"/>
          <w:b/>
          <w:i w:val="0"/>
          <w:sz w:val="22"/>
        </w:rPr>
        <w:t xml:space="preserve">NotPetya (2017).  </w:t>
      </w:r>
      <w:r>
        <w:rPr>
          <w:rFonts w:ascii="Calibri" w:hAnsi="Calibri"/>
          <w:b w:val="0"/>
          <w:i w:val="0"/>
          <w:sz w:val="22"/>
        </w:rPr>
        <w:t>Initially disguised as ransomware, NotPetya was a wiper — malware designed to permanently destroy data with no recovery mechanism. Attributed to the Sandworm APT group (Russian GRU Unit 74455), it caused an estimated $10 billion in global damages by spreading through a compromised Ukrainian accounting software update (supply-chain initial access), then destroying backups and MBRs across hundreds of organisations worldwide. The takeaway: a cyber weapon can cause catastrophic collateral damage well beyond its intended geographic or organisational target. The CVSS 9.8 vulnerabilities studied in Week 4 (network-reachable, no-preconditions exploits) map directly to how NotPetya spread laterally once inside a network perimeter.</w:t>
      </w:r>
    </w:p>
    <w:p>
      <w:pPr>
        <w:keepNext/>
        <w:spacing w:before="200" w:after="60" w:line="299" w:lineRule="exact"/>
        <w:pBdr>
          <w:bottom w:val="single" w:sz="4" w:space="2" w:color="000000"/>
        </w:pBdr>
      </w:pPr>
      <w:r>
        <w:rPr>
          <w:rFonts w:ascii="Calibri" w:hAnsi="Calibri"/>
          <w:b/>
          <w:i w:val="0"/>
          <w:sz w:val="26"/>
        </w:rPr>
        <w:t>3  Lab Findings</w:t>
      </w:r>
    </w:p>
    <w:p>
      <w:pPr>
        <w:keepNext/>
        <w:spacing w:before="120" w:after="60" w:line="253" w:lineRule="exact"/>
      </w:pPr>
      <w:r>
        <w:rPr>
          <w:rFonts w:ascii="Calibri" w:hAnsi="Calibri"/>
          <w:b/>
          <w:i w:val="0"/>
          <w:sz w:val="22"/>
        </w:rPr>
        <w:t>3.1  Exercise 1: MITRE ATT&amp;CK Threat Actor Mapping</w:t>
      </w:r>
    </w:p>
    <w:p>
      <w:pPr>
        <w:spacing w:before="0" w:after="80" w:line="253" w:lineRule="exact"/>
      </w:pPr>
      <w:r>
        <w:rPr>
          <w:rFonts w:ascii="Calibri" w:hAnsi="Calibri"/>
          <w:b w:val="0"/>
          <w:i w:val="0"/>
          <w:sz w:val="22"/>
        </w:rPr>
        <w:t xml:space="preserve">Using the ATT&amp;CK Navigator, I built heat-map layers for Sandworm Team (APT44, Russian GRU Unit 74455) and Lazarus Group (APT38, North Korea RGB). Structured data is encoded in </w:t>
      </w:r>
      <w:r>
        <w:rPr>
          <w:rFonts w:ascii="Courier New" w:hAnsi="Courier New"/>
          <w:b w:val="0"/>
          <w:i w:val="0"/>
          <w:sz w:val="20"/>
        </w:rPr>
        <w:t>threat_actor_mapping.py</w:t>
      </w:r>
      <w:r>
        <w:rPr>
          <w:rFonts w:ascii="Calibri" w:hAnsi="Calibri"/>
          <w:b w:val="0"/>
          <w:i w:val="0"/>
          <w:sz w:val="22"/>
        </w:rPr>
        <w:t>.</w:t>
      </w:r>
    </w:p>
    <w:p>
      <w:pPr>
        <w:keepNext w:val="0"/>
        <w:spacing w:before="0" w:after="60" w:line="253" w:lineRule="exact"/>
      </w:pPr>
      <w:r>
        <w:rPr>
          <w:rFonts w:ascii="Calibri" w:hAnsi="Calibri"/>
          <w:b/>
          <w:i w:val="0"/>
          <w:sz w:val="22"/>
        </w:rPr>
        <w:t>Five Sandworm techniques selected:</w:t>
      </w:r>
    </w:p>
    <w:tbl>
      <w:tblPr>
        <w:tblStyle w:val="TableGrid"/>
        <w:tblW w:type="auto" w:w="0"/>
        <w:jc w:val="center"/>
        <w:tblLook w:firstColumn="1" w:firstRow="1" w:lastColumn="0" w:lastRow="0" w:noHBand="0" w:noVBand="1" w:val="04A0"/>
      </w:tblPr>
      <w:tblGrid>
        <w:gridCol w:w="3135"/>
        <w:gridCol w:w="3135"/>
        <w:gridCol w:w="3135"/>
      </w:tblGrid>
      <w:tr>
        <w:tc>
          <w:tcPr>
            <w:tcW w:type="dxa" w:w="1361"/>
          </w:tcPr>
          <w:p>
            <w:r>
              <w:rPr>
                <w:rFonts w:ascii="Calibri" w:hAnsi="Calibri"/>
                <w:b/>
                <w:i w:val="0"/>
                <w:sz w:val="20"/>
              </w:rPr>
              <w:t>ID</w:t>
            </w:r>
          </w:p>
        </w:tc>
        <w:tc>
          <w:tcPr>
            <w:tcW w:type="dxa" w:w="2041"/>
          </w:tcPr>
          <w:p>
            <w:r>
              <w:rPr>
                <w:rFonts w:ascii="Calibri" w:hAnsi="Calibri"/>
                <w:b/>
                <w:i w:val="0"/>
                <w:sz w:val="20"/>
              </w:rPr>
              <w:t>Tactic</w:t>
            </w:r>
          </w:p>
        </w:tc>
        <w:tc>
          <w:tcPr>
            <w:tcW w:type="dxa" w:w="5839"/>
          </w:tcPr>
          <w:p>
            <w:r>
              <w:rPr>
                <w:rFonts w:ascii="Calibri" w:hAnsi="Calibri"/>
                <w:b/>
                <w:i w:val="0"/>
                <w:sz w:val="20"/>
              </w:rPr>
              <w:t>Technique / observation</w:t>
            </w:r>
          </w:p>
        </w:tc>
      </w:tr>
      <w:tr>
        <w:tc>
          <w:tcPr>
            <w:tcW w:type="dxa" w:w="1361"/>
          </w:tcPr>
          <w:p>
            <w:r>
              <w:rPr>
                <w:rFonts w:ascii="Courier New" w:hAnsi="Courier New"/>
                <w:b w:val="0"/>
                <w:i w:val="0"/>
                <w:sz w:val="18"/>
              </w:rPr>
              <w:t>T1486</w:t>
            </w:r>
          </w:p>
        </w:tc>
        <w:tc>
          <w:tcPr>
            <w:tcW w:type="dxa" w:w="2041"/>
          </w:tcPr>
          <w:p>
            <w:r>
              <w:rPr>
                <w:rFonts w:ascii="Calibri" w:hAnsi="Calibri"/>
                <w:b w:val="0"/>
                <w:i w:val="0"/>
                <w:sz w:val="20"/>
              </w:rPr>
              <w:t>Impact (TA0040)</w:t>
            </w:r>
          </w:p>
        </w:tc>
        <w:tc>
          <w:tcPr>
            <w:tcW w:type="dxa" w:w="5839"/>
          </w:tcPr>
          <w:p>
            <w:r>
              <w:rPr>
                <w:rFonts w:ascii="Calibri" w:hAnsi="Calibri"/>
                <w:b w:val="0"/>
                <w:i w:val="0"/>
                <w:sz w:val="20"/>
              </w:rPr>
              <w:t>Data Encrypted for Impact — NotPetya/BadRabbit: encryption is cover for destruction, no recovery key exists</w:t>
            </w:r>
          </w:p>
        </w:tc>
      </w:tr>
      <w:tr>
        <w:tc>
          <w:tcPr>
            <w:tcW w:type="dxa" w:w="1361"/>
          </w:tcPr>
          <w:p>
            <w:r>
              <w:rPr>
                <w:rFonts w:ascii="Courier New" w:hAnsi="Courier New"/>
                <w:b w:val="0"/>
                <w:i w:val="0"/>
                <w:sz w:val="18"/>
              </w:rPr>
              <w:t>T1059.003</w:t>
            </w:r>
          </w:p>
        </w:tc>
        <w:tc>
          <w:tcPr>
            <w:tcW w:type="dxa" w:w="2041"/>
          </w:tcPr>
          <w:p>
            <w:r>
              <w:rPr>
                <w:rFonts w:ascii="Calibri" w:hAnsi="Calibri"/>
                <w:b w:val="0"/>
                <w:i w:val="0"/>
                <w:sz w:val="20"/>
              </w:rPr>
              <w:t>Execution (TA0002)</w:t>
            </w:r>
          </w:p>
        </w:tc>
        <w:tc>
          <w:tcPr>
            <w:tcW w:type="dxa" w:w="5839"/>
          </w:tcPr>
          <w:p>
            <w:r>
              <w:rPr>
                <w:rFonts w:ascii="Calibri" w:hAnsi="Calibri"/>
                <w:b w:val="0"/>
                <w:i w:val="0"/>
                <w:sz w:val="20"/>
              </w:rPr>
              <w:t>Windows Command Shell — cmd.exe stages wipers and disables AV using built-in tools</w:t>
            </w:r>
          </w:p>
        </w:tc>
      </w:tr>
      <w:tr>
        <w:tc>
          <w:tcPr>
            <w:tcW w:type="dxa" w:w="1361"/>
          </w:tcPr>
          <w:p>
            <w:r>
              <w:rPr>
                <w:rFonts w:ascii="Courier New" w:hAnsi="Courier New"/>
                <w:b w:val="0"/>
                <w:i w:val="0"/>
                <w:sz w:val="18"/>
              </w:rPr>
              <w:t>T1078</w:t>
            </w:r>
          </w:p>
        </w:tc>
        <w:tc>
          <w:tcPr>
            <w:tcW w:type="dxa" w:w="2041"/>
          </w:tcPr>
          <w:p>
            <w:r>
              <w:rPr>
                <w:rFonts w:ascii="Calibri" w:hAnsi="Calibri"/>
                <w:b w:val="0"/>
                <w:i w:val="0"/>
                <w:sz w:val="20"/>
              </w:rPr>
              <w:t>Defence Evasion (TA0005)</w:t>
            </w:r>
          </w:p>
        </w:tc>
        <w:tc>
          <w:tcPr>
            <w:tcW w:type="dxa" w:w="5839"/>
          </w:tcPr>
          <w:p>
            <w:r>
              <w:rPr>
                <w:rFonts w:ascii="Calibri" w:hAnsi="Calibri"/>
                <w:b w:val="0"/>
                <w:i w:val="0"/>
                <w:sz w:val="20"/>
              </w:rPr>
              <w:t>Valid Accounts — stolen credentials for lateral movement, blends with normal traffic in SIEM</w:t>
            </w:r>
          </w:p>
        </w:tc>
      </w:tr>
      <w:tr>
        <w:tc>
          <w:tcPr>
            <w:tcW w:type="dxa" w:w="1361"/>
          </w:tcPr>
          <w:p>
            <w:r>
              <w:rPr>
                <w:rFonts w:ascii="Courier New" w:hAnsi="Courier New"/>
                <w:b w:val="0"/>
                <w:i w:val="0"/>
                <w:sz w:val="18"/>
              </w:rPr>
              <w:t>T1071.001</w:t>
            </w:r>
          </w:p>
        </w:tc>
        <w:tc>
          <w:tcPr>
            <w:tcW w:type="dxa" w:w="2041"/>
          </w:tcPr>
          <w:p>
            <w:r>
              <w:rPr>
                <w:rFonts w:ascii="Calibri" w:hAnsi="Calibri"/>
                <w:b w:val="0"/>
                <w:i w:val="0"/>
                <w:sz w:val="20"/>
              </w:rPr>
              <w:t>C2 (TA0011)</w:t>
            </w:r>
          </w:p>
        </w:tc>
        <w:tc>
          <w:tcPr>
            <w:tcW w:type="dxa" w:w="5839"/>
          </w:tcPr>
          <w:p>
            <w:r>
              <w:rPr>
                <w:rFonts w:ascii="Calibri" w:hAnsi="Calibri"/>
                <w:b w:val="0"/>
                <w:i w:val="0"/>
                <w:sz w:val="20"/>
              </w:rPr>
              <w:t>Web Protocols — HTTPS C2 blends with legitimate browsing, hard to block selectively</w:t>
            </w:r>
          </w:p>
        </w:tc>
      </w:tr>
      <w:tr>
        <w:tc>
          <w:tcPr>
            <w:tcW w:type="dxa" w:w="1361"/>
          </w:tcPr>
          <w:p>
            <w:r>
              <w:rPr>
                <w:rFonts w:ascii="Courier New" w:hAnsi="Courier New"/>
                <w:b w:val="0"/>
                <w:i w:val="0"/>
                <w:sz w:val="18"/>
              </w:rPr>
              <w:t>T1561.002</w:t>
            </w:r>
          </w:p>
        </w:tc>
        <w:tc>
          <w:tcPr>
            <w:tcW w:type="dxa" w:w="2041"/>
          </w:tcPr>
          <w:p>
            <w:r>
              <w:rPr>
                <w:rFonts w:ascii="Calibri" w:hAnsi="Calibri"/>
                <w:b w:val="0"/>
                <w:i w:val="0"/>
                <w:sz w:val="20"/>
              </w:rPr>
              <w:t>Impact (TA0040)</w:t>
            </w:r>
          </w:p>
        </w:tc>
        <w:tc>
          <w:tcPr>
            <w:tcW w:type="dxa" w:w="5839"/>
          </w:tcPr>
          <w:p>
            <w:r>
              <w:rPr>
                <w:rFonts w:ascii="Calibri" w:hAnsi="Calibri"/>
                <w:b w:val="0"/>
                <w:i w:val="0"/>
                <w:sz w:val="20"/>
              </w:rPr>
              <w:t>Disk Structure Wipe — Industroyer2 overwrites MBR; full reinstall required for recovery</w:t>
            </w:r>
          </w:p>
        </w:tc>
      </w:tr>
    </w:tbl>
    <w:p/>
    <w:p>
      <w:pPr>
        <w:spacing w:before="0" w:after="160" w:line="253" w:lineRule="exact"/>
      </w:pPr>
      <w:r>
        <w:rPr>
          <w:rFonts w:ascii="Calibri" w:hAnsi="Calibri"/>
          <w:b/>
          <w:i w:val="0"/>
          <w:sz w:val="22"/>
        </w:rPr>
        <w:t xml:space="preserve">Comparison with Lazarus Group (3 shared techniques).  </w:t>
      </w:r>
      <w:r>
        <w:rPr>
          <w:rFonts w:ascii="Calibri" w:hAnsi="Calibri"/>
          <w:b w:val="0"/>
          <w:i w:val="0"/>
          <w:sz w:val="22"/>
        </w:rPr>
        <w:t>Both groups use T1486 (wiper/ransomware), T1078 (valid accounts), and T1071 (application layer C2). This overlap is instructive rather than diagnostic: these are among the most effective and widely documented techniques in ATT&amp;CK. Shared TTPs do not imply shared origin. Attribution requires corroborating evidence: infrastructure reuse, malware code similarity, timing patterns relative to geopolitical events, and HUMINT. The overlap illustrates why confident public attribution is rare.</w:t>
      </w:r>
    </w:p>
    <w:p>
      <w:pPr>
        <w:keepNext/>
        <w:spacing w:before="120" w:after="60" w:line="253" w:lineRule="exact"/>
      </w:pPr>
      <w:r>
        <w:rPr>
          <w:rFonts w:ascii="Calibri" w:hAnsi="Calibri"/>
          <w:b/>
          <w:i w:val="0"/>
          <w:sz w:val="22"/>
        </w:rPr>
        <w:t>3.2  Exercise 2: Disinformation Analysis</w:t>
      </w:r>
    </w:p>
    <w:p>
      <w:pPr>
        <w:keepNext w:val="0"/>
        <w:spacing w:before="0" w:after="80" w:line="253" w:lineRule="exact"/>
      </w:pPr>
      <w:r>
        <w:rPr>
          <w:rFonts w:ascii="Calibri" w:hAnsi="Calibri"/>
          <w:b w:val="0"/>
          <w:i w:val="0"/>
          <w:sz w:val="22"/>
        </w:rPr>
        <w:t>I analysed Operation Secondary Infektion using the Stanford Internet Observatory / EU DisinfoLab joint report as my primary source. The operation ran from at least 2014 to 2020, planted forged documents across 300+ platforms in 7 languages, and targeted audiences in Ukraine, Germany, France, Spain, and the UK.</w:t>
      </w:r>
    </w:p>
    <w:p>
      <w:pPr>
        <w:spacing w:before="0" w:after="80" w:line="253" w:lineRule="exact"/>
      </w:pPr>
      <w:r>
        <w:rPr>
          <w:rFonts w:ascii="Calibri" w:hAnsi="Calibri"/>
          <w:b/>
          <w:i w:val="0"/>
          <w:sz w:val="22"/>
        </w:rPr>
        <w:t xml:space="preserve">Campaign anatomy.  </w:t>
      </w:r>
      <w:r>
        <w:rPr>
          <w:rFonts w:ascii="Calibri" w:hAnsi="Calibri"/>
          <w:b w:val="0"/>
          <w:i w:val="0"/>
          <w:sz w:val="22"/>
        </w:rPr>
        <w:t>Fabricated content included forged EU and NATO official documents, fake news articles mimicking established outlets, and manipulated images. Laundering occurred through newly registered typosquatting domains. Amplification relied on coordinated cross-posting and circular citation between fake sites to create an illusion of independent corroboration.</w:t>
      </w:r>
    </w:p>
    <w:p>
      <w:pPr>
        <w:spacing w:before="0" w:after="80" w:line="253" w:lineRule="exact"/>
      </w:pPr>
      <w:r>
        <w:rPr>
          <w:rFonts w:ascii="Calibri" w:hAnsi="Calibri"/>
          <w:b/>
          <w:i w:val="0"/>
          <w:sz w:val="22"/>
        </w:rPr>
        <w:t xml:space="preserve">OSINT tool applied: WHOIS/DNS lookup (lookup.icann.org).  </w:t>
      </w:r>
      <w:r>
        <w:rPr>
          <w:rFonts w:ascii="Calibri" w:hAnsi="Calibri"/>
          <w:b w:val="0"/>
          <w:i w:val="0"/>
          <w:sz w:val="22"/>
        </w:rPr>
        <w:t>Key findings: (i) registration date preceded first article by two weeks only, consistent with purpose-built infrastructure; (ii) name server shared with two other fake outlets identified in the same investigation — the single most useful finding, linking three “independent” sites to the same actor. Limitation: WHOIS alone cannot prove intent; privacy-shielded registration is legal and common.</w:t>
      </w:r>
    </w:p>
    <w:p>
      <w:pPr>
        <w:keepNext w:val="0"/>
        <w:spacing w:before="0" w:after="60" w:line="253" w:lineRule="exact"/>
      </w:pPr>
      <w:r>
        <w:rPr>
          <w:rFonts w:ascii="Calibri" w:hAnsi="Calibri"/>
          <w:b/>
          <w:i w:val="0"/>
          <w:sz w:val="22"/>
        </w:rPr>
        <w:t>Red-flag indicator table (6 indicators):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
          </w:tcPr>
          <w:p>
            <w:r>
              <w:rPr>
                <w:rFonts w:ascii="Calibri" w:hAnsi="Calibri"/>
                <w:b/>
                <w:i w:val="0"/>
                <w:sz w:val="20"/>
              </w:rPr>
              <w:t>#</w:t>
            </w:r>
          </w:p>
        </w:tc>
        <w:tc>
          <w:tcPr>
            <w:tcW w:type="dxa" w:w="2381"/>
          </w:tcPr>
          <w:p>
            <w:r>
              <w:rPr>
                <w:rFonts w:ascii="Calibri" w:hAnsi="Calibri"/>
                <w:b/>
                <w:i w:val="0"/>
                <w:sz w:val="20"/>
              </w:rPr>
              <w:t>Indicator</w:t>
            </w:r>
          </w:p>
        </w:tc>
        <w:tc>
          <w:tcPr>
            <w:tcW w:type="dxa" w:w="3402"/>
          </w:tcPr>
          <w:p>
            <w:r>
              <w:rPr>
                <w:rFonts w:ascii="Calibri" w:hAnsi="Calibri"/>
                <w:b/>
                <w:i w:val="0"/>
                <w:sz w:val="20"/>
              </w:rPr>
              <w:t>How to check</w:t>
            </w:r>
          </w:p>
        </w:tc>
        <w:tc>
          <w:tcPr>
            <w:tcW w:type="dxa" w:w="1417"/>
          </w:tcPr>
          <w:p>
            <w:r>
              <w:rPr>
                <w:rFonts w:ascii="Calibri" w:hAnsi="Calibri"/>
                <w:b/>
                <w:i w:val="0"/>
                <w:sz w:val="20"/>
              </w:rPr>
              <w:t>Confidence</w:t>
            </w:r>
          </w:p>
        </w:tc>
      </w:tr>
      <w:tr>
        <w:tc>
          <w:tcPr>
            <w:tcW w:type="dxa" w:w="340"/>
          </w:tcPr>
          <w:p>
            <w:r>
              <w:rPr>
                <w:rFonts w:ascii="Calibri" w:hAnsi="Calibri"/>
                <w:b w:val="0"/>
                <w:i w:val="0"/>
                <w:sz w:val="20"/>
              </w:rPr>
              <w:t>1</w:t>
            </w:r>
          </w:p>
        </w:tc>
        <w:tc>
          <w:tcPr>
            <w:tcW w:type="dxa" w:w="2381"/>
          </w:tcPr>
          <w:p>
            <w:r>
              <w:rPr>
                <w:rFonts w:ascii="Calibri" w:hAnsi="Calibri"/>
                <w:b w:val="0"/>
                <w:i w:val="0"/>
                <w:sz w:val="20"/>
              </w:rPr>
              <w:t>Coordinated posting timing</w:t>
            </w:r>
          </w:p>
        </w:tc>
        <w:tc>
          <w:tcPr>
            <w:tcW w:type="dxa" w:w="3402"/>
          </w:tcPr>
          <w:p>
            <w:r>
              <w:rPr>
                <w:rFonts w:ascii="Calibri" w:hAnsi="Calibri"/>
                <w:b w:val="0"/>
                <w:i w:val="0"/>
                <w:sz w:val="20"/>
              </w:rPr>
              <w:t>Botometer; cross-platform timestamp comparison</w:t>
            </w:r>
          </w:p>
        </w:tc>
        <w:tc>
          <w:tcPr>
            <w:tcW w:type="dxa" w:w="1417"/>
          </w:tcPr>
          <w:p>
            <w:r>
              <w:rPr>
                <w:rFonts w:ascii="Calibri" w:hAnsi="Calibri"/>
                <w:b w:val="0"/>
                <w:i w:val="0"/>
                <w:sz w:val="20"/>
              </w:rPr>
              <w:t>High</w:t>
            </w:r>
          </w:p>
        </w:tc>
      </w:tr>
      <w:tr>
        <w:tc>
          <w:tcPr>
            <w:tcW w:type="dxa" w:w="340"/>
          </w:tcPr>
          <w:p>
            <w:r>
              <w:rPr>
                <w:rFonts w:ascii="Calibri" w:hAnsi="Calibri"/>
                <w:b w:val="0"/>
                <w:i w:val="0"/>
                <w:sz w:val="20"/>
              </w:rPr>
              <w:t>2</w:t>
            </w:r>
          </w:p>
        </w:tc>
        <w:tc>
          <w:tcPr>
            <w:tcW w:type="dxa" w:w="2381"/>
          </w:tcPr>
          <w:p>
            <w:r>
              <w:rPr>
                <w:rFonts w:ascii="Calibri" w:hAnsi="Calibri"/>
                <w:b w:val="0"/>
                <w:i w:val="0"/>
                <w:sz w:val="20"/>
              </w:rPr>
              <w:t>Domain registration anomaly</w:t>
            </w:r>
          </w:p>
        </w:tc>
        <w:tc>
          <w:tcPr>
            <w:tcW w:type="dxa" w:w="3402"/>
          </w:tcPr>
          <w:p>
            <w:r>
              <w:rPr>
                <w:rFonts w:ascii="Calibri" w:hAnsi="Calibri"/>
                <w:b w:val="0"/>
                <w:i w:val="0"/>
                <w:sz w:val="20"/>
              </w:rPr>
              <w:t>WHOIS lookup; compare reg. date vs. first article</w:t>
            </w:r>
          </w:p>
        </w:tc>
        <w:tc>
          <w:tcPr>
            <w:tcW w:type="dxa" w:w="1417"/>
          </w:tcPr>
          <w:p>
            <w:r>
              <w:rPr>
                <w:rFonts w:ascii="Calibri" w:hAnsi="Calibri"/>
                <w:b w:val="0"/>
                <w:i w:val="0"/>
                <w:sz w:val="20"/>
              </w:rPr>
              <w:t>High</w:t>
            </w:r>
          </w:p>
        </w:tc>
      </w:tr>
      <w:tr>
        <w:tc>
          <w:tcPr>
            <w:tcW w:type="dxa" w:w="340"/>
          </w:tcPr>
          <w:p>
            <w:r>
              <w:rPr>
                <w:rFonts w:ascii="Calibri" w:hAnsi="Calibri"/>
                <w:b w:val="0"/>
                <w:i w:val="0"/>
                <w:sz w:val="20"/>
              </w:rPr>
              <w:t>3</w:t>
            </w:r>
          </w:p>
        </w:tc>
        <w:tc>
          <w:tcPr>
            <w:tcW w:type="dxa" w:w="2381"/>
          </w:tcPr>
          <w:p>
            <w:r>
              <w:rPr>
                <w:rFonts w:ascii="Calibri" w:hAnsi="Calibri"/>
                <w:b w:val="0"/>
                <w:i w:val="0"/>
                <w:sz w:val="20"/>
              </w:rPr>
              <w:t>Document metadata mismatch</w:t>
            </w:r>
          </w:p>
        </w:tc>
        <w:tc>
          <w:tcPr>
            <w:tcW w:type="dxa" w:w="3402"/>
          </w:tcPr>
          <w:p>
            <w:r>
              <w:rPr>
                <w:rFonts w:ascii="Calibri" w:hAnsi="Calibri"/>
                <w:b w:val="0"/>
                <w:i w:val="0"/>
                <w:sz w:val="20"/>
              </w:rPr>
              <w:t>exiftool / PDF properties; compare software locale</w:t>
            </w:r>
          </w:p>
        </w:tc>
        <w:tc>
          <w:tcPr>
            <w:tcW w:type="dxa" w:w="1417"/>
          </w:tcPr>
          <w:p>
            <w:r>
              <w:rPr>
                <w:rFonts w:ascii="Calibri" w:hAnsi="Calibri"/>
                <w:b w:val="0"/>
                <w:i w:val="0"/>
                <w:sz w:val="20"/>
              </w:rPr>
              <w:t>High</w:t>
            </w:r>
          </w:p>
        </w:tc>
      </w:tr>
      <w:tr>
        <w:tc>
          <w:tcPr>
            <w:tcW w:type="dxa" w:w="340"/>
          </w:tcPr>
          <w:p>
            <w:r>
              <w:rPr>
                <w:rFonts w:ascii="Calibri" w:hAnsi="Calibri"/>
                <w:b w:val="0"/>
                <w:i w:val="0"/>
                <w:sz w:val="20"/>
              </w:rPr>
              <w:t>4</w:t>
            </w:r>
          </w:p>
        </w:tc>
        <w:tc>
          <w:tcPr>
            <w:tcW w:type="dxa" w:w="2381"/>
          </w:tcPr>
          <w:p>
            <w:r>
              <w:rPr>
                <w:rFonts w:ascii="Calibri" w:hAnsi="Calibri"/>
                <w:b w:val="0"/>
                <w:i w:val="0"/>
                <w:sz w:val="20"/>
              </w:rPr>
              <w:t>Cross-platform self-citation loop</w:t>
            </w:r>
          </w:p>
        </w:tc>
        <w:tc>
          <w:tcPr>
            <w:tcW w:type="dxa" w:w="3402"/>
          </w:tcPr>
          <w:p>
            <w:r>
              <w:rPr>
                <w:rFonts w:ascii="Calibri" w:hAnsi="Calibri"/>
                <w:b w:val="0"/>
                <w:i w:val="0"/>
                <w:sz w:val="20"/>
              </w:rPr>
              <w:t>archive.org; trace content back to single origin</w:t>
            </w:r>
          </w:p>
        </w:tc>
        <w:tc>
          <w:tcPr>
            <w:tcW w:type="dxa" w:w="1417"/>
          </w:tcPr>
          <w:p>
            <w:r>
              <w:rPr>
                <w:rFonts w:ascii="Calibri" w:hAnsi="Calibri"/>
                <w:b w:val="0"/>
                <w:i w:val="0"/>
                <w:sz w:val="20"/>
              </w:rPr>
              <w:t>Medium</w:t>
            </w:r>
          </w:p>
        </w:tc>
      </w:tr>
      <w:tr>
        <w:tc>
          <w:tcPr>
            <w:tcW w:type="dxa" w:w="340"/>
          </w:tcPr>
          <w:p>
            <w:r>
              <w:rPr>
                <w:rFonts w:ascii="Calibri" w:hAnsi="Calibri"/>
                <w:b w:val="0"/>
                <w:i w:val="0"/>
                <w:sz w:val="20"/>
              </w:rPr>
              <w:t>5</w:t>
            </w:r>
          </w:p>
        </w:tc>
        <w:tc>
          <w:tcPr>
            <w:tcW w:type="dxa" w:w="2381"/>
          </w:tcPr>
          <w:p>
            <w:r>
              <w:rPr>
                <w:rFonts w:ascii="Calibri" w:hAnsi="Calibri"/>
                <w:b w:val="0"/>
                <w:i w:val="0"/>
                <w:sz w:val="20"/>
              </w:rPr>
              <w:t>Linguistic inconsistency</w:t>
            </w:r>
          </w:p>
        </w:tc>
        <w:tc>
          <w:tcPr>
            <w:tcW w:type="dxa" w:w="3402"/>
          </w:tcPr>
          <w:p>
            <w:r>
              <w:rPr>
                <w:rFonts w:ascii="Calibri" w:hAnsi="Calibri"/>
                <w:b w:val="0"/>
                <w:i w:val="0"/>
                <w:sz w:val="20"/>
              </w:rPr>
              <w:t>Back-translation; native speaker review</w:t>
            </w:r>
          </w:p>
        </w:tc>
        <w:tc>
          <w:tcPr>
            <w:tcW w:type="dxa" w:w="1417"/>
          </w:tcPr>
          <w:p>
            <w:r>
              <w:rPr>
                <w:rFonts w:ascii="Calibri" w:hAnsi="Calibri"/>
                <w:b w:val="0"/>
                <w:i w:val="0"/>
                <w:sz w:val="20"/>
              </w:rPr>
              <w:t>Medium</w:t>
            </w:r>
          </w:p>
        </w:tc>
      </w:tr>
      <w:tr>
        <w:tc>
          <w:tcPr>
            <w:tcW w:type="dxa" w:w="340"/>
          </w:tcPr>
          <w:p>
            <w:r>
              <w:rPr>
                <w:rFonts w:ascii="Calibri" w:hAnsi="Calibri"/>
                <w:b w:val="0"/>
                <w:i w:val="0"/>
                <w:sz w:val="20"/>
              </w:rPr>
              <w:t>6</w:t>
            </w:r>
          </w:p>
        </w:tc>
        <w:tc>
          <w:tcPr>
            <w:tcW w:type="dxa" w:w="2381"/>
          </w:tcPr>
          <w:p>
            <w:r>
              <w:rPr>
                <w:rFonts w:ascii="Calibri" w:hAnsi="Calibri"/>
                <w:b w:val="0"/>
                <w:i w:val="0"/>
                <w:sz w:val="20"/>
              </w:rPr>
              <w:t>Infrastructure clustering</w:t>
            </w:r>
          </w:p>
        </w:tc>
        <w:tc>
          <w:tcPr>
            <w:tcW w:type="dxa" w:w="3402"/>
          </w:tcPr>
          <w:p>
            <w:r>
              <w:rPr>
                <w:rFonts w:ascii="Calibri" w:hAnsi="Calibri"/>
                <w:b w:val="0"/>
                <w:i w:val="0"/>
                <w:sz w:val="20"/>
              </w:rPr>
              <w:t>Reverse-IP lookup; certificate transparency logs</w:t>
            </w:r>
          </w:p>
        </w:tc>
        <w:tc>
          <w:tcPr>
            <w:tcW w:type="dxa" w:w="1417"/>
          </w:tcPr>
          <w:p>
            <w:r>
              <w:rPr>
                <w:rFonts w:ascii="Calibri" w:hAnsi="Calibri"/>
                <w:b w:val="0"/>
                <w:i w:val="0"/>
                <w:sz w:val="20"/>
              </w:rPr>
              <w:t>High</w:t>
            </w:r>
          </w:p>
        </w:tc>
      </w:tr>
    </w:tbl>
    <w:p/>
    <w:p>
      <w:pPr>
        <w:keepNext/>
        <w:spacing w:before="120" w:after="60" w:line="253" w:lineRule="exact"/>
      </w:pPr>
      <w:r>
        <w:rPr>
          <w:rFonts w:ascii="Calibri" w:hAnsi="Calibri"/>
          <w:b/>
          <w:i w:val="0"/>
          <w:sz w:val="22"/>
        </w:rPr>
        <w:t>3.3  Exercise 3: Attack Scenario and Countermeasures</w:t>
      </w:r>
    </w:p>
    <w:p>
      <w:pPr>
        <w:spacing w:before="0" w:after="80" w:line="253" w:lineRule="exact"/>
      </w:pPr>
      <w:r>
        <w:rPr>
          <w:rFonts w:ascii="Calibri" w:hAnsi="Calibri"/>
          <w:b/>
          <w:i w:val="0"/>
          <w:sz w:val="22"/>
        </w:rPr>
        <w:t xml:space="preserve">Target: </w:t>
      </w:r>
      <w:r>
        <w:rPr>
          <w:rFonts w:ascii="Calibri" w:hAnsi="Calibri"/>
          <w:b w:val="0"/>
          <w:i w:val="0"/>
          <w:sz w:val="22"/>
        </w:rPr>
        <w:t xml:space="preserve">Hospital / emergency medical services network.  </w:t>
      </w:r>
      <w:r>
        <w:rPr>
          <w:rFonts w:ascii="Calibri" w:hAnsi="Calibri"/>
          <w:b/>
          <w:i w:val="0"/>
          <w:sz w:val="22"/>
        </w:rPr>
        <w:t xml:space="preserve">Actor: </w:t>
      </w:r>
      <w:r>
        <w:rPr>
          <w:rFonts w:ascii="Calibri" w:hAnsi="Calibri"/>
          <w:b w:val="0"/>
          <w:i w:val="0"/>
          <w:sz w:val="22"/>
        </w:rPr>
        <w:t xml:space="preserve">Iron Caduceus (fictional nation-state APT, advanced, state-level resources, politically motivated coercion). Full structured output in </w:t>
      </w:r>
      <w:r>
        <w:rPr>
          <w:rFonts w:ascii="Courier New" w:hAnsi="Courier New"/>
          <w:b w:val="0"/>
          <w:i w:val="0"/>
          <w:sz w:val="20"/>
        </w:rPr>
        <w:t>attack_scenario.py</w:t>
      </w:r>
      <w:r>
        <w:rPr>
          <w:rFonts w:ascii="Calibri" w:hAnsi="Calibri"/>
          <w:b w:val="0"/>
          <w:i w:val="0"/>
          <w:sz w:val="22"/>
        </w:rP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54"/>
          </w:tcPr>
          <w:p>
            <w:r>
              <w:rPr>
                <w:rFonts w:ascii="Calibri" w:hAnsi="Calibri"/>
                <w:b/>
                <w:i w:val="0"/>
                <w:sz w:val="20"/>
              </w:rPr>
              <w:t>Step</w:t>
            </w:r>
          </w:p>
        </w:tc>
        <w:tc>
          <w:tcPr>
            <w:tcW w:type="dxa" w:w="1587"/>
          </w:tcPr>
          <w:p>
            <w:r>
              <w:rPr>
                <w:rFonts w:ascii="Calibri" w:hAnsi="Calibri"/>
                <w:b/>
                <w:i w:val="0"/>
                <w:sz w:val="20"/>
              </w:rPr>
              <w:t>Stage</w:t>
            </w:r>
          </w:p>
        </w:tc>
        <w:tc>
          <w:tcPr>
            <w:tcW w:type="dxa" w:w="3288"/>
          </w:tcPr>
          <w:p>
            <w:r>
              <w:rPr>
                <w:rFonts w:ascii="Calibri" w:hAnsi="Calibri"/>
                <w:b/>
                <w:i w:val="0"/>
                <w:sz w:val="20"/>
              </w:rPr>
              <w:t>Attacker action</w:t>
            </w:r>
          </w:p>
        </w:tc>
        <w:tc>
          <w:tcPr>
            <w:tcW w:type="dxa" w:w="3912"/>
          </w:tcPr>
          <w:p>
            <w:r>
              <w:rPr>
                <w:rFonts w:ascii="Calibri" w:hAnsi="Calibri"/>
                <w:b/>
                <w:i w:val="0"/>
                <w:sz w:val="20"/>
              </w:rPr>
              <w:t>Countermeasure</w:t>
            </w:r>
          </w:p>
        </w:tc>
      </w:tr>
      <w:tr>
        <w:tc>
          <w:tcPr>
            <w:tcW w:type="dxa" w:w="454"/>
          </w:tcPr>
          <w:p>
            <w:r>
              <w:rPr>
                <w:rFonts w:ascii="Calibri" w:hAnsi="Calibri"/>
                <w:b w:val="0"/>
                <w:i w:val="0"/>
                <w:sz w:val="20"/>
              </w:rPr>
              <w:t>1</w:t>
            </w:r>
          </w:p>
        </w:tc>
        <w:tc>
          <w:tcPr>
            <w:tcW w:type="dxa" w:w="1587"/>
          </w:tcPr>
          <w:p>
            <w:r>
              <w:rPr>
                <w:rFonts w:ascii="Calibri" w:hAnsi="Calibri"/>
                <w:b w:val="0"/>
                <w:i w:val="0"/>
                <w:sz w:val="20"/>
              </w:rPr>
              <w:t>Reconnaissance</w:t>
            </w:r>
          </w:p>
        </w:tc>
        <w:tc>
          <w:tcPr>
            <w:tcW w:type="dxa" w:w="3288"/>
          </w:tcPr>
          <w:p>
            <w:r>
              <w:rPr>
                <w:rFonts w:ascii="Calibri" w:hAnsi="Calibri"/>
                <w:b w:val="0"/>
                <w:i w:val="0"/>
                <w:sz w:val="20"/>
              </w:rPr>
              <w:t>Passive OSINT: LinkedIn, job posts, conference slides</w:t>
            </w:r>
          </w:p>
        </w:tc>
        <w:tc>
          <w:tcPr>
            <w:tcW w:type="dxa" w:w="3912"/>
          </w:tcPr>
          <w:p>
            <w:r>
              <w:rPr>
                <w:rFonts w:ascii="Calibri" w:hAnsi="Calibri"/>
                <w:b w:val="0"/>
                <w:i w:val="0"/>
                <w:sz w:val="20"/>
              </w:rPr>
              <w:t>OSINT audit of own public footprint; social media policy</w:t>
            </w:r>
          </w:p>
        </w:tc>
      </w:tr>
      <w:tr>
        <w:tc>
          <w:tcPr>
            <w:tcW w:type="dxa" w:w="454"/>
          </w:tcPr>
          <w:p>
            <w:r>
              <w:rPr>
                <w:rFonts w:ascii="Calibri" w:hAnsi="Calibri"/>
                <w:b w:val="0"/>
                <w:i w:val="0"/>
                <w:sz w:val="20"/>
              </w:rPr>
              <w:t>2*</w:t>
            </w:r>
          </w:p>
        </w:tc>
        <w:tc>
          <w:tcPr>
            <w:tcW w:type="dxa" w:w="1587"/>
          </w:tcPr>
          <w:p>
            <w:r>
              <w:rPr>
                <w:rFonts w:ascii="Calibri" w:hAnsi="Calibri"/>
                <w:b w:val="0"/>
                <w:i w:val="0"/>
                <w:sz w:val="20"/>
              </w:rPr>
              <w:t>Weaponisation</w:t>
            </w:r>
          </w:p>
        </w:tc>
        <w:tc>
          <w:tcPr>
            <w:tcW w:type="dxa" w:w="3288"/>
          </w:tcPr>
          <w:p>
            <w:r>
              <w:rPr>
                <w:rFonts w:ascii="Calibri" w:hAnsi="Calibri"/>
                <w:b w:val="0"/>
                <w:i w:val="0"/>
                <w:sz w:val="20"/>
              </w:rPr>
              <w:t>Spear-phish impersonating EHR vendor; macro dropper</w:t>
            </w:r>
          </w:p>
        </w:tc>
        <w:tc>
          <w:tcPr>
            <w:tcW w:type="dxa" w:w="3912"/>
          </w:tcPr>
          <w:p>
            <w:r>
              <w:rPr>
                <w:rFonts w:ascii="Calibri" w:hAnsi="Calibri"/>
                <w:b w:val="0"/>
                <w:i w:val="0"/>
                <w:sz w:val="20"/>
              </w:rPr>
              <w:t>Disable macros by GPO; email sandboxing</w:t>
            </w:r>
          </w:p>
        </w:tc>
      </w:tr>
      <w:tr>
        <w:tc>
          <w:tcPr>
            <w:tcW w:type="dxa" w:w="454"/>
          </w:tcPr>
          <w:p>
            <w:r>
              <w:rPr>
                <w:rFonts w:ascii="Calibri" w:hAnsi="Calibri"/>
                <w:b w:val="0"/>
                <w:i w:val="0"/>
                <w:sz w:val="20"/>
              </w:rPr>
              <w:t>3</w:t>
            </w:r>
          </w:p>
        </w:tc>
        <w:tc>
          <w:tcPr>
            <w:tcW w:type="dxa" w:w="1587"/>
          </w:tcPr>
          <w:p>
            <w:r>
              <w:rPr>
                <w:rFonts w:ascii="Calibri" w:hAnsi="Calibri"/>
                <w:b w:val="0"/>
                <w:i w:val="0"/>
                <w:sz w:val="20"/>
              </w:rPr>
              <w:t>Delivery</w:t>
            </w:r>
          </w:p>
        </w:tc>
        <w:tc>
          <w:tcPr>
            <w:tcW w:type="dxa" w:w="3288"/>
          </w:tcPr>
          <w:p>
            <w:r>
              <w:rPr>
                <w:rFonts w:ascii="Calibri" w:hAnsi="Calibri"/>
                <w:b w:val="0"/>
                <w:i w:val="0"/>
                <w:sz w:val="20"/>
              </w:rPr>
              <w:t>Email to IT admins and procurement; timed Monday AM</w:t>
            </w:r>
          </w:p>
        </w:tc>
        <w:tc>
          <w:tcPr>
            <w:tcW w:type="dxa" w:w="3912"/>
          </w:tcPr>
          <w:p>
            <w:r>
              <w:rPr>
                <w:rFonts w:ascii="Calibri" w:hAnsi="Calibri"/>
                <w:b w:val="0"/>
                <w:i w:val="0"/>
                <w:sz w:val="20"/>
              </w:rPr>
              <w:t>Phishing simulation; DMARC/DKIM/SPF</w:t>
            </w:r>
          </w:p>
        </w:tc>
      </w:tr>
      <w:tr>
        <w:tc>
          <w:tcPr>
            <w:tcW w:type="dxa" w:w="454"/>
          </w:tcPr>
          <w:p>
            <w:r>
              <w:rPr>
                <w:rFonts w:ascii="Calibri" w:hAnsi="Calibri"/>
                <w:b w:val="0"/>
                <w:i w:val="0"/>
                <w:sz w:val="20"/>
              </w:rPr>
              <w:t>4</w:t>
            </w:r>
          </w:p>
        </w:tc>
        <w:tc>
          <w:tcPr>
            <w:tcW w:type="dxa" w:w="1587"/>
          </w:tcPr>
          <w:p>
            <w:r>
              <w:rPr>
                <w:rFonts w:ascii="Calibri" w:hAnsi="Calibri"/>
                <w:b w:val="0"/>
                <w:i w:val="0"/>
                <w:sz w:val="20"/>
              </w:rPr>
              <w:t>Exploitation</w:t>
            </w:r>
          </w:p>
        </w:tc>
        <w:tc>
          <w:tcPr>
            <w:tcW w:type="dxa" w:w="3288"/>
          </w:tcPr>
          <w:p>
            <w:r>
              <w:rPr>
                <w:rFonts w:ascii="Calibri" w:hAnsi="Calibri"/>
                <w:b w:val="0"/>
                <w:i w:val="0"/>
                <w:sz w:val="20"/>
              </w:rPr>
              <w:t>Macro spawns PowerShell; in-memory LOTL execution</w:t>
            </w:r>
          </w:p>
        </w:tc>
        <w:tc>
          <w:tcPr>
            <w:tcW w:type="dxa" w:w="3912"/>
          </w:tcPr>
          <w:p>
            <w:r>
              <w:rPr>
                <w:rFonts w:ascii="Calibri" w:hAnsi="Calibri"/>
                <w:b w:val="0"/>
                <w:i w:val="0"/>
                <w:sz w:val="20"/>
              </w:rPr>
              <w:t>EDR monitors process lineage; PS script-block logging</w:t>
            </w:r>
          </w:p>
        </w:tc>
      </w:tr>
      <w:tr>
        <w:tc>
          <w:tcPr>
            <w:tcW w:type="dxa" w:w="454"/>
          </w:tcPr>
          <w:p>
            <w:r>
              <w:rPr>
                <w:rFonts w:ascii="Calibri" w:hAnsi="Calibri"/>
                <w:b w:val="0"/>
                <w:i w:val="0"/>
                <w:sz w:val="20"/>
              </w:rPr>
              <w:t>5</w:t>
            </w:r>
          </w:p>
        </w:tc>
        <w:tc>
          <w:tcPr>
            <w:tcW w:type="dxa" w:w="1587"/>
          </w:tcPr>
          <w:p>
            <w:r>
              <w:rPr>
                <w:rFonts w:ascii="Calibri" w:hAnsi="Calibri"/>
                <w:b w:val="0"/>
                <w:i w:val="0"/>
                <w:sz w:val="20"/>
              </w:rPr>
              <w:t>Installation</w:t>
            </w:r>
          </w:p>
        </w:tc>
        <w:tc>
          <w:tcPr>
            <w:tcW w:type="dxa" w:w="3288"/>
          </w:tcPr>
          <w:p>
            <w:r>
              <w:rPr>
                <w:rFonts w:ascii="Calibri" w:hAnsi="Calibri"/>
                <w:b w:val="0"/>
                <w:i w:val="0"/>
                <w:sz w:val="20"/>
              </w:rPr>
              <w:t>Scheduled task + registry Run key; internal recon</w:t>
            </w:r>
          </w:p>
        </w:tc>
        <w:tc>
          <w:tcPr>
            <w:tcW w:type="dxa" w:w="3912"/>
          </w:tcPr>
          <w:p>
            <w:r>
              <w:rPr>
                <w:rFonts w:ascii="Calibri" w:hAnsi="Calibri"/>
                <w:b w:val="0"/>
                <w:i w:val="0"/>
                <w:sz w:val="20"/>
              </w:rPr>
              <w:t>SIEM alerts on task creation; network segmentation</w:t>
            </w:r>
          </w:p>
        </w:tc>
      </w:tr>
      <w:tr>
        <w:tc>
          <w:tcPr>
            <w:tcW w:type="dxa" w:w="454"/>
          </w:tcPr>
          <w:p>
            <w:r>
              <w:rPr>
                <w:rFonts w:ascii="Calibri" w:hAnsi="Calibri"/>
                <w:b w:val="0"/>
                <w:i w:val="0"/>
                <w:sz w:val="20"/>
              </w:rPr>
              <w:t>6</w:t>
            </w:r>
          </w:p>
        </w:tc>
        <w:tc>
          <w:tcPr>
            <w:tcW w:type="dxa" w:w="1587"/>
          </w:tcPr>
          <w:p>
            <w:r>
              <w:rPr>
                <w:rFonts w:ascii="Calibri" w:hAnsi="Calibri"/>
                <w:b w:val="0"/>
                <w:i w:val="0"/>
                <w:sz w:val="20"/>
              </w:rPr>
              <w:t>C&amp;C</w:t>
            </w:r>
          </w:p>
        </w:tc>
        <w:tc>
          <w:tcPr>
            <w:tcW w:type="dxa" w:w="3288"/>
          </w:tcPr>
          <w:p>
            <w:r>
              <w:rPr>
                <w:rFonts w:ascii="Calibri" w:hAnsi="Calibri"/>
                <w:b w:val="0"/>
                <w:i w:val="0"/>
                <w:sz w:val="20"/>
              </w:rPr>
              <w:t>HTTPS C2, domain fronting, randomised beacon interval</w:t>
            </w:r>
          </w:p>
        </w:tc>
        <w:tc>
          <w:tcPr>
            <w:tcW w:type="dxa" w:w="3912"/>
          </w:tcPr>
          <w:p>
            <w:r>
              <w:rPr>
                <w:rFonts w:ascii="Calibri" w:hAnsi="Calibri"/>
                <w:b w:val="0"/>
                <w:i w:val="0"/>
                <w:sz w:val="20"/>
              </w:rPr>
              <w:t>TLS inspection; DNS threat intelligence feeds</w:t>
            </w:r>
          </w:p>
        </w:tc>
      </w:tr>
      <w:tr>
        <w:tc>
          <w:tcPr>
            <w:tcW w:type="dxa" w:w="454"/>
          </w:tcPr>
          <w:p>
            <w:r>
              <w:rPr>
                <w:rFonts w:ascii="Calibri" w:hAnsi="Calibri"/>
                <w:b w:val="0"/>
                <w:i w:val="0"/>
                <w:sz w:val="20"/>
              </w:rPr>
              <w:t>7</w:t>
            </w:r>
          </w:p>
        </w:tc>
        <w:tc>
          <w:tcPr>
            <w:tcW w:type="dxa" w:w="1587"/>
          </w:tcPr>
          <w:p>
            <w:r>
              <w:rPr>
                <w:rFonts w:ascii="Calibri" w:hAnsi="Calibri"/>
                <w:b w:val="0"/>
                <w:i w:val="0"/>
                <w:sz w:val="20"/>
              </w:rPr>
              <w:t>Actions on Objectives</w:t>
            </w:r>
          </w:p>
        </w:tc>
        <w:tc>
          <w:tcPr>
            <w:tcW w:type="dxa" w:w="3288"/>
          </w:tcPr>
          <w:p>
            <w:r>
              <w:rPr>
                <w:rFonts w:ascii="Calibri" w:hAnsi="Calibri"/>
                <w:b w:val="0"/>
                <w:i w:val="0"/>
                <w:sz w:val="20"/>
              </w:rPr>
              <w:t>Lateral movement to EHR; wiper destroys records and backups</w:t>
            </w:r>
          </w:p>
        </w:tc>
        <w:tc>
          <w:tcPr>
            <w:tcW w:type="dxa" w:w="3912"/>
          </w:tcPr>
          <w:p>
            <w:r>
              <w:rPr>
                <w:rFonts w:ascii="Calibri" w:hAnsi="Calibri"/>
                <w:b w:val="0"/>
                <w:i w:val="0"/>
                <w:sz w:val="20"/>
              </w:rPr>
              <w:t>Offline immutable backups (3-2-1); PAW for EHR admin</w:t>
            </w:r>
          </w:p>
        </w:tc>
      </w:tr>
    </w:tbl>
    <w:p/>
    <w:p>
      <w:pPr>
        <w:spacing w:before="0" w:after="200" w:line="253" w:lineRule="exact"/>
      </w:pPr>
      <w:r>
        <w:rPr>
          <w:rFonts w:ascii="Calibri" w:hAnsi="Calibri"/>
          <w:b/>
          <w:i w:val="0"/>
          <w:sz w:val="22"/>
        </w:rPr>
        <w:t xml:space="preserve">* Weakest link: Step 2 (Weaponisation/Delivery).  </w:t>
      </w:r>
      <w:r>
        <w:rPr>
          <w:rFonts w:ascii="Calibri" w:hAnsi="Calibri"/>
          <w:b w:val="0"/>
          <w:i w:val="0"/>
          <w:sz w:val="22"/>
        </w:rPr>
        <w:t>A staff member who recognises the phishing email and reports it before opening the attachment breaks the entire chain before any code executes. At every subsequent step the attacker already has a foothold, making defence progressively more expensive. Investment in training and email filtering at this stage has the highest defensive return on investment.</w:t>
      </w:r>
    </w:p>
    <w:p>
      <w:pPr>
        <w:keepNext/>
        <w:spacing w:before="200" w:after="60" w:line="299" w:lineRule="exact"/>
        <w:pBdr>
          <w:bottom w:val="single" w:sz="4" w:space="2" w:color="000000"/>
        </w:pBdr>
      </w:pPr>
      <w:r>
        <w:rPr>
          <w:rFonts w:ascii="Calibri" w:hAnsi="Calibri"/>
          <w:b/>
          <w:i w:val="0"/>
          <w:sz w:val="26"/>
        </w:rPr>
        <w:t>4  Reflection and Critical Analysis</w:t>
      </w:r>
    </w:p>
    <w:p>
      <w:pPr>
        <w:keepNext w:val="0"/>
        <w:spacing w:before="0" w:after="120" w:line="253" w:lineRule="exact"/>
      </w:pPr>
      <w:r>
        <w:rPr>
          <w:rFonts w:ascii="Calibri" w:hAnsi="Calibri"/>
          <w:b w:val="0"/>
          <w:i w:val="0"/>
          <w:sz w:val="22"/>
        </w:rPr>
        <w:t>Studying cybercrime — as we did implicitly in Week 4 through CVE analysis — focuses on technical vulnerabilities: a specific version of vsftpd has a known backdoor, and the fix is to update it. The exploitation is impersonal and largely automated. Cyber terrorism and information warfare are different in a way that matters for how a computer scientist thinks about defence.</w:t>
      </w:r>
    </w:p>
    <w:p>
      <w:pPr>
        <w:keepNext w:val="0"/>
        <w:spacing w:before="0" w:after="120" w:line="253" w:lineRule="exact"/>
      </w:pPr>
      <w:r>
        <w:rPr>
          <w:rFonts w:ascii="Calibri" w:hAnsi="Calibri"/>
          <w:b w:val="0"/>
          <w:i w:val="0"/>
          <w:sz w:val="22"/>
        </w:rPr>
        <w:t>The technical underpinning is often identical. NotPetya’s lateral spread used EternalBlue, the same SMB exploit class as the CVE-2007-2447 Samba vulnerability examined in Week 4; the CVSS vector (network-reachable, no credentials required) is the same category of risk. What changes is the adversary model: a ransomware gang will stop if the victim pays or if the exploit is patched. An APT acting on political orders does not stop. It adapts, waits, and comes back through a different vector. This fundamentally changes the defensive posture required: patching is still necessary, but it is not sufficient when the adversary has the patience and resources to find the next unpatched system.</w:t>
      </w:r>
    </w:p>
    <w:p>
      <w:pPr>
        <w:keepNext w:val="0"/>
        <w:spacing w:before="0" w:after="120" w:line="253" w:lineRule="exact"/>
      </w:pPr>
      <w:r>
        <w:rPr>
          <w:rFonts w:ascii="Calibri" w:hAnsi="Calibri"/>
          <w:b w:val="0"/>
          <w:i w:val="0"/>
          <w:sz w:val="22"/>
        </w:rPr>
        <w:t>The disinformation exercise reinforced a different angle: the most effective information operations are not technically sophisticated. Operation Secondary Infektion did not require any CVEs. It required patience, language skills, and an understanding of how human trust in media works. The OSINT indicators I documented (metadata, registration timing, shared infrastructure) are technically checkable by any analyst — the defence against information warfare is partly technical and partly a matter of critical reading skills that have nothing to do with network security.</w:t>
      </w:r>
    </w:p>
    <w:p>
      <w:pPr>
        <w:keepNext w:val="0"/>
        <w:spacing w:before="0" w:after="120" w:line="253" w:lineRule="exact"/>
      </w:pPr>
      <w:r>
        <w:rPr>
          <w:rFonts w:ascii="Calibri" w:hAnsi="Calibri"/>
          <w:b w:val="0"/>
          <w:i w:val="0"/>
          <w:sz w:val="22"/>
        </w:rPr>
        <w:t>The weakest link in the hospital scenario (spear-phishing) connects directly to the Principle of Least Privilege discussion in Week 2: the reason spear-phishing is so effective against high-privilege accounts is precisely because those accounts have been granted rights that far exceed daily task requirements. Tightening access reduces the blast radius when the phish succeeds.</w:t>
      </w:r>
    </w:p>
    <w:p>
      <w:pPr>
        <w:keepNext w:val="0"/>
        <w:spacing w:before="0" w:after="200" w:line="253" w:lineRule="exact"/>
      </w:pPr>
      <w:r>
        <w:rPr>
          <w:rFonts w:ascii="Calibri" w:hAnsi="Calibri"/>
          <w:b w:val="0"/>
          <w:i w:val="0"/>
          <w:sz w:val="22"/>
        </w:rPr>
        <w:t>Looking ahead, information warfare intersects with industrial espionage in a specific way: state-sponsored actors conducting IW campaigns often simultaneously collect intellectual property and trade secrets from the same targets, using the same infrastructure — the two objectives are pursued in a single operation.</w:t>
      </w:r>
    </w:p>
    <w:p>
      <w:pPr>
        <w:keepNext/>
        <w:spacing w:before="200" w:after="60" w:line="299" w:lineRule="exact"/>
        <w:pBdr>
          <w:bottom w:val="single" w:sz="4" w:space="2" w:color="000000"/>
        </w:pBdr>
      </w:pPr>
      <w:r>
        <w:rPr>
          <w:rFonts w:ascii="Calibri" w:hAnsi="Calibri"/>
          <w:b/>
          <w:i w:val="0"/>
          <w:sz w:val="26"/>
        </w:rPr>
        <w:t>References</w:t>
      </w:r>
    </w:p>
    <w:p>
      <w:pPr>
        <w:spacing w:after="40" w:line="253" w:lineRule="exact"/>
        <w:ind w:left="454" w:hanging="454"/>
      </w:pPr>
      <w:r>
        <w:rPr>
          <w:rFonts w:ascii="Calibri" w:hAnsi="Calibri"/>
          <w:b/>
          <w:i w:val="0"/>
          <w:sz w:val="20"/>
        </w:rPr>
        <w:t xml:space="preserve">[1] </w:t>
      </w:r>
      <w:r>
        <w:rPr>
          <w:b w:val="0"/>
          <w:i w:val="0"/>
          <w:sz w:val="20"/>
        </w:rPr>
        <w:t xml:space="preserve">Center for Internet Security. (2024). </w:t>
      </w:r>
      <w:r>
        <w:rPr>
          <w:b w:val="0"/>
          <w:i/>
          <w:sz w:val="20"/>
        </w:rPr>
        <w:t>CIS Controls v8</w:t>
      </w:r>
      <w:r>
        <w:rPr>
          <w:b w:val="0"/>
          <w:i w:val="0"/>
          <w:color w:val="0056D2"/>
          <w:sz w:val="20"/>
        </w:rPr>
        <w:t>. https://www.cisecurity.org/controls</w:t>
      </w:r>
    </w:p>
    <w:p>
      <w:pPr>
        <w:spacing w:after="40" w:line="253" w:lineRule="exact"/>
        <w:ind w:left="454" w:hanging="454"/>
      </w:pPr>
      <w:r>
        <w:rPr>
          <w:rFonts w:ascii="Calibri" w:hAnsi="Calibri"/>
          <w:b/>
          <w:i w:val="0"/>
          <w:sz w:val="20"/>
        </w:rPr>
        <w:t xml:space="preserve">[2] </w:t>
      </w:r>
      <w:r>
        <w:rPr>
          <w:b w:val="0"/>
          <w:i w:val="0"/>
          <w:sz w:val="20"/>
        </w:rPr>
        <w:t xml:space="preserve">Cybersecurity and Infrastructure Security Agency [CISA]. (2022). </w:t>
      </w:r>
      <w:r>
        <w:rPr>
          <w:b w:val="0"/>
          <w:i/>
          <w:sz w:val="20"/>
        </w:rPr>
        <w:t>Alert AA22-057A: Destructive malware targeting organizations in Ukraine</w:t>
      </w:r>
      <w:r>
        <w:rPr>
          <w:b w:val="0"/>
          <w:i w:val="0"/>
          <w:color w:val="0056D2"/>
          <w:sz w:val="20"/>
        </w:rPr>
        <w:t>. https://www.cisa.gov/news-events/cybersecurity-advisories/aa22-057a</w:t>
      </w:r>
    </w:p>
    <w:p>
      <w:pPr>
        <w:spacing w:after="40" w:line="253" w:lineRule="exact"/>
        <w:ind w:left="454" w:hanging="454"/>
      </w:pPr>
      <w:r>
        <w:rPr>
          <w:rFonts w:ascii="Calibri" w:hAnsi="Calibri"/>
          <w:b/>
          <w:i w:val="0"/>
          <w:sz w:val="20"/>
        </w:rPr>
        <w:t xml:space="preserve">[3] </w:t>
      </w:r>
      <w:r>
        <w:rPr>
          <w:b w:val="0"/>
          <w:i w:val="0"/>
          <w:sz w:val="20"/>
        </w:rPr>
        <w:t xml:space="preserve">European Union Agency for Cybersecurity [ENISA]. (2023). </w:t>
      </w:r>
      <w:r>
        <w:rPr>
          <w:b w:val="0"/>
          <w:i/>
          <w:sz w:val="20"/>
        </w:rPr>
        <w:t>ENISA threat landscape 2023</w:t>
      </w:r>
      <w:r>
        <w:rPr>
          <w:b w:val="0"/>
          <w:i w:val="0"/>
          <w:color w:val="0056D2"/>
          <w:sz w:val="20"/>
        </w:rPr>
        <w:t>. https://www.enisa.europa.eu/topics/cyberthreats/enisa-threat-landscape</w:t>
      </w:r>
    </w:p>
    <w:p>
      <w:pPr>
        <w:spacing w:after="40" w:line="253" w:lineRule="exact"/>
        <w:ind w:left="454" w:hanging="454"/>
      </w:pPr>
      <w:r>
        <w:rPr>
          <w:rFonts w:ascii="Calibri" w:hAnsi="Calibri"/>
          <w:b/>
          <w:i w:val="0"/>
          <w:sz w:val="20"/>
        </w:rPr>
        <w:t xml:space="preserve">[4] </w:t>
      </w:r>
      <w:r>
        <w:rPr>
          <w:b w:val="0"/>
          <w:i w:val="0"/>
          <w:sz w:val="20"/>
        </w:rPr>
        <w:t xml:space="preserve">Greenberg, A. (2019). </w:t>
      </w:r>
      <w:r>
        <w:rPr>
          <w:b w:val="0"/>
          <w:i/>
          <w:sz w:val="20"/>
        </w:rPr>
        <w:t>Sandworm: A new era of cyberwar and the hunt for the Kremlin’s most dangerous hackers</w:t>
      </w:r>
      <w:r>
        <w:rPr>
          <w:b w:val="0"/>
          <w:i w:val="0"/>
          <w:sz w:val="20"/>
        </w:rPr>
        <w:t>. Doubleday.</w:t>
      </w:r>
    </w:p>
    <w:p>
      <w:pPr>
        <w:spacing w:after="40" w:line="253" w:lineRule="exact"/>
        <w:ind w:left="454" w:hanging="454"/>
      </w:pPr>
      <w:r>
        <w:rPr>
          <w:rFonts w:ascii="Calibri" w:hAnsi="Calibri"/>
          <w:b/>
          <w:i w:val="0"/>
          <w:sz w:val="20"/>
        </w:rPr>
        <w:t xml:space="preserve">[5] </w:t>
      </w:r>
      <w:r>
        <w:rPr>
          <w:b w:val="0"/>
          <w:i w:val="0"/>
          <w:sz w:val="20"/>
        </w:rPr>
        <w:t xml:space="preserve">Lockheed Martin. (2022). </w:t>
      </w:r>
      <w:r>
        <w:rPr>
          <w:b w:val="0"/>
          <w:i/>
          <w:sz w:val="20"/>
        </w:rPr>
        <w:t>Cyber kill chain</w:t>
      </w:r>
      <w:r>
        <w:rPr>
          <w:b w:val="0"/>
          <w:i w:val="0"/>
          <w:color w:val="0056D2"/>
          <w:sz w:val="20"/>
        </w:rPr>
        <w:t>. https://www.lockheedmartin.com/en-us/capabilities/cyber/cyber-kill-chain.html</w:t>
      </w:r>
    </w:p>
    <w:p>
      <w:pPr>
        <w:spacing w:after="40" w:line="253" w:lineRule="exact"/>
        <w:ind w:left="454" w:hanging="454"/>
      </w:pPr>
      <w:r>
        <w:rPr>
          <w:rFonts w:ascii="Calibri" w:hAnsi="Calibri"/>
          <w:b/>
          <w:i w:val="0"/>
          <w:sz w:val="20"/>
        </w:rPr>
        <w:t xml:space="preserve">[6] </w:t>
      </w:r>
      <w:r>
        <w:rPr>
          <w:b w:val="0"/>
          <w:i w:val="0"/>
          <w:sz w:val="20"/>
        </w:rPr>
        <w:t xml:space="preserve">MITRE Corporation. (2024). </w:t>
      </w:r>
      <w:r>
        <w:rPr>
          <w:b w:val="0"/>
          <w:i/>
          <w:sz w:val="20"/>
        </w:rPr>
        <w:t>ATT&amp;CK enterprise matrix v15</w:t>
      </w:r>
      <w:r>
        <w:rPr>
          <w:b w:val="0"/>
          <w:i w:val="0"/>
          <w:color w:val="0056D2"/>
          <w:sz w:val="20"/>
        </w:rPr>
        <w:t>. https://attack.mitre.org</w:t>
      </w:r>
    </w:p>
    <w:p>
      <w:pPr>
        <w:spacing w:after="40" w:line="253" w:lineRule="exact"/>
        <w:ind w:left="454" w:hanging="454"/>
      </w:pPr>
      <w:r>
        <w:rPr>
          <w:rFonts w:ascii="Calibri" w:hAnsi="Calibri"/>
          <w:b/>
          <w:i w:val="0"/>
          <w:sz w:val="20"/>
        </w:rPr>
        <w:t xml:space="preserve">[7] </w:t>
      </w:r>
      <w:r>
        <w:rPr>
          <w:b w:val="0"/>
          <w:i w:val="0"/>
          <w:sz w:val="20"/>
        </w:rPr>
        <w:t xml:space="preserve">National Institute of Standards and Technology [NIST]. (2018). </w:t>
      </w:r>
      <w:r>
        <w:rPr>
          <w:b w:val="0"/>
          <w:i/>
          <w:sz w:val="20"/>
        </w:rPr>
        <w:t>Framework for improving critical infrastructure cybersecurity</w:t>
      </w:r>
      <w:r>
        <w:rPr>
          <w:b w:val="0"/>
          <w:i w:val="0"/>
          <w:color w:val="0056D2"/>
          <w:sz w:val="20"/>
        </w:rPr>
        <w:t xml:space="preserve"> (Version 1.1). https://www.nist.gov/cyberframework</w:t>
      </w:r>
    </w:p>
    <w:p>
      <w:pPr>
        <w:spacing w:after="40" w:line="253" w:lineRule="exact"/>
        <w:ind w:left="454" w:hanging="454"/>
      </w:pPr>
      <w:r>
        <w:rPr>
          <w:rFonts w:ascii="Calibri" w:hAnsi="Calibri"/>
          <w:b/>
          <w:i w:val="0"/>
          <w:sz w:val="20"/>
        </w:rPr>
        <w:t xml:space="preserve">[8] </w:t>
      </w:r>
      <w:r>
        <w:rPr>
          <w:b w:val="0"/>
          <w:i w:val="0"/>
          <w:sz w:val="20"/>
        </w:rPr>
        <w:t xml:space="preserve">NATO Cooperative Cyber Defence Centre of Excellence [CCDCOE]. (2023). </w:t>
      </w:r>
      <w:r>
        <w:rPr>
          <w:b w:val="0"/>
          <w:i/>
          <w:sz w:val="20"/>
        </w:rPr>
        <w:t>Tallinn manual 2.0 on the international law applicable to cyber operations</w:t>
      </w:r>
      <w:r>
        <w:rPr>
          <w:b w:val="0"/>
          <w:i w:val="0"/>
          <w:color w:val="0056D2"/>
          <w:sz w:val="20"/>
        </w:rPr>
        <w:t>. https://ccdcoe.org/research/tallinn-manual/</w:t>
      </w:r>
    </w:p>
    <w:p>
      <w:pPr>
        <w:spacing w:after="40" w:line="253" w:lineRule="exact"/>
        <w:ind w:left="454" w:hanging="454"/>
      </w:pPr>
      <w:r>
        <w:rPr>
          <w:rFonts w:ascii="Calibri" w:hAnsi="Calibri"/>
          <w:b/>
          <w:i w:val="0"/>
          <w:sz w:val="20"/>
        </w:rPr>
        <w:t xml:space="preserve">[9] </w:t>
      </w:r>
      <w:r>
        <w:rPr>
          <w:b w:val="0"/>
          <w:i w:val="0"/>
          <w:sz w:val="20"/>
        </w:rPr>
        <w:t xml:space="preserve">Rid, T. (2020). </w:t>
      </w:r>
      <w:r>
        <w:rPr>
          <w:b w:val="0"/>
          <w:i/>
          <w:sz w:val="20"/>
        </w:rPr>
        <w:t>Active measures: The secret history of disinformation and political warfare</w:t>
      </w:r>
      <w:r>
        <w:rPr>
          <w:b w:val="0"/>
          <w:i w:val="0"/>
          <w:sz w:val="20"/>
        </w:rPr>
        <w:t>. Farrar, Straus and Giroux.</w:t>
      </w:r>
    </w:p>
    <w:p>
      <w:pPr>
        <w:spacing w:after="40" w:line="253" w:lineRule="exact"/>
        <w:ind w:left="454" w:hanging="454"/>
      </w:pPr>
      <w:r>
        <w:rPr>
          <w:rFonts w:ascii="Calibri" w:hAnsi="Calibri"/>
          <w:b/>
          <w:i w:val="0"/>
          <w:sz w:val="20"/>
        </w:rPr>
        <w:t xml:space="preserve">[10] </w:t>
      </w:r>
      <w:r>
        <w:rPr>
          <w:b w:val="0"/>
          <w:i w:val="0"/>
          <w:sz w:val="20"/>
        </w:rPr>
        <w:t xml:space="preserve">Stanford Internet Observatory &amp; EU DisinfoLab. (2020). </w:t>
      </w:r>
      <w:r>
        <w:rPr>
          <w:b w:val="0"/>
          <w:i/>
          <w:sz w:val="20"/>
        </w:rPr>
        <w:t>Secondary infektion: A large-scale cross-platform influence operation</w:t>
      </w:r>
      <w:r>
        <w:rPr>
          <w:b w:val="0"/>
          <w:i w:val="0"/>
          <w:color w:val="0056D2"/>
          <w:sz w:val="20"/>
        </w:rPr>
        <w:t>. https://secondaryinfektion.org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