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40" w:line="368" w:lineRule="exact"/>
        <w:jc w:val="center"/>
      </w:pPr>
      <w:r>
        <w:rPr>
          <w:rFonts w:ascii="Calibri" w:hAnsi="Calibri"/>
          <w:b/>
          <w:i w:val="0"/>
          <w:sz w:val="32"/>
        </w:rPr>
        <w:t>Report Module 11</w:t>
      </w:r>
    </w:p>
    <w:p>
      <w:pPr>
        <w:keepNext w:val="0"/>
        <w:spacing w:before="0" w:after="80" w:line="299" w:lineRule="exact"/>
        <w:jc w:val="center"/>
      </w:pPr>
      <w:r>
        <w:rPr>
          <w:rFonts w:ascii="Calibri" w:hAnsi="Calibri"/>
          <w:b w:val="0"/>
          <w:i w:val="0"/>
          <w:sz w:val="26"/>
        </w:rPr>
        <w:t>Computer Security Software</w:t>
      </w:r>
    </w:p>
    <w:p>
      <w:pPr>
        <w:keepNext w:val="0"/>
        <w:spacing w:before="0" w:after="40" w:line="253" w:lineRule="exact"/>
        <w:jc w:val="center"/>
      </w:pPr>
      <w:r>
        <w:rPr>
          <w:rFonts w:ascii="Calibri" w:hAnsi="Calibri"/>
          <w:b w:val="0"/>
          <w:i w:val="0"/>
          <w:sz w:val="22"/>
        </w:rPr>
        <w:t>CS 475: Introduction to Computer Security</w:t>
      </w:r>
    </w:p>
    <w:p>
      <w:pPr>
        <w:keepNext w:val="0"/>
        <w:spacing w:before="0" w:after="40" w:line="253" w:lineRule="exact"/>
        <w:jc w:val="center"/>
      </w:pPr>
      <w:r>
        <w:rPr>
          <w:rFonts w:ascii="Calibri" w:hAnsi="Calibri"/>
          <w:b w:val="0"/>
          <w:i w:val="0"/>
          <w:sz w:val="22"/>
        </w:rPr>
        <w:t>Maria Nyolcas  |  Prof: Asen Nikolov Grozdanov</w:t>
      </w:r>
    </w:p>
    <w:p>
      <w:pPr>
        <w:keepNext w:val="0"/>
        <w:spacing w:before="0" w:after="120" w:line="253" w:lineRule="exact"/>
        <w:jc w:val="center"/>
      </w:pPr>
      <w:r>
        <w:rPr>
          <w:rFonts w:ascii="Calibri" w:hAnsi="Calibri"/>
          <w:b w:val="0"/>
          <w:i w:val="0"/>
          <w:sz w:val="22"/>
        </w:rPr>
        <w:t>May 2026</w:t>
      </w:r>
    </w:p>
    <w:p>
      <w:pPr>
        <w:pBdr>
          <w:bottom w:val="single" w:sz="6" w:space="1" w:color="000000"/>
        </w:pBdr>
        <w:spacing w:after="120"/>
      </w:pPr>
    </w:p>
    <w:p>
      <w:pPr>
        <w:spacing w:before="0" w:after="200" w:line="253" w:lineRule="exact"/>
      </w:pPr>
      <w:r>
        <w:rPr>
          <w:rFonts w:ascii="Calibri" w:hAnsi="Calibri"/>
          <w:b/>
          <w:i w:val="0"/>
          <w:sz w:val="22"/>
        </w:rPr>
        <w:t xml:space="preserve">Abstract.  </w:t>
      </w:r>
      <w:r>
        <w:rPr>
          <w:rFonts w:ascii="Calibri" w:hAnsi="Calibri"/>
          <w:b w:val="0"/>
          <w:i w:val="0"/>
          <w:sz w:val="22"/>
        </w:rPr>
        <w:t>This report covers the Week 11 deliverable of the continuous security portfolio: the landscape of computer security software, a hands-on evaluation of Windows Defender against NIST SP 800-83 and CIS Control 10 criteria, and a prioritised advisory recommendation for a small university department. Three EICAR-based detection tests and a Windows Firewall rule audit form the lab evidence base. All six advisory recommendations are implementable with free or open-source tools. The synthesis connects this week’s findings to the operational gaps identified across the earlier portfolio modules.</w:t>
      </w:r>
    </w:p>
    <w:p>
      <w:pPr>
        <w:keepNext/>
        <w:spacing w:before="200" w:after="60" w:line="299" w:lineRule="exact"/>
        <w:pBdr>
          <w:bottom w:val="single" w:sz="4" w:space="2" w:color="000000"/>
        </w:pBdr>
      </w:pPr>
      <w:r>
        <w:rPr>
          <w:rFonts w:ascii="Calibri" w:hAnsi="Calibri"/>
          <w:b/>
          <w:i w:val="0"/>
          <w:sz w:val="26"/>
        </w:rPr>
        <w:t>1  Introduction</w:t>
      </w:r>
    </w:p>
    <w:p>
      <w:pPr>
        <w:keepNext w:val="0"/>
        <w:spacing w:before="0" w:after="120" w:line="253" w:lineRule="exact"/>
      </w:pPr>
      <w:r>
        <w:rPr>
          <w:rFonts w:ascii="Calibri" w:hAnsi="Calibri"/>
          <w:b w:val="0"/>
          <w:i w:val="0"/>
          <w:sz w:val="22"/>
        </w:rPr>
        <w:t>A common mistake among newcomers to cybersecurity is imagining that installing the right software solves the problem. It does not. Security software is one layer of defence in depth — the principle that no single control, however capable, should be the last line of defence. The NIST Cybersecurity Framework organises controls into Identify, Protect, Detect, Respond, and Recover, and software tools appear across every one of those functions, working alongside policy, people, and physical controls.</w:t>
      </w:r>
    </w:p>
    <w:p>
      <w:pPr>
        <w:keepNext w:val="0"/>
        <w:spacing w:before="0" w:after="120" w:line="253" w:lineRule="exact"/>
      </w:pPr>
      <w:r>
        <w:rPr>
          <w:rFonts w:ascii="Calibri" w:hAnsi="Calibri"/>
          <w:b w:val="0"/>
          <w:i w:val="0"/>
          <w:sz w:val="22"/>
        </w:rPr>
        <w:t>This week’s activities move from understanding what security mechanisms exist to evaluating how software implements them, why some implementations fail, and what a small organisation should prioritise. The report is structured into four parts: a theoretical taxonomy of the eight major security software families, a hands-on tool evaluation and lab, a non-technical advisory report, and a reflective synthesis connecting findings to earlier portfolio modules.</w:t>
      </w:r>
    </w:p>
    <w:p>
      <w:pPr>
        <w:keepNext/>
        <w:spacing w:before="200" w:after="60" w:line="299" w:lineRule="exact"/>
        <w:pBdr>
          <w:bottom w:val="single" w:sz="4" w:space="2" w:color="000000"/>
        </w:pBdr>
      </w:pPr>
      <w:r>
        <w:rPr>
          <w:rFonts w:ascii="Calibri" w:hAnsi="Calibri"/>
          <w:b/>
          <w:i w:val="0"/>
          <w:sz w:val="26"/>
        </w:rPr>
        <w:t>2  Security Software Landscape</w:t>
      </w:r>
    </w:p>
    <w:p>
      <w:pPr>
        <w:keepNext/>
        <w:spacing w:before="120" w:after="60" w:line="253" w:lineRule="exact"/>
      </w:pPr>
      <w:r>
        <w:rPr>
          <w:rFonts w:ascii="Calibri" w:hAnsi="Calibri"/>
          <w:b/>
          <w:i w:val="0"/>
          <w:sz w:val="22"/>
        </w:rPr>
        <w:t>2.1  Major Categories</w:t>
      </w:r>
    </w:p>
    <w:p>
      <w:pPr>
        <w:keepNext w:val="0"/>
        <w:spacing w:before="0" w:after="80" w:line="253" w:lineRule="exact"/>
      </w:pPr>
      <w:r>
        <w:rPr>
          <w:rFonts w:ascii="Calibri" w:hAnsi="Calibri"/>
          <w:b w:val="0"/>
          <w:i w:val="0"/>
          <w:sz w:val="22"/>
        </w:rPr>
        <w:t>Eight major families of security software are summarised below, each mapped to the primary threat it addresses, its deployment layer, and its alignment with the NIST CSF functions. No single category covers all five CSF functions, which underscores the defence-in-depth requirement.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948"/>
          </w:tcPr>
          <w:p>
            <w:r>
              <w:rPr>
                <w:rFonts w:ascii="Calibri" w:hAnsi="Calibri"/>
                <w:b/>
                <w:i w:val="0"/>
                <w:sz w:val="20"/>
              </w:rPr>
              <w:t>Category</w:t>
            </w:r>
          </w:p>
        </w:tc>
        <w:tc>
          <w:tcPr>
            <w:tcW w:type="dxa" w:w="907"/>
          </w:tcPr>
          <w:p>
            <w:r>
              <w:rPr>
                <w:rFonts w:ascii="Calibri" w:hAnsi="Calibri"/>
                <w:b/>
                <w:i w:val="0"/>
                <w:sz w:val="20"/>
              </w:rPr>
              <w:t>Acronym</w:t>
            </w:r>
          </w:p>
        </w:tc>
        <w:tc>
          <w:tcPr>
            <w:tcW w:type="dxa" w:w="2154"/>
          </w:tcPr>
          <w:p>
            <w:r>
              <w:rPr>
                <w:rFonts w:ascii="Calibri" w:hAnsi="Calibri"/>
                <w:b/>
                <w:i w:val="0"/>
                <w:sz w:val="20"/>
              </w:rPr>
              <w:t>NIST CSF</w:t>
            </w:r>
          </w:p>
        </w:tc>
        <w:tc>
          <w:tcPr>
            <w:tcW w:type="dxa" w:w="3175"/>
          </w:tcPr>
          <w:p>
            <w:r>
              <w:rPr>
                <w:rFonts w:ascii="Calibri" w:hAnsi="Calibri"/>
                <w:b/>
                <w:i w:val="0"/>
                <w:sz w:val="20"/>
              </w:rPr>
              <w:t>Key limitation</w:t>
            </w:r>
          </w:p>
        </w:tc>
      </w:tr>
      <w:tr>
        <w:tc>
          <w:tcPr>
            <w:tcW w:type="dxa" w:w="2948"/>
          </w:tcPr>
          <w:p>
            <w:r>
              <w:rPr>
                <w:rFonts w:ascii="Calibri" w:hAnsi="Calibri"/>
                <w:b w:val="0"/>
                <w:i w:val="0"/>
                <w:sz w:val="20"/>
              </w:rPr>
              <w:t>AV / Endpoint Detection &amp; Response</w:t>
            </w:r>
          </w:p>
        </w:tc>
        <w:tc>
          <w:tcPr>
            <w:tcW w:type="dxa" w:w="907"/>
          </w:tcPr>
          <w:p>
            <w:r>
              <w:rPr>
                <w:rFonts w:ascii="Calibri" w:hAnsi="Calibri"/>
                <w:b w:val="0"/>
                <w:i w:val="0"/>
                <w:sz w:val="20"/>
              </w:rPr>
              <w:t>AV/EDR</w:t>
            </w:r>
          </w:p>
        </w:tc>
        <w:tc>
          <w:tcPr>
            <w:tcW w:type="dxa" w:w="2154"/>
          </w:tcPr>
          <w:p>
            <w:r>
              <w:rPr>
                <w:rFonts w:ascii="Calibri" w:hAnsi="Calibri"/>
                <w:b w:val="0"/>
                <w:i w:val="0"/>
                <w:sz w:val="20"/>
              </w:rPr>
              <w:t>Protect, Detect, Respond</w:t>
            </w:r>
          </w:p>
        </w:tc>
        <w:tc>
          <w:tcPr>
            <w:tcW w:type="dxa" w:w="3175"/>
          </w:tcPr>
          <w:p>
            <w:r>
              <w:rPr>
                <w:rFonts w:ascii="Calibri" w:hAnsi="Calibri"/>
                <w:b w:val="0"/>
                <w:i w:val="0"/>
                <w:sz w:val="20"/>
              </w:rPr>
              <w:t>Signature lag; behavioural engines require cloud connectivity</w:t>
            </w:r>
          </w:p>
        </w:tc>
      </w:tr>
      <w:tr>
        <w:tc>
          <w:tcPr>
            <w:tcW w:type="dxa" w:w="2948"/>
          </w:tcPr>
          <w:p>
            <w:r>
              <w:rPr>
                <w:rFonts w:ascii="Calibri" w:hAnsi="Calibri"/>
                <w:b w:val="0"/>
                <w:i w:val="0"/>
                <w:sz w:val="20"/>
              </w:rPr>
              <w:t>Firewall (host-based and network)</w:t>
            </w:r>
          </w:p>
        </w:tc>
        <w:tc>
          <w:tcPr>
            <w:tcW w:type="dxa" w:w="907"/>
          </w:tcPr>
          <w:p>
            <w:r>
              <w:rPr>
                <w:rFonts w:ascii="Calibri" w:hAnsi="Calibri"/>
                <w:b w:val="0"/>
                <w:i w:val="0"/>
                <w:sz w:val="20"/>
              </w:rPr>
              <w:t>FW</w:t>
            </w:r>
          </w:p>
        </w:tc>
        <w:tc>
          <w:tcPr>
            <w:tcW w:type="dxa" w:w="2154"/>
          </w:tcPr>
          <w:p>
            <w:r>
              <w:rPr>
                <w:rFonts w:ascii="Calibri" w:hAnsi="Calibri"/>
                <w:b w:val="0"/>
                <w:i w:val="0"/>
                <w:sz w:val="20"/>
              </w:rPr>
              <w:t>Protect</w:t>
            </w:r>
          </w:p>
        </w:tc>
        <w:tc>
          <w:tcPr>
            <w:tcW w:type="dxa" w:w="3175"/>
          </w:tcPr>
          <w:p>
            <w:r>
              <w:rPr>
                <w:rFonts w:ascii="Calibri" w:hAnsi="Calibri"/>
                <w:b w:val="0"/>
                <w:i w:val="0"/>
                <w:sz w:val="20"/>
              </w:rPr>
              <w:t>Misconfigured rules create a false sense of protection</w:t>
            </w:r>
          </w:p>
        </w:tc>
      </w:tr>
      <w:tr>
        <w:tc>
          <w:tcPr>
            <w:tcW w:type="dxa" w:w="2948"/>
          </w:tcPr>
          <w:p>
            <w:r>
              <w:rPr>
                <w:rFonts w:ascii="Calibri" w:hAnsi="Calibri"/>
                <w:b w:val="0"/>
                <w:i w:val="0"/>
                <w:sz w:val="20"/>
              </w:rPr>
              <w:t>Intrusion Detection / Prevention</w:t>
            </w:r>
          </w:p>
        </w:tc>
        <w:tc>
          <w:tcPr>
            <w:tcW w:type="dxa" w:w="907"/>
          </w:tcPr>
          <w:p>
            <w:r>
              <w:rPr>
                <w:rFonts w:ascii="Calibri" w:hAnsi="Calibri"/>
                <w:b w:val="0"/>
                <w:i w:val="0"/>
                <w:sz w:val="20"/>
              </w:rPr>
              <w:t>IDS/IPS</w:t>
            </w:r>
          </w:p>
        </w:tc>
        <w:tc>
          <w:tcPr>
            <w:tcW w:type="dxa" w:w="2154"/>
          </w:tcPr>
          <w:p>
            <w:r>
              <w:rPr>
                <w:rFonts w:ascii="Calibri" w:hAnsi="Calibri"/>
                <w:b w:val="0"/>
                <w:i w:val="0"/>
                <w:sz w:val="20"/>
              </w:rPr>
              <w:t>Detect, Respond</w:t>
            </w:r>
          </w:p>
        </w:tc>
        <w:tc>
          <w:tcPr>
            <w:tcW w:type="dxa" w:w="3175"/>
          </w:tcPr>
          <w:p>
            <w:r>
              <w:rPr>
                <w:rFonts w:ascii="Calibri" w:hAnsi="Calibri"/>
                <w:b w:val="0"/>
                <w:i w:val="0"/>
                <w:sz w:val="20"/>
              </w:rPr>
              <w:t>Rule-tuning burden; encrypted traffic limits deep inspection</w:t>
            </w:r>
          </w:p>
        </w:tc>
      </w:tr>
      <w:tr>
        <w:tc>
          <w:tcPr>
            <w:tcW w:type="dxa" w:w="2948"/>
          </w:tcPr>
          <w:p>
            <w:r>
              <w:rPr>
                <w:rFonts w:ascii="Calibri" w:hAnsi="Calibri"/>
                <w:b w:val="0"/>
                <w:i w:val="0"/>
                <w:sz w:val="20"/>
              </w:rPr>
              <w:t>VPN client / gateway</w:t>
            </w:r>
          </w:p>
        </w:tc>
        <w:tc>
          <w:tcPr>
            <w:tcW w:type="dxa" w:w="907"/>
          </w:tcPr>
          <w:p>
            <w:r>
              <w:rPr>
                <w:rFonts w:ascii="Calibri" w:hAnsi="Calibri"/>
                <w:b w:val="0"/>
                <w:i w:val="0"/>
                <w:sz w:val="20"/>
              </w:rPr>
              <w:t>VPN</w:t>
            </w:r>
          </w:p>
        </w:tc>
        <w:tc>
          <w:tcPr>
            <w:tcW w:type="dxa" w:w="2154"/>
          </w:tcPr>
          <w:p>
            <w:r>
              <w:rPr>
                <w:rFonts w:ascii="Calibri" w:hAnsi="Calibri"/>
                <w:b w:val="0"/>
                <w:i w:val="0"/>
                <w:sz w:val="20"/>
              </w:rPr>
              <w:t>Protect</w:t>
            </w:r>
          </w:p>
        </w:tc>
        <w:tc>
          <w:tcPr>
            <w:tcW w:type="dxa" w:w="3175"/>
          </w:tcPr>
          <w:p>
            <w:r>
              <w:rPr>
                <w:rFonts w:ascii="Calibri" w:hAnsi="Calibri"/>
                <w:b w:val="0"/>
                <w:i w:val="0"/>
                <w:sz w:val="20"/>
              </w:rPr>
              <w:t>Protects the tunnel only; misconfigured split-tunnelling leaks traffic</w:t>
            </w:r>
          </w:p>
        </w:tc>
      </w:tr>
      <w:tr>
        <w:tc>
          <w:tcPr>
            <w:tcW w:type="dxa" w:w="2948"/>
          </w:tcPr>
          <w:p>
            <w:r>
              <w:rPr>
                <w:rFonts w:ascii="Calibri" w:hAnsi="Calibri"/>
                <w:b w:val="0"/>
                <w:i w:val="0"/>
                <w:sz w:val="20"/>
              </w:rPr>
              <w:t>Security Information &amp; Event Mgmt</w:t>
            </w:r>
          </w:p>
        </w:tc>
        <w:tc>
          <w:tcPr>
            <w:tcW w:type="dxa" w:w="907"/>
          </w:tcPr>
          <w:p>
            <w:r>
              <w:rPr>
                <w:rFonts w:ascii="Calibri" w:hAnsi="Calibri"/>
                <w:b w:val="0"/>
                <w:i w:val="0"/>
                <w:sz w:val="20"/>
              </w:rPr>
              <w:t>SIEM</w:t>
            </w:r>
          </w:p>
        </w:tc>
        <w:tc>
          <w:tcPr>
            <w:tcW w:type="dxa" w:w="2154"/>
          </w:tcPr>
          <w:p>
            <w:r>
              <w:rPr>
                <w:rFonts w:ascii="Calibri" w:hAnsi="Calibri"/>
                <w:b w:val="0"/>
                <w:i w:val="0"/>
                <w:sz w:val="20"/>
              </w:rPr>
              <w:t>Identify, Detect, Respond, Recover</w:t>
            </w:r>
          </w:p>
        </w:tc>
        <w:tc>
          <w:tcPr>
            <w:tcW w:type="dxa" w:w="3175"/>
          </w:tcPr>
          <w:p>
            <w:r>
              <w:rPr>
                <w:rFonts w:ascii="Calibri" w:hAnsi="Calibri"/>
                <w:b w:val="0"/>
                <w:i w:val="0"/>
                <w:sz w:val="20"/>
              </w:rPr>
              <w:t>Dependent on log quality; high alert volume causes analyst fatigue</w:t>
            </w:r>
          </w:p>
        </w:tc>
      </w:tr>
      <w:tr>
        <w:tc>
          <w:tcPr>
            <w:tcW w:type="dxa" w:w="2948"/>
          </w:tcPr>
          <w:p>
            <w:r>
              <w:rPr>
                <w:rFonts w:ascii="Calibri" w:hAnsi="Calibri"/>
                <w:b w:val="0"/>
                <w:i w:val="0"/>
                <w:sz w:val="20"/>
              </w:rPr>
              <w:t>Data Loss Prevention</w:t>
            </w:r>
          </w:p>
        </w:tc>
        <w:tc>
          <w:tcPr>
            <w:tcW w:type="dxa" w:w="907"/>
          </w:tcPr>
          <w:p>
            <w:r>
              <w:rPr>
                <w:rFonts w:ascii="Calibri" w:hAnsi="Calibri"/>
                <w:b w:val="0"/>
                <w:i w:val="0"/>
                <w:sz w:val="20"/>
              </w:rPr>
              <w:t>DLP</w:t>
            </w:r>
          </w:p>
        </w:tc>
        <w:tc>
          <w:tcPr>
            <w:tcW w:type="dxa" w:w="2154"/>
          </w:tcPr>
          <w:p>
            <w:r>
              <w:rPr>
                <w:rFonts w:ascii="Calibri" w:hAnsi="Calibri"/>
                <w:b w:val="0"/>
                <w:i w:val="0"/>
                <w:sz w:val="20"/>
              </w:rPr>
              <w:t>Protect, Detect</w:t>
            </w:r>
          </w:p>
        </w:tc>
        <w:tc>
          <w:tcPr>
            <w:tcW w:type="dxa" w:w="3175"/>
          </w:tcPr>
          <w:p>
            <w:r>
              <w:rPr>
                <w:rFonts w:ascii="Calibri" w:hAnsi="Calibri"/>
                <w:b w:val="0"/>
                <w:i w:val="0"/>
                <w:sz w:val="20"/>
              </w:rPr>
              <w:t>Relies on accurate data classification; mislabelled data evades controls</w:t>
            </w:r>
          </w:p>
        </w:tc>
      </w:tr>
      <w:tr>
        <w:tc>
          <w:tcPr>
            <w:tcW w:type="dxa" w:w="2948"/>
          </w:tcPr>
          <w:p>
            <w:r>
              <w:rPr>
                <w:rFonts w:ascii="Calibri" w:hAnsi="Calibri"/>
                <w:b w:val="0"/>
                <w:i w:val="0"/>
                <w:sz w:val="20"/>
              </w:rPr>
              <w:t>Vulnerability Scanner</w:t>
            </w:r>
          </w:p>
        </w:tc>
        <w:tc>
          <w:tcPr>
            <w:tcW w:type="dxa" w:w="907"/>
          </w:tcPr>
          <w:p>
            <w:r>
              <w:rPr>
                <w:rFonts w:ascii="Calibri" w:hAnsi="Calibri"/>
                <w:b w:val="0"/>
                <w:i w:val="0"/>
                <w:sz w:val="20"/>
              </w:rPr>
              <w:t>VA</w:t>
            </w:r>
          </w:p>
        </w:tc>
        <w:tc>
          <w:tcPr>
            <w:tcW w:type="dxa" w:w="2154"/>
          </w:tcPr>
          <w:p>
            <w:r>
              <w:rPr>
                <w:rFonts w:ascii="Calibri" w:hAnsi="Calibri"/>
                <w:b w:val="0"/>
                <w:i w:val="0"/>
                <w:sz w:val="20"/>
              </w:rPr>
              <w:t>Identify</w:t>
            </w:r>
          </w:p>
        </w:tc>
        <w:tc>
          <w:tcPr>
            <w:tcW w:type="dxa" w:w="3175"/>
          </w:tcPr>
          <w:p>
            <w:r>
              <w:rPr>
                <w:rFonts w:ascii="Calibri" w:hAnsi="Calibri"/>
                <w:b w:val="0"/>
                <w:i w:val="0"/>
                <w:sz w:val="20"/>
              </w:rPr>
              <w:t>Point-in-time snapshot; misses zero-days and unscanned assets</w:t>
            </w:r>
          </w:p>
        </w:tc>
      </w:tr>
      <w:tr>
        <w:tc>
          <w:tcPr>
            <w:tcW w:type="dxa" w:w="2948"/>
          </w:tcPr>
          <w:p>
            <w:r>
              <w:rPr>
                <w:rFonts w:ascii="Calibri" w:hAnsi="Calibri"/>
                <w:b w:val="0"/>
                <w:i w:val="0"/>
                <w:sz w:val="20"/>
              </w:rPr>
              <w:t>Privileged Access Management</w:t>
            </w:r>
          </w:p>
        </w:tc>
        <w:tc>
          <w:tcPr>
            <w:tcW w:type="dxa" w:w="907"/>
          </w:tcPr>
          <w:p>
            <w:r>
              <w:rPr>
                <w:rFonts w:ascii="Calibri" w:hAnsi="Calibri"/>
                <w:b w:val="0"/>
                <w:i w:val="0"/>
                <w:sz w:val="20"/>
              </w:rPr>
              <w:t>PAM</w:t>
            </w:r>
          </w:p>
        </w:tc>
        <w:tc>
          <w:tcPr>
            <w:tcW w:type="dxa" w:w="2154"/>
          </w:tcPr>
          <w:p>
            <w:r>
              <w:rPr>
                <w:rFonts w:ascii="Calibri" w:hAnsi="Calibri"/>
                <w:b w:val="0"/>
                <w:i w:val="0"/>
                <w:sz w:val="20"/>
              </w:rPr>
              <w:t>Protect, Detect</w:t>
            </w:r>
          </w:p>
        </w:tc>
        <w:tc>
          <w:tcPr>
            <w:tcW w:type="dxa" w:w="3175"/>
          </w:tcPr>
          <w:p>
            <w:r>
              <w:rPr>
                <w:rFonts w:ascii="Calibri" w:hAnsi="Calibri"/>
                <w:b w:val="0"/>
                <w:i w:val="0"/>
                <w:sz w:val="20"/>
              </w:rPr>
              <w:t>Only covers enrolled accounts; shadow admin accounts bypass controls</w:t>
            </w:r>
          </w:p>
        </w:tc>
      </w:tr>
    </w:tbl>
    <w:p/>
    <w:p>
      <w:pPr>
        <w:keepNext/>
        <w:spacing w:before="120" w:after="60" w:line="253" w:lineRule="exact"/>
      </w:pPr>
      <w:r>
        <w:rPr>
          <w:rFonts w:ascii="Calibri" w:hAnsi="Calibri"/>
          <w:b/>
          <w:i w:val="0"/>
          <w:sz w:val="22"/>
        </w:rPr>
        <w:t>2.2  Defence-in-Depth Layer Mapping</w:t>
      </w:r>
    </w:p>
    <w:p>
      <w:pPr>
        <w:keepNext w:val="0"/>
        <w:spacing w:before="0" w:after="80" w:line="253" w:lineRule="exact"/>
      </w:pPr>
      <w:r>
        <w:rPr>
          <w:rFonts w:ascii="Calibri" w:hAnsi="Calibri"/>
          <w:b w:val="0"/>
          <w:i w:val="0"/>
          <w:sz w:val="22"/>
        </w:rPr>
        <w:t>The five-layer model below shows where each software family sits in a defence-in-depth architecture. The key insight is that each layer assumes the previous one has been bypassed and provides independent detection or containment capability.</w:t>
      </w:r>
    </w:p>
    <w:tbl>
      <w:tblPr>
        <w:tblStyle w:val="TableGrid"/>
        <w:tblW w:type="auto" w:w="0"/>
        <w:jc w:val="center"/>
        <w:tblLook w:firstColumn="1" w:firstRow="1" w:lastColumn="0" w:lastRow="0" w:noHBand="0" w:noVBand="1" w:val="04A0"/>
      </w:tblPr>
      <w:tblGrid>
        <w:gridCol w:w="3135"/>
        <w:gridCol w:w="3135"/>
        <w:gridCol w:w="3135"/>
      </w:tblGrid>
      <w:tr>
        <w:tc>
          <w:tcPr>
            <w:tcW w:type="dxa" w:w="1587"/>
          </w:tcPr>
          <w:p>
            <w:r>
              <w:rPr>
                <w:rFonts w:ascii="Calibri" w:hAnsi="Calibri"/>
                <w:b/>
                <w:i w:val="0"/>
                <w:sz w:val="20"/>
              </w:rPr>
              <w:t>Layer</w:t>
            </w:r>
          </w:p>
        </w:tc>
        <w:tc>
          <w:tcPr>
            <w:tcW w:type="dxa" w:w="3061"/>
          </w:tcPr>
          <w:p>
            <w:r>
              <w:rPr>
                <w:rFonts w:ascii="Calibri" w:hAnsi="Calibri"/>
                <w:b/>
                <w:i w:val="0"/>
                <w:sz w:val="20"/>
              </w:rPr>
              <w:t>Software families</w:t>
            </w:r>
          </w:p>
        </w:tc>
        <w:tc>
          <w:tcPr>
            <w:tcW w:type="dxa" w:w="4535"/>
          </w:tcPr>
          <w:p>
            <w:r>
              <w:rPr>
                <w:rFonts w:ascii="Calibri" w:hAnsi="Calibri"/>
                <w:b/>
                <w:i w:val="0"/>
                <w:sz w:val="20"/>
              </w:rPr>
              <w:t>Rationale</w:t>
            </w:r>
          </w:p>
        </w:tc>
      </w:tr>
      <w:tr>
        <w:tc>
          <w:tcPr>
            <w:tcW w:type="dxa" w:w="1587"/>
          </w:tcPr>
          <w:p>
            <w:r>
              <w:rPr>
                <w:rFonts w:ascii="Calibri" w:hAnsi="Calibri"/>
                <w:b w:val="0"/>
                <w:i w:val="0"/>
                <w:sz w:val="20"/>
              </w:rPr>
              <w:t>Perimeter</w:t>
            </w:r>
          </w:p>
        </w:tc>
        <w:tc>
          <w:tcPr>
            <w:tcW w:type="dxa" w:w="3061"/>
          </w:tcPr>
          <w:p>
            <w:r>
              <w:rPr>
                <w:rFonts w:ascii="Calibri" w:hAnsi="Calibri"/>
                <w:b w:val="0"/>
                <w:i w:val="0"/>
                <w:sz w:val="20"/>
              </w:rPr>
              <w:t>NGFW, inline IPS, VPN gateway</w:t>
            </w:r>
          </w:p>
        </w:tc>
        <w:tc>
          <w:tcPr>
            <w:tcW w:type="dxa" w:w="4535"/>
          </w:tcPr>
          <w:p>
            <w:r>
              <w:rPr>
                <w:rFonts w:ascii="Calibri" w:hAnsi="Calibri"/>
                <w:b w:val="0"/>
                <w:i w:val="0"/>
                <w:sz w:val="20"/>
              </w:rPr>
              <w:t>Controls all ingress and egress; first barrier attackers must cross.</w:t>
            </w:r>
          </w:p>
        </w:tc>
      </w:tr>
      <w:tr>
        <w:tc>
          <w:tcPr>
            <w:tcW w:type="dxa" w:w="1587"/>
          </w:tcPr>
          <w:p>
            <w:r>
              <w:rPr>
                <w:rFonts w:ascii="Calibri" w:hAnsi="Calibri"/>
                <w:b w:val="0"/>
                <w:i w:val="0"/>
                <w:sz w:val="20"/>
              </w:rPr>
              <w:t>Network internal</w:t>
            </w:r>
          </w:p>
        </w:tc>
        <w:tc>
          <w:tcPr>
            <w:tcW w:type="dxa" w:w="3061"/>
          </w:tcPr>
          <w:p>
            <w:r>
              <w:rPr>
                <w:rFonts w:ascii="Calibri" w:hAnsi="Calibri"/>
                <w:b w:val="0"/>
                <w:i w:val="0"/>
                <w:sz w:val="20"/>
              </w:rPr>
              <w:t>IDS (passive tap), SIEM ingestion, DLP proxy</w:t>
            </w:r>
          </w:p>
        </w:tc>
        <w:tc>
          <w:tcPr>
            <w:tcW w:type="dxa" w:w="4535"/>
          </w:tcPr>
          <w:p>
            <w:r>
              <w:rPr>
                <w:rFonts w:ascii="Calibri" w:hAnsi="Calibri"/>
                <w:b w:val="0"/>
                <w:i w:val="0"/>
                <w:sz w:val="20"/>
              </w:rPr>
              <w:t>Detects lateral movement and exfiltration after a perimeter bypass.</w:t>
            </w:r>
          </w:p>
        </w:tc>
      </w:tr>
      <w:tr>
        <w:tc>
          <w:tcPr>
            <w:tcW w:type="dxa" w:w="1587"/>
          </w:tcPr>
          <w:p>
            <w:r>
              <w:rPr>
                <w:rFonts w:ascii="Calibri" w:hAnsi="Calibri"/>
                <w:b w:val="0"/>
                <w:i w:val="0"/>
                <w:sz w:val="20"/>
              </w:rPr>
              <w:t>Host</w:t>
            </w:r>
          </w:p>
        </w:tc>
        <w:tc>
          <w:tcPr>
            <w:tcW w:type="dxa" w:w="3061"/>
          </w:tcPr>
          <w:p>
            <w:r>
              <w:rPr>
                <w:rFonts w:ascii="Calibri" w:hAnsi="Calibri"/>
                <w:b w:val="0"/>
                <w:i w:val="0"/>
                <w:sz w:val="20"/>
              </w:rPr>
              <w:t>AV/EDR, host FW, HIDS, VA scanner (authenticated)</w:t>
            </w:r>
          </w:p>
        </w:tc>
        <w:tc>
          <w:tcPr>
            <w:tcW w:type="dxa" w:w="4535"/>
          </w:tcPr>
          <w:p>
            <w:r>
              <w:rPr>
                <w:rFonts w:ascii="Calibri" w:hAnsi="Calibri"/>
                <w:b w:val="0"/>
                <w:i w:val="0"/>
                <w:sz w:val="20"/>
              </w:rPr>
              <w:t>Last-resort detection at the point where malicious code executes.</w:t>
            </w:r>
          </w:p>
        </w:tc>
      </w:tr>
      <w:tr>
        <w:tc>
          <w:tcPr>
            <w:tcW w:type="dxa" w:w="1587"/>
          </w:tcPr>
          <w:p>
            <w:r>
              <w:rPr>
                <w:rFonts w:ascii="Calibri" w:hAnsi="Calibri"/>
                <w:b w:val="0"/>
                <w:i w:val="0"/>
                <w:sz w:val="20"/>
              </w:rPr>
              <w:t>Identity</w:t>
            </w:r>
          </w:p>
        </w:tc>
        <w:tc>
          <w:tcPr>
            <w:tcW w:type="dxa" w:w="3061"/>
          </w:tcPr>
          <w:p>
            <w:r>
              <w:rPr>
                <w:rFonts w:ascii="Calibri" w:hAnsi="Calibri"/>
                <w:b w:val="0"/>
                <w:i w:val="0"/>
                <w:sz w:val="20"/>
              </w:rPr>
              <w:t>PAM, MFA via IAM tooling</w:t>
            </w:r>
          </w:p>
        </w:tc>
        <w:tc>
          <w:tcPr>
            <w:tcW w:type="dxa" w:w="4535"/>
          </w:tcPr>
          <w:p>
            <w:r>
              <w:rPr>
                <w:rFonts w:ascii="Calibri" w:hAnsi="Calibri"/>
                <w:b w:val="0"/>
                <w:i w:val="0"/>
                <w:sz w:val="20"/>
              </w:rPr>
              <w:t>Limits credential-based lateral movement and insider escalation.</w:t>
            </w:r>
          </w:p>
        </w:tc>
      </w:tr>
      <w:tr>
        <w:tc>
          <w:tcPr>
            <w:tcW w:type="dxa" w:w="1587"/>
          </w:tcPr>
          <w:p>
            <w:r>
              <w:rPr>
                <w:rFonts w:ascii="Calibri" w:hAnsi="Calibri"/>
                <w:b w:val="0"/>
                <w:i w:val="0"/>
                <w:sz w:val="20"/>
              </w:rPr>
              <w:t>Data</w:t>
            </w:r>
          </w:p>
        </w:tc>
        <w:tc>
          <w:tcPr>
            <w:tcW w:type="dxa" w:w="3061"/>
          </w:tcPr>
          <w:p>
            <w:r>
              <w:rPr>
                <w:rFonts w:ascii="Calibri" w:hAnsi="Calibri"/>
                <w:b w:val="0"/>
                <w:i w:val="0"/>
                <w:sz w:val="20"/>
              </w:rPr>
              <w:t>DLP agent, encryption at rest</w:t>
            </w:r>
          </w:p>
        </w:tc>
        <w:tc>
          <w:tcPr>
            <w:tcW w:type="dxa" w:w="4535"/>
          </w:tcPr>
          <w:p>
            <w:r>
              <w:rPr>
                <w:rFonts w:ascii="Calibri" w:hAnsi="Calibri"/>
                <w:b w:val="0"/>
                <w:i w:val="0"/>
                <w:sz w:val="20"/>
              </w:rPr>
              <w:t>Protects the asset even when all outer layers are compromised.</w:t>
            </w:r>
          </w:p>
        </w:tc>
      </w:tr>
    </w:tbl>
    <w:p/>
    <w:p>
      <w:pPr>
        <w:keepNext/>
        <w:spacing w:before="200" w:after="60" w:line="299" w:lineRule="exact"/>
        <w:pBdr>
          <w:bottom w:val="single" w:sz="4" w:space="2" w:color="000000"/>
        </w:pBdr>
      </w:pPr>
      <w:r>
        <w:rPr>
          <w:rFonts w:ascii="Calibri" w:hAnsi="Calibri"/>
          <w:b/>
          <w:i w:val="0"/>
          <w:sz w:val="26"/>
        </w:rPr>
        <w:t>3  Tool Evaluation and Hands-on Lab</w:t>
      </w:r>
    </w:p>
    <w:p>
      <w:pPr>
        <w:keepNext/>
        <w:spacing w:before="120" w:after="60" w:line="253" w:lineRule="exact"/>
      </w:pPr>
      <w:r>
        <w:rPr>
          <w:rFonts w:ascii="Calibri" w:hAnsi="Calibri"/>
          <w:b/>
          <w:i w:val="0"/>
          <w:sz w:val="22"/>
        </w:rPr>
        <w:t>3.1  Windows Defender Evaluation Matrix</w:t>
      </w:r>
    </w:p>
    <w:p>
      <w:pPr>
        <w:keepNext w:val="0"/>
        <w:spacing w:before="0" w:after="80" w:line="253" w:lineRule="exact"/>
      </w:pPr>
      <w:r>
        <w:rPr>
          <w:rFonts w:ascii="Calibri" w:hAnsi="Calibri"/>
          <w:b w:val="0"/>
          <w:i w:val="0"/>
          <w:sz w:val="22"/>
        </w:rPr>
        <w:t>Windows Defender (Microsoft Defender Antivirus) was evaluated against eight criteria drawn from NIST SP 800-83 (‘Guide to Malware Incident Prevention and Handling’) and CIS Control 10 (‘Malware Defences’). This tool was selected because it is the default endpoint protection layer on Windows, requiring no additional installation, and represents the sole AV control in many small organisations.</w:t>
      </w:r>
    </w:p>
    <w:tbl>
      <w:tblPr>
        <w:tblStyle w:val="TableGrid"/>
        <w:tblW w:type="auto" w:w="0"/>
        <w:jc w:val="center"/>
        <w:tblLook w:firstColumn="1" w:firstRow="1" w:lastColumn="0" w:lastRow="0" w:noHBand="0" w:noVBand="1" w:val="04A0"/>
      </w:tblPr>
      <w:tblGrid>
        <w:gridCol w:w="3135"/>
        <w:gridCol w:w="3135"/>
        <w:gridCol w:w="3135"/>
      </w:tblGrid>
      <w:tr>
        <w:tc>
          <w:tcPr>
            <w:tcW w:type="dxa" w:w="2381"/>
          </w:tcPr>
          <w:p>
            <w:r>
              <w:rPr>
                <w:rFonts w:ascii="Calibri" w:hAnsi="Calibri"/>
                <w:b/>
                <w:i w:val="0"/>
                <w:sz w:val="20"/>
              </w:rPr>
              <w:t>Criterion</w:t>
            </w:r>
          </w:p>
        </w:tc>
        <w:tc>
          <w:tcPr>
            <w:tcW w:type="dxa" w:w="1020"/>
          </w:tcPr>
          <w:p>
            <w:r>
              <w:rPr>
                <w:rFonts w:ascii="Calibri" w:hAnsi="Calibri"/>
                <w:b/>
                <w:i w:val="0"/>
                <w:sz w:val="20"/>
              </w:rPr>
              <w:t>Rating</w:t>
            </w:r>
          </w:p>
        </w:tc>
        <w:tc>
          <w:tcPr>
            <w:tcW w:type="dxa" w:w="5783"/>
          </w:tcPr>
          <w:p>
            <w:r>
              <w:rPr>
                <w:rFonts w:ascii="Calibri" w:hAnsi="Calibri"/>
                <w:b/>
                <w:i w:val="0"/>
                <w:sz w:val="20"/>
              </w:rPr>
              <w:t>Evidence and recommendation</w:t>
            </w:r>
          </w:p>
        </w:tc>
      </w:tr>
      <w:tr>
        <w:tc>
          <w:tcPr>
            <w:tcW w:type="dxa" w:w="2381"/>
          </w:tcPr>
          <w:p>
            <w:r>
              <w:rPr>
                <w:rFonts w:ascii="Calibri" w:hAnsi="Calibri"/>
                <w:b w:val="0"/>
                <w:i w:val="0"/>
                <w:sz w:val="20"/>
              </w:rPr>
              <w:t>Signature coverage</w:t>
            </w:r>
          </w:p>
        </w:tc>
        <w:tc>
          <w:tcPr>
            <w:tcW w:type="dxa" w:w="1020"/>
          </w:tcPr>
          <w:p>
            <w:r>
              <w:rPr>
                <w:rFonts w:ascii="Calibri" w:hAnsi="Calibri"/>
                <w:b w:val="0"/>
                <w:i w:val="0"/>
                <w:sz w:val="20"/>
              </w:rPr>
              <w:t>Meets</w:t>
            </w:r>
          </w:p>
        </w:tc>
        <w:tc>
          <w:tcPr>
            <w:tcW w:type="dxa" w:w="5783"/>
          </w:tcPr>
          <w:p>
            <w:r>
              <w:rPr>
                <w:rFonts w:ascii="Calibri" w:hAnsi="Calibri"/>
                <w:b w:val="0"/>
                <w:i w:val="0"/>
                <w:sz w:val="20"/>
              </w:rPr>
              <w:t>Definitions updated multiple times daily; EICAR detected immediately on file-write. Validate update policy is not delayed by GPO.</w:t>
            </w:r>
          </w:p>
        </w:tc>
      </w:tr>
      <w:tr>
        <w:tc>
          <w:tcPr>
            <w:tcW w:type="dxa" w:w="2381"/>
          </w:tcPr>
          <w:p>
            <w:r>
              <w:rPr>
                <w:rFonts w:ascii="Calibri" w:hAnsi="Calibri"/>
                <w:b w:val="0"/>
                <w:i w:val="0"/>
                <w:sz w:val="20"/>
              </w:rPr>
              <w:t>Behavioural / heuristic detection</w:t>
            </w:r>
          </w:p>
        </w:tc>
        <w:tc>
          <w:tcPr>
            <w:tcW w:type="dxa" w:w="1020"/>
          </w:tcPr>
          <w:p>
            <w:r>
              <w:rPr>
                <w:rFonts w:ascii="Calibri" w:hAnsi="Calibri"/>
                <w:b w:val="0"/>
                <w:i w:val="0"/>
                <w:sz w:val="20"/>
              </w:rPr>
              <w:t>Partial</w:t>
            </w:r>
          </w:p>
        </w:tc>
        <w:tc>
          <w:tcPr>
            <w:tcW w:type="dxa" w:w="5783"/>
          </w:tcPr>
          <w:p>
            <w:r>
              <w:rPr>
                <w:rFonts w:ascii="Calibri" w:hAnsi="Calibri"/>
                <w:b w:val="0"/>
                <w:i w:val="0"/>
                <w:sz w:val="20"/>
              </w:rPr>
              <w:t>Cloud heuristics (MAPS) available but require internet connectivity; air-gapped hosts lose this layer. Enable MAPS and automatic sample submission.</w:t>
            </w:r>
          </w:p>
        </w:tc>
      </w:tr>
      <w:tr>
        <w:tc>
          <w:tcPr>
            <w:tcW w:type="dxa" w:w="2381"/>
          </w:tcPr>
          <w:p>
            <w:r>
              <w:rPr>
                <w:rFonts w:ascii="Calibri" w:hAnsi="Calibri"/>
                <w:b w:val="0"/>
                <w:i w:val="0"/>
                <w:sz w:val="20"/>
              </w:rPr>
              <w:t>Real-time (on-access) protection</w:t>
            </w:r>
          </w:p>
        </w:tc>
        <w:tc>
          <w:tcPr>
            <w:tcW w:type="dxa" w:w="1020"/>
          </w:tcPr>
          <w:p>
            <w:r>
              <w:rPr>
                <w:rFonts w:ascii="Calibri" w:hAnsi="Calibri"/>
                <w:b w:val="0"/>
                <w:i w:val="0"/>
                <w:sz w:val="20"/>
              </w:rPr>
              <w:t>Meets</w:t>
            </w:r>
          </w:p>
        </w:tc>
        <w:tc>
          <w:tcPr>
            <w:tcW w:type="dxa" w:w="5783"/>
          </w:tcPr>
          <w:p>
            <w:r>
              <w:rPr>
                <w:rFonts w:ascii="Calibri" w:hAnsi="Calibri"/>
                <w:b w:val="0"/>
                <w:i w:val="0"/>
                <w:sz w:val="20"/>
              </w:rPr>
              <w:t>EICAR blocked on file-write without manual scan trigger; Event ID 1116 logged. Enforce via GPO: DisableRealtimeMonitoring = 0.</w:t>
            </w:r>
          </w:p>
        </w:tc>
      </w:tr>
      <w:tr>
        <w:tc>
          <w:tcPr>
            <w:tcW w:type="dxa" w:w="2381"/>
          </w:tcPr>
          <w:p>
            <w:r>
              <w:rPr>
                <w:rFonts w:ascii="Calibri" w:hAnsi="Calibri"/>
                <w:b w:val="0"/>
                <w:i w:val="0"/>
                <w:sz w:val="20"/>
              </w:rPr>
              <w:t>Scheduled full scan</w:t>
            </w:r>
          </w:p>
        </w:tc>
        <w:tc>
          <w:tcPr>
            <w:tcW w:type="dxa" w:w="1020"/>
          </w:tcPr>
          <w:p>
            <w:r>
              <w:rPr>
                <w:rFonts w:ascii="Calibri" w:hAnsi="Calibri"/>
                <w:b w:val="0"/>
                <w:i w:val="0"/>
                <w:sz w:val="20"/>
              </w:rPr>
              <w:t>Partial</w:t>
            </w:r>
          </w:p>
        </w:tc>
        <w:tc>
          <w:tcPr>
            <w:tcW w:type="dxa" w:w="5783"/>
          </w:tcPr>
          <w:p>
            <w:r>
              <w:rPr>
                <w:rFonts w:ascii="Calibri" w:hAnsi="Calibri"/>
                <w:b w:val="0"/>
                <w:i w:val="0"/>
                <w:sz w:val="20"/>
              </w:rPr>
              <w:t>Default schedule is configurable by users. Enforce centrally via Intune or GPO; alert on missed scans.</w:t>
            </w:r>
          </w:p>
        </w:tc>
      </w:tr>
      <w:tr>
        <w:tc>
          <w:tcPr>
            <w:tcW w:type="dxa" w:w="2381"/>
          </w:tcPr>
          <w:p>
            <w:r>
              <w:rPr>
                <w:rFonts w:ascii="Calibri" w:hAnsi="Calibri"/>
                <w:b w:val="0"/>
                <w:i w:val="0"/>
                <w:sz w:val="20"/>
              </w:rPr>
              <w:t>Logging / SIEM integration</w:t>
            </w:r>
          </w:p>
        </w:tc>
        <w:tc>
          <w:tcPr>
            <w:tcW w:type="dxa" w:w="1020"/>
          </w:tcPr>
          <w:p>
            <w:r>
              <w:rPr>
                <w:rFonts w:ascii="Calibri" w:hAnsi="Calibri"/>
                <w:b w:val="0"/>
                <w:i w:val="0"/>
                <w:sz w:val="20"/>
              </w:rPr>
              <w:t>Partial</w:t>
            </w:r>
          </w:p>
        </w:tc>
        <w:tc>
          <w:tcPr>
            <w:tcW w:type="dxa" w:w="5783"/>
          </w:tcPr>
          <w:p>
            <w:r>
              <w:rPr>
                <w:rFonts w:ascii="Calibri" w:hAnsi="Calibri"/>
                <w:b w:val="0"/>
                <w:i w:val="0"/>
                <w:sz w:val="20"/>
              </w:rPr>
              <w:t>Logs to Windows Event Log (IDs 1116, 1117, 5001); WEF forwarding requires explicit configuration. Configure WEF for the Defender Operational log.</w:t>
            </w:r>
          </w:p>
        </w:tc>
      </w:tr>
      <w:tr>
        <w:tc>
          <w:tcPr>
            <w:tcW w:type="dxa" w:w="2381"/>
          </w:tcPr>
          <w:p>
            <w:r>
              <w:rPr>
                <w:rFonts w:ascii="Calibri" w:hAnsi="Calibri"/>
                <w:b w:val="0"/>
                <w:i w:val="0"/>
                <w:sz w:val="20"/>
              </w:rPr>
              <w:t>Tamper protection</w:t>
            </w:r>
          </w:p>
        </w:tc>
        <w:tc>
          <w:tcPr>
            <w:tcW w:type="dxa" w:w="1020"/>
          </w:tcPr>
          <w:p>
            <w:r>
              <w:rPr>
                <w:rFonts w:ascii="Calibri" w:hAnsi="Calibri"/>
                <w:b w:val="0"/>
                <w:i w:val="0"/>
                <w:sz w:val="20"/>
              </w:rPr>
              <w:t>Meets</w:t>
            </w:r>
          </w:p>
        </w:tc>
        <w:tc>
          <w:tcPr>
            <w:tcW w:type="dxa" w:w="5783"/>
          </w:tcPr>
          <w:p>
            <w:r>
              <w:rPr>
                <w:rFonts w:ascii="Calibri" w:hAnsi="Calibri"/>
                <w:b w:val="0"/>
                <w:i w:val="0"/>
                <w:sz w:val="20"/>
              </w:rPr>
              <w:t>Service stop blocked for unprivileged callers; Access Denied returned on sc stop WinDefend. Verify via Get-MpPreference | Select TamperProtection.</w:t>
            </w:r>
          </w:p>
        </w:tc>
      </w:tr>
      <w:tr>
        <w:tc>
          <w:tcPr>
            <w:tcW w:type="dxa" w:w="2381"/>
          </w:tcPr>
          <w:p>
            <w:r>
              <w:rPr>
                <w:rFonts w:ascii="Calibri" w:hAnsi="Calibri"/>
                <w:b w:val="0"/>
                <w:i w:val="0"/>
                <w:sz w:val="20"/>
              </w:rPr>
              <w:t>Ransomware / Controlled Folder Access</w:t>
            </w:r>
          </w:p>
        </w:tc>
        <w:tc>
          <w:tcPr>
            <w:tcW w:type="dxa" w:w="1020"/>
          </w:tcPr>
          <w:p>
            <w:r>
              <w:rPr>
                <w:rFonts w:ascii="Calibri" w:hAnsi="Calibri"/>
                <w:b w:val="0"/>
                <w:i w:val="0"/>
                <w:sz w:val="20"/>
              </w:rPr>
              <w:t>Partial</w:t>
            </w:r>
          </w:p>
        </w:tc>
        <w:tc>
          <w:tcPr>
            <w:tcW w:type="dxa" w:w="5783"/>
          </w:tcPr>
          <w:p>
            <w:r>
              <w:rPr>
                <w:rFonts w:ascii="Calibri" w:hAnsi="Calibri"/>
                <w:b w:val="0"/>
                <w:i w:val="0"/>
                <w:sz w:val="20"/>
              </w:rPr>
              <w:t>Feature present but disabled by default. Enable and allow-list trusted apps before department-wide rollout.</w:t>
            </w:r>
          </w:p>
        </w:tc>
      </w:tr>
      <w:tr>
        <w:tc>
          <w:tcPr>
            <w:tcW w:type="dxa" w:w="2381"/>
          </w:tcPr>
          <w:p>
            <w:r>
              <w:rPr>
                <w:rFonts w:ascii="Calibri" w:hAnsi="Calibri"/>
                <w:b w:val="0"/>
                <w:i w:val="0"/>
                <w:sz w:val="20"/>
              </w:rPr>
              <w:t>Incident response integration</w:t>
            </w:r>
          </w:p>
        </w:tc>
        <w:tc>
          <w:tcPr>
            <w:tcW w:type="dxa" w:w="1020"/>
          </w:tcPr>
          <w:p>
            <w:r>
              <w:rPr>
                <w:rFonts w:ascii="Calibri" w:hAnsi="Calibri"/>
                <w:b w:val="0"/>
                <w:i w:val="0"/>
                <w:sz w:val="20"/>
              </w:rPr>
              <w:t>Gap</w:t>
            </w:r>
          </w:p>
        </w:tc>
        <w:tc>
          <w:tcPr>
            <w:tcW w:type="dxa" w:w="5783"/>
          </w:tcPr>
          <w:p>
            <w:r>
              <w:rPr>
                <w:rFonts w:ascii="Calibri" w:hAnsi="Calibri"/>
                <w:b w:val="0"/>
                <w:i w:val="0"/>
                <w:sz w:val="20"/>
              </w:rPr>
              <w:t>Standalone Defender lacks automated playbooks or network isolation without paid Defender for Endpoint. Supplement with Wazuh + scripted isolation response.</w:t>
            </w:r>
          </w:p>
        </w:tc>
      </w:tr>
    </w:tbl>
    <w:p/>
    <w:p>
      <w:pPr>
        <w:keepNext/>
        <w:spacing w:before="120" w:after="60" w:line="253" w:lineRule="exact"/>
      </w:pPr>
      <w:r>
        <w:rPr>
          <w:rFonts w:ascii="Calibri" w:hAnsi="Calibri"/>
          <w:b/>
          <w:i w:val="0"/>
          <w:sz w:val="22"/>
        </w:rPr>
        <w:t>3.2  Hands-on Detection Tests</w:t>
      </w:r>
    </w:p>
    <w:p>
      <w:pPr>
        <w:spacing w:before="0" w:after="120" w:line="253" w:lineRule="exact"/>
      </w:pPr>
      <w:r>
        <w:rPr>
          <w:rFonts w:ascii="Calibri" w:hAnsi="Calibri"/>
          <w:b/>
          <w:i w:val="0"/>
          <w:sz w:val="22"/>
        </w:rPr>
        <w:t xml:space="preserve">Test 1 — EICAR standard test file.  </w:t>
      </w:r>
      <w:r>
        <w:rPr>
          <w:rFonts w:ascii="Calibri" w:hAnsi="Calibri"/>
          <w:b w:val="0"/>
          <w:i w:val="0"/>
          <w:sz w:val="22"/>
        </w:rPr>
        <w:t xml:space="preserve">The EICAR test file was written to the Desktop of a Windows 11 host with real-time protection active. The file was removed within approximately two seconds of creation. A Windows Security notification appeared reading ‘Threat found: Virus:DOS/EICAR_Test_File’ and Event ID 1116 was recorded in the Microsoft-Windows-Windows Defender/Operational log with action ‘Quarantine’. Result: </w:t>
      </w:r>
      <w:r>
        <w:rPr>
          <w:rFonts w:ascii="Calibri" w:hAnsi="Calibri"/>
          <w:b/>
          <w:i w:val="0"/>
          <w:sz w:val="22"/>
        </w:rPr>
        <w:t>PASS.</w:t>
      </w:r>
    </w:p>
    <w:p>
      <w:pPr>
        <w:spacing w:before="0" w:after="120" w:line="253" w:lineRule="exact"/>
      </w:pPr>
      <w:r>
        <w:rPr>
          <w:rFonts w:ascii="Calibri" w:hAnsi="Calibri"/>
          <w:b/>
          <w:i w:val="0"/>
          <w:sz w:val="22"/>
        </w:rPr>
        <w:t xml:space="preserve">Test 2 — EICAR inside a ZIP archive.  </w:t>
      </w:r>
      <w:r>
        <w:rPr>
          <w:rFonts w:ascii="Calibri" w:hAnsi="Calibri"/>
          <w:b w:val="0"/>
          <w:i w:val="0"/>
          <w:sz w:val="22"/>
        </w:rPr>
        <w:t xml:space="preserve">The EICAR string was packaged into a .zip archive before writing to disk. The archive was not flagged on creation. When extraction was attempted, Defender blocked decompression and logged Event ID 1116 with the compressed file path. This confirms Defender scans compressed content at the point of access rather than on archive creation. Result: </w:t>
      </w:r>
      <w:r>
        <w:rPr>
          <w:rFonts w:ascii="Calibri" w:hAnsi="Calibri"/>
          <w:b/>
          <w:i w:val="0"/>
          <w:sz w:val="22"/>
        </w:rPr>
        <w:t>PASS.</w:t>
      </w:r>
    </w:p>
    <w:p>
      <w:pPr>
        <w:spacing w:before="0" w:after="120" w:line="253" w:lineRule="exact"/>
      </w:pPr>
      <w:r>
        <w:rPr>
          <w:rFonts w:ascii="Calibri" w:hAnsi="Calibri"/>
          <w:b/>
          <w:i w:val="0"/>
          <w:sz w:val="22"/>
        </w:rPr>
        <w:t xml:space="preserve">Test 3 — Tamper protection (service stop attempt).  </w:t>
      </w:r>
      <w:r>
        <w:rPr>
          <w:rFonts w:ascii="Calibri" w:hAnsi="Calibri"/>
          <w:b w:val="0"/>
          <w:i w:val="0"/>
          <w:sz w:val="22"/>
        </w:rPr>
        <w:t xml:space="preserve">The command </w:t>
      </w:r>
      <w:r>
        <w:rPr>
          <w:rFonts w:ascii="Courier New" w:hAnsi="Courier New"/>
          <w:b w:val="0"/>
          <w:i w:val="0"/>
          <w:sz w:val="20"/>
        </w:rPr>
        <w:t>sc stop WinDefend</w:t>
      </w:r>
      <w:r>
        <w:rPr>
          <w:rFonts w:ascii="Calibri" w:hAnsi="Calibri"/>
          <w:b w:val="0"/>
          <w:i w:val="0"/>
          <w:sz w:val="22"/>
        </w:rPr>
        <w:t xml:space="preserve"> was executed from a standard user account. The command returned ‘Access Denied’ (error 5) and no Event ID 5001 was generated, confirming that Tamper Protection prevented service termination. Result: </w:t>
      </w:r>
      <w:r>
        <w:rPr>
          <w:rFonts w:ascii="Calibri" w:hAnsi="Calibri"/>
          <w:b/>
          <w:i w:val="0"/>
          <w:sz w:val="22"/>
        </w:rPr>
        <w:t>PASS.</w:t>
      </w:r>
    </w:p>
    <w:p>
      <w:pPr>
        <w:keepNext/>
        <w:spacing w:before="120" w:after="60" w:line="253" w:lineRule="exact"/>
      </w:pPr>
      <w:r>
        <w:rPr>
          <w:rFonts w:ascii="Calibri" w:hAnsi="Calibri"/>
          <w:b/>
          <w:i w:val="0"/>
          <w:sz w:val="22"/>
        </w:rPr>
        <w:t>3.3  Windows Firewall Rule Audit</w:t>
      </w:r>
    </w:p>
    <w:p>
      <w:pPr>
        <w:keepNext w:val="0"/>
        <w:spacing w:before="0" w:after="80" w:line="253" w:lineRule="exact"/>
      </w:pPr>
      <w:r>
        <w:rPr>
          <w:rFonts w:ascii="Calibri" w:hAnsi="Calibri"/>
          <w:b w:val="0"/>
          <w:i w:val="0"/>
          <w:sz w:val="22"/>
        </w:rPr>
        <w:t>A review of the default Windows Firewall rule set identified four findings relevant to the lab environment. Two rules represent actionable risk, one is an acceptable operational default, and one demonstrates a correct secure-by-default posture.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134"/>
          </w:tcPr>
          <w:p>
            <w:r>
              <w:rPr>
                <w:rFonts w:ascii="Calibri" w:hAnsi="Calibri"/>
                <w:b/>
                <w:i w:val="0"/>
                <w:sz w:val="20"/>
              </w:rPr>
              <w:t>Direction</w:t>
            </w:r>
          </w:p>
        </w:tc>
        <w:tc>
          <w:tcPr>
            <w:tcW w:type="dxa" w:w="2494"/>
          </w:tcPr>
          <w:p>
            <w:r>
              <w:rPr>
                <w:rFonts w:ascii="Calibri" w:hAnsi="Calibri"/>
                <w:b/>
                <w:i w:val="0"/>
                <w:sz w:val="20"/>
              </w:rPr>
              <w:t>Rule</w:t>
            </w:r>
          </w:p>
        </w:tc>
        <w:tc>
          <w:tcPr>
            <w:tcW w:type="dxa" w:w="907"/>
          </w:tcPr>
          <w:p>
            <w:r>
              <w:rPr>
                <w:rFonts w:ascii="Calibri" w:hAnsi="Calibri"/>
                <w:b/>
                <w:i w:val="0"/>
                <w:sz w:val="20"/>
              </w:rPr>
              <w:t>State</w:t>
            </w:r>
          </w:p>
        </w:tc>
        <w:tc>
          <w:tcPr>
            <w:tcW w:type="dxa" w:w="907"/>
          </w:tcPr>
          <w:p>
            <w:r>
              <w:rPr>
                <w:rFonts w:ascii="Calibri" w:hAnsi="Calibri"/>
                <w:b/>
                <w:i w:val="0"/>
                <w:sz w:val="20"/>
              </w:rPr>
              <w:t>Action</w:t>
            </w:r>
          </w:p>
        </w:tc>
        <w:tc>
          <w:tcPr>
            <w:tcW w:type="dxa" w:w="3742"/>
          </w:tcPr>
          <w:p>
            <w:r>
              <w:rPr>
                <w:rFonts w:ascii="Calibri" w:hAnsi="Calibri"/>
                <w:b/>
                <w:i w:val="0"/>
                <w:sz w:val="20"/>
              </w:rPr>
              <w:t>Risk commentary</w:t>
            </w:r>
          </w:p>
        </w:tc>
      </w:tr>
      <w:tr>
        <w:tc>
          <w:tcPr>
            <w:tcW w:type="dxa" w:w="1134"/>
          </w:tcPr>
          <w:p>
            <w:r>
              <w:rPr>
                <w:rFonts w:ascii="Calibri" w:hAnsi="Calibri"/>
                <w:b w:val="0"/>
                <w:i w:val="0"/>
                <w:sz w:val="20"/>
              </w:rPr>
              <w:t>Inbound</w:t>
            </w:r>
          </w:p>
        </w:tc>
        <w:tc>
          <w:tcPr>
            <w:tcW w:type="dxa" w:w="2494"/>
          </w:tcPr>
          <w:p>
            <w:r>
              <w:rPr>
                <w:rFonts w:ascii="Calibri" w:hAnsi="Calibri"/>
                <w:b w:val="0"/>
                <w:i w:val="0"/>
                <w:sz w:val="20"/>
              </w:rPr>
              <w:t>Remote Desktop (TCP 3389)</w:t>
            </w:r>
          </w:p>
        </w:tc>
        <w:tc>
          <w:tcPr>
            <w:tcW w:type="dxa" w:w="907"/>
          </w:tcPr>
          <w:p>
            <w:r>
              <w:rPr>
                <w:rFonts w:ascii="Calibri" w:hAnsi="Calibri"/>
                <w:b w:val="0"/>
                <w:i w:val="0"/>
                <w:sz w:val="20"/>
              </w:rPr>
              <w:t>Enabled</w:t>
            </w:r>
          </w:p>
        </w:tc>
        <w:tc>
          <w:tcPr>
            <w:tcW w:type="dxa" w:w="907"/>
          </w:tcPr>
          <w:p>
            <w:r>
              <w:rPr>
                <w:rFonts w:ascii="Calibri" w:hAnsi="Calibri"/>
                <w:b w:val="0"/>
                <w:i w:val="0"/>
                <w:sz w:val="20"/>
              </w:rPr>
              <w:t>Allow</w:t>
            </w:r>
          </w:p>
        </w:tc>
        <w:tc>
          <w:tcPr>
            <w:tcW w:type="dxa" w:w="3742"/>
          </w:tcPr>
          <w:p>
            <w:r>
              <w:rPr>
                <w:rFonts w:ascii="Calibri" w:hAnsi="Calibri"/>
                <w:b w:val="0"/>
                <w:i w:val="0"/>
                <w:sz w:val="20"/>
              </w:rPr>
              <w:t>Open on all profiles; brute-force risk if internet-reachable. Scope to management IPs.</w:t>
            </w:r>
          </w:p>
        </w:tc>
      </w:tr>
      <w:tr>
        <w:tc>
          <w:tcPr>
            <w:tcW w:type="dxa" w:w="1134"/>
          </w:tcPr>
          <w:p>
            <w:r>
              <w:rPr>
                <w:rFonts w:ascii="Calibri" w:hAnsi="Calibri"/>
                <w:b w:val="0"/>
                <w:i w:val="0"/>
                <w:sz w:val="20"/>
              </w:rPr>
              <w:t>Inbound</w:t>
            </w:r>
          </w:p>
        </w:tc>
        <w:tc>
          <w:tcPr>
            <w:tcW w:type="dxa" w:w="2494"/>
          </w:tcPr>
          <w:p>
            <w:r>
              <w:rPr>
                <w:rFonts w:ascii="Calibri" w:hAnsi="Calibri"/>
                <w:b w:val="0"/>
                <w:i w:val="0"/>
                <w:sz w:val="20"/>
              </w:rPr>
              <w:t>File and Printer Sharing (SMB, TCP 445)</w:t>
            </w:r>
          </w:p>
        </w:tc>
        <w:tc>
          <w:tcPr>
            <w:tcW w:type="dxa" w:w="907"/>
          </w:tcPr>
          <w:p>
            <w:r>
              <w:rPr>
                <w:rFonts w:ascii="Calibri" w:hAnsi="Calibri"/>
                <w:b w:val="0"/>
                <w:i w:val="0"/>
                <w:sz w:val="20"/>
              </w:rPr>
              <w:t>Enabled</w:t>
            </w:r>
          </w:p>
        </w:tc>
        <w:tc>
          <w:tcPr>
            <w:tcW w:type="dxa" w:w="907"/>
          </w:tcPr>
          <w:p>
            <w:r>
              <w:rPr>
                <w:rFonts w:ascii="Calibri" w:hAnsi="Calibri"/>
                <w:b w:val="0"/>
                <w:i w:val="0"/>
                <w:sz w:val="20"/>
              </w:rPr>
              <w:t>Allow</w:t>
            </w:r>
          </w:p>
        </w:tc>
        <w:tc>
          <w:tcPr>
            <w:tcW w:type="dxa" w:w="3742"/>
          </w:tcPr>
          <w:p>
            <w:r>
              <w:rPr>
                <w:rFonts w:ascii="Calibri" w:hAnsi="Calibri"/>
                <w:b w:val="0"/>
                <w:i w:val="0"/>
                <w:sz w:val="20"/>
              </w:rPr>
              <w:t>Acceptable on domain profile; widens lateral-movement surface on public profile.</w:t>
            </w:r>
          </w:p>
        </w:tc>
      </w:tr>
      <w:tr>
        <w:tc>
          <w:tcPr>
            <w:tcW w:type="dxa" w:w="1134"/>
          </w:tcPr>
          <w:p>
            <w:r>
              <w:rPr>
                <w:rFonts w:ascii="Calibri" w:hAnsi="Calibri"/>
                <w:b w:val="0"/>
                <w:i w:val="0"/>
                <w:sz w:val="20"/>
              </w:rPr>
              <w:t>Outbound</w:t>
            </w:r>
          </w:p>
        </w:tc>
        <w:tc>
          <w:tcPr>
            <w:tcW w:type="dxa" w:w="2494"/>
          </w:tcPr>
          <w:p>
            <w:r>
              <w:rPr>
                <w:rFonts w:ascii="Calibri" w:hAnsi="Calibri"/>
                <w:b w:val="0"/>
                <w:i w:val="0"/>
                <w:sz w:val="20"/>
              </w:rPr>
              <w:t>All outbound (default allow)</w:t>
            </w:r>
          </w:p>
        </w:tc>
        <w:tc>
          <w:tcPr>
            <w:tcW w:type="dxa" w:w="907"/>
          </w:tcPr>
          <w:p>
            <w:r>
              <w:rPr>
                <w:rFonts w:ascii="Calibri" w:hAnsi="Calibri"/>
                <w:b w:val="0"/>
                <w:i w:val="0"/>
                <w:sz w:val="20"/>
              </w:rPr>
              <w:t>Enabled</w:t>
            </w:r>
          </w:p>
        </w:tc>
        <w:tc>
          <w:tcPr>
            <w:tcW w:type="dxa" w:w="907"/>
          </w:tcPr>
          <w:p>
            <w:r>
              <w:rPr>
                <w:rFonts w:ascii="Calibri" w:hAnsi="Calibri"/>
                <w:b w:val="0"/>
                <w:i w:val="0"/>
                <w:sz w:val="20"/>
              </w:rPr>
              <w:t>Allow</w:t>
            </w:r>
          </w:p>
        </w:tc>
        <w:tc>
          <w:tcPr>
            <w:tcW w:type="dxa" w:w="3742"/>
          </w:tcPr>
          <w:p>
            <w:r>
              <w:rPr>
                <w:rFonts w:ascii="Calibri" w:hAnsi="Calibri"/>
                <w:b w:val="0"/>
                <w:i w:val="0"/>
                <w:sz w:val="20"/>
              </w:rPr>
              <w:t>Malware with C2 beaconing is unblocked. An outbound allow-list limits exfiltration.</w:t>
            </w:r>
          </w:p>
        </w:tc>
      </w:tr>
      <w:tr>
        <w:tc>
          <w:tcPr>
            <w:tcW w:type="dxa" w:w="1134"/>
          </w:tcPr>
          <w:p>
            <w:r>
              <w:rPr>
                <w:rFonts w:ascii="Calibri" w:hAnsi="Calibri"/>
                <w:b w:val="0"/>
                <w:i w:val="0"/>
                <w:sz w:val="20"/>
              </w:rPr>
              <w:t>Inbound</w:t>
            </w:r>
          </w:p>
        </w:tc>
        <w:tc>
          <w:tcPr>
            <w:tcW w:type="dxa" w:w="2494"/>
          </w:tcPr>
          <w:p>
            <w:r>
              <w:rPr>
                <w:rFonts w:ascii="Calibri" w:hAnsi="Calibri"/>
                <w:b w:val="0"/>
                <w:i w:val="0"/>
                <w:sz w:val="20"/>
              </w:rPr>
              <w:t>ICMP Echo Request (ping)</w:t>
            </w:r>
          </w:p>
        </w:tc>
        <w:tc>
          <w:tcPr>
            <w:tcW w:type="dxa" w:w="907"/>
          </w:tcPr>
          <w:p>
            <w:r>
              <w:rPr>
                <w:rFonts w:ascii="Calibri" w:hAnsi="Calibri"/>
                <w:b w:val="0"/>
                <w:i w:val="0"/>
                <w:sz w:val="20"/>
              </w:rPr>
              <w:t>Disabled</w:t>
            </w:r>
          </w:p>
        </w:tc>
        <w:tc>
          <w:tcPr>
            <w:tcW w:type="dxa" w:w="907"/>
          </w:tcPr>
          <w:p>
            <w:r>
              <w:rPr>
                <w:rFonts w:ascii="Calibri" w:hAnsi="Calibri"/>
                <w:b w:val="0"/>
                <w:i w:val="0"/>
                <w:sz w:val="20"/>
              </w:rPr>
              <w:t>Block</w:t>
            </w:r>
          </w:p>
        </w:tc>
        <w:tc>
          <w:tcPr>
            <w:tcW w:type="dxa" w:w="3742"/>
          </w:tcPr>
          <w:p>
            <w:r>
              <w:rPr>
                <w:rFonts w:ascii="Calibri" w:hAnsi="Calibri"/>
                <w:b w:val="0"/>
                <w:i w:val="0"/>
                <w:sz w:val="20"/>
              </w:rPr>
              <w:t>Correct default on public profile; reduces host discovery on untrusted networks.</w:t>
            </w:r>
          </w:p>
        </w:tc>
      </w:tr>
    </w:tbl>
    <w:p/>
    <w:p>
      <w:pPr>
        <w:keepNext/>
        <w:spacing w:before="200" w:after="60" w:line="299" w:lineRule="exact"/>
        <w:pBdr>
          <w:bottom w:val="single" w:sz="4" w:space="2" w:color="000000"/>
        </w:pBdr>
      </w:pPr>
      <w:r>
        <w:rPr>
          <w:rFonts w:ascii="Calibri" w:hAnsi="Calibri"/>
          <w:b/>
          <w:i w:val="0"/>
          <w:sz w:val="26"/>
        </w:rPr>
        <w:t>4  Advisory Report</w:t>
      </w:r>
    </w:p>
    <w:p>
      <w:pPr>
        <w:keepNext w:val="0"/>
        <w:spacing w:before="0" w:after="40" w:line="253" w:lineRule="exact"/>
      </w:pPr>
      <w:r>
        <w:rPr>
          <w:rFonts w:ascii="Calibri" w:hAnsi="Calibri"/>
          <w:b w:val="0"/>
          <w:i/>
          <w:sz w:val="22"/>
        </w:rPr>
        <w:t>For: Head of Department, University Computing Services</w:t>
      </w:r>
    </w:p>
    <w:p>
      <w:pPr>
        <w:keepNext w:val="0"/>
        <w:spacing w:before="0" w:after="120" w:line="253" w:lineRule="exact"/>
      </w:pPr>
      <w:r>
        <w:rPr>
          <w:rFonts w:ascii="Calibri" w:hAnsi="Calibri"/>
          <w:b w:val="0"/>
          <w:i/>
          <w:sz w:val="22"/>
        </w:rPr>
        <w:t>Re: Minimum-viable security software stack for a department of approximately 50 users</w:t>
      </w:r>
    </w:p>
    <w:p>
      <w:pPr>
        <w:keepNext w:val="0"/>
        <w:spacing w:before="0" w:after="80" w:line="253" w:lineRule="exact"/>
      </w:pPr>
      <w:r>
        <w:rPr>
          <w:rFonts w:ascii="Calibri" w:hAnsi="Calibri"/>
          <w:b w:val="0"/>
          <w:i w:val="0"/>
          <w:sz w:val="22"/>
        </w:rPr>
        <w:t>The six recommendations below are ordered by priority. Each is implementable with free or open-source tools at low or medium effort. Items 1, 2, and 6 can be deployed immediately using software already present in a standard Windows environment and address the three most common initial-access and persistence patterns seen in public breach reports: unmonitored endpoint alerts, over-permissive firewall defaults, and shared credentials.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340"/>
          </w:tcPr>
          <w:p>
            <w:r>
              <w:rPr>
                <w:rFonts w:ascii="Calibri" w:hAnsi="Calibri"/>
                <w:b/>
                <w:i w:val="0"/>
                <w:sz w:val="20"/>
              </w:rPr>
              <w:t>#</w:t>
            </w:r>
          </w:p>
        </w:tc>
        <w:tc>
          <w:tcPr>
            <w:tcW w:type="dxa" w:w="1587"/>
          </w:tcPr>
          <w:p>
            <w:r>
              <w:rPr>
                <w:rFonts w:ascii="Calibri" w:hAnsi="Calibri"/>
                <w:b/>
                <w:i w:val="0"/>
                <w:sz w:val="20"/>
              </w:rPr>
              <w:t>Control area</w:t>
            </w:r>
          </w:p>
        </w:tc>
        <w:tc>
          <w:tcPr>
            <w:tcW w:type="dxa" w:w="1928"/>
          </w:tcPr>
          <w:p>
            <w:r>
              <w:rPr>
                <w:rFonts w:ascii="Calibri" w:hAnsi="Calibri"/>
                <w:b/>
                <w:i w:val="0"/>
                <w:sz w:val="20"/>
              </w:rPr>
              <w:t>Gap</w:t>
            </w:r>
          </w:p>
        </w:tc>
        <w:tc>
          <w:tcPr>
            <w:tcW w:type="dxa" w:w="3061"/>
          </w:tcPr>
          <w:p>
            <w:r>
              <w:rPr>
                <w:rFonts w:ascii="Calibri" w:hAnsi="Calibri"/>
                <w:b/>
                <w:i w:val="0"/>
                <w:sz w:val="20"/>
              </w:rPr>
              <w:t>Recommended action</w:t>
            </w:r>
          </w:p>
        </w:tc>
        <w:tc>
          <w:tcPr>
            <w:tcW w:type="dxa" w:w="1361"/>
          </w:tcPr>
          <w:p>
            <w:r>
              <w:rPr>
                <w:rFonts w:ascii="Calibri" w:hAnsi="Calibri"/>
                <w:b/>
                <w:i w:val="0"/>
                <w:sz w:val="20"/>
              </w:rPr>
              <w:t>NIST CSF</w:t>
            </w:r>
          </w:p>
        </w:tc>
        <w:tc>
          <w:tcPr>
            <w:tcW w:type="dxa" w:w="907"/>
          </w:tcPr>
          <w:p>
            <w:r>
              <w:rPr>
                <w:rFonts w:ascii="Calibri" w:hAnsi="Calibri"/>
                <w:b/>
                <w:i w:val="0"/>
                <w:sz w:val="20"/>
              </w:rPr>
              <w:t>Effort</w:t>
            </w:r>
          </w:p>
        </w:tc>
      </w:tr>
      <w:tr>
        <w:tc>
          <w:tcPr>
            <w:tcW w:type="dxa" w:w="340"/>
          </w:tcPr>
          <w:p>
            <w:r>
              <w:rPr>
                <w:rFonts w:ascii="Calibri" w:hAnsi="Calibri"/>
                <w:b w:val="0"/>
                <w:i w:val="0"/>
                <w:sz w:val="20"/>
              </w:rPr>
              <w:t>1</w:t>
            </w:r>
          </w:p>
        </w:tc>
        <w:tc>
          <w:tcPr>
            <w:tcW w:type="dxa" w:w="1587"/>
          </w:tcPr>
          <w:p>
            <w:r>
              <w:rPr>
                <w:rFonts w:ascii="Calibri" w:hAnsi="Calibri"/>
                <w:b w:val="0"/>
                <w:i w:val="0"/>
                <w:sz w:val="20"/>
              </w:rPr>
              <w:t>Endpoint protection</w:t>
            </w:r>
          </w:p>
        </w:tc>
        <w:tc>
          <w:tcPr>
            <w:tcW w:type="dxa" w:w="1928"/>
          </w:tcPr>
          <w:p>
            <w:r>
              <w:rPr>
                <w:rFonts w:ascii="Calibri" w:hAnsi="Calibri"/>
                <w:b w:val="0"/>
                <w:i w:val="0"/>
                <w:sz w:val="20"/>
              </w:rPr>
              <w:t>Defender unmanaged; Controlled Folder Access disabled</w:t>
            </w:r>
          </w:p>
        </w:tc>
        <w:tc>
          <w:tcPr>
            <w:tcW w:type="dxa" w:w="3061"/>
          </w:tcPr>
          <w:p>
            <w:r>
              <w:rPr>
                <w:rFonts w:ascii="Calibri" w:hAnsi="Calibri"/>
                <w:b w:val="0"/>
                <w:i w:val="0"/>
                <w:sz w:val="20"/>
              </w:rPr>
              <w:t>Enforce Tamper Protection, CFA, and daily-update policy via GPO. Forward Event IDs 1116/1117 to central log store.</w:t>
            </w:r>
          </w:p>
        </w:tc>
        <w:tc>
          <w:tcPr>
            <w:tcW w:type="dxa" w:w="1361"/>
          </w:tcPr>
          <w:p>
            <w:r>
              <w:rPr>
                <w:rFonts w:ascii="Calibri" w:hAnsi="Calibri"/>
                <w:b w:val="0"/>
                <w:i w:val="0"/>
                <w:sz w:val="20"/>
              </w:rPr>
              <w:t>Protect / Detect</w:t>
            </w:r>
          </w:p>
        </w:tc>
        <w:tc>
          <w:tcPr>
            <w:tcW w:type="dxa" w:w="907"/>
          </w:tcPr>
          <w:p>
            <w:r>
              <w:rPr>
                <w:rFonts w:ascii="Calibri" w:hAnsi="Calibri"/>
                <w:b w:val="0"/>
                <w:i w:val="0"/>
                <w:sz w:val="20"/>
              </w:rPr>
              <w:t>Low</w:t>
            </w:r>
          </w:p>
        </w:tc>
      </w:tr>
      <w:tr>
        <w:tc>
          <w:tcPr>
            <w:tcW w:type="dxa" w:w="340"/>
          </w:tcPr>
          <w:p>
            <w:r>
              <w:rPr>
                <w:rFonts w:ascii="Calibri" w:hAnsi="Calibri"/>
                <w:b w:val="0"/>
                <w:i w:val="0"/>
                <w:sz w:val="20"/>
              </w:rPr>
              <w:t>2</w:t>
            </w:r>
          </w:p>
        </w:tc>
        <w:tc>
          <w:tcPr>
            <w:tcW w:type="dxa" w:w="1587"/>
          </w:tcPr>
          <w:p>
            <w:r>
              <w:rPr>
                <w:rFonts w:ascii="Calibri" w:hAnsi="Calibri"/>
                <w:b w:val="0"/>
                <w:i w:val="0"/>
                <w:sz w:val="20"/>
              </w:rPr>
              <w:t>Firewall hardening</w:t>
            </w:r>
          </w:p>
        </w:tc>
        <w:tc>
          <w:tcPr>
            <w:tcW w:type="dxa" w:w="1928"/>
          </w:tcPr>
          <w:p>
            <w:r>
              <w:rPr>
                <w:rFonts w:ascii="Calibri" w:hAnsi="Calibri"/>
                <w:b w:val="0"/>
                <w:i w:val="0"/>
                <w:sz w:val="20"/>
              </w:rPr>
              <w:t>RDP inbound open on all profiles; outbound default-allow</w:t>
            </w:r>
          </w:p>
        </w:tc>
        <w:tc>
          <w:tcPr>
            <w:tcW w:type="dxa" w:w="3061"/>
          </w:tcPr>
          <w:p>
            <w:r>
              <w:rPr>
                <w:rFonts w:ascii="Calibri" w:hAnsi="Calibri"/>
                <w:b w:val="0"/>
                <w:i w:val="0"/>
                <w:sz w:val="20"/>
              </w:rPr>
              <w:t>Restrict inbound RDP to management VLAN. Implement outbound allow-list for known applications.</w:t>
            </w:r>
          </w:p>
        </w:tc>
        <w:tc>
          <w:tcPr>
            <w:tcW w:type="dxa" w:w="1361"/>
          </w:tcPr>
          <w:p>
            <w:r>
              <w:rPr>
                <w:rFonts w:ascii="Calibri" w:hAnsi="Calibri"/>
                <w:b w:val="0"/>
                <w:i w:val="0"/>
                <w:sz w:val="20"/>
              </w:rPr>
              <w:t>Protect</w:t>
            </w:r>
          </w:p>
        </w:tc>
        <w:tc>
          <w:tcPr>
            <w:tcW w:type="dxa" w:w="907"/>
          </w:tcPr>
          <w:p>
            <w:r>
              <w:rPr>
                <w:rFonts w:ascii="Calibri" w:hAnsi="Calibri"/>
                <w:b w:val="0"/>
                <w:i w:val="0"/>
                <w:sz w:val="20"/>
              </w:rPr>
              <w:t>Low</w:t>
            </w:r>
          </w:p>
        </w:tc>
      </w:tr>
      <w:tr>
        <w:tc>
          <w:tcPr>
            <w:tcW w:type="dxa" w:w="340"/>
          </w:tcPr>
          <w:p>
            <w:r>
              <w:rPr>
                <w:rFonts w:ascii="Calibri" w:hAnsi="Calibri"/>
                <w:b w:val="0"/>
                <w:i w:val="0"/>
                <w:sz w:val="20"/>
              </w:rPr>
              <w:t>3</w:t>
            </w:r>
          </w:p>
        </w:tc>
        <w:tc>
          <w:tcPr>
            <w:tcW w:type="dxa" w:w="1587"/>
          </w:tcPr>
          <w:p>
            <w:r>
              <w:rPr>
                <w:rFonts w:ascii="Calibri" w:hAnsi="Calibri"/>
                <w:b w:val="0"/>
                <w:i w:val="0"/>
                <w:sz w:val="20"/>
              </w:rPr>
              <w:t>Centralised logging</w:t>
            </w:r>
          </w:p>
        </w:tc>
        <w:tc>
          <w:tcPr>
            <w:tcW w:type="dxa" w:w="1928"/>
          </w:tcPr>
          <w:p>
            <w:r>
              <w:rPr>
                <w:rFonts w:ascii="Calibri" w:hAnsi="Calibri"/>
                <w:b w:val="0"/>
                <w:i w:val="0"/>
                <w:sz w:val="20"/>
              </w:rPr>
              <w:t>No log aggregation; events isolated per host</w:t>
            </w:r>
          </w:p>
        </w:tc>
        <w:tc>
          <w:tcPr>
            <w:tcW w:type="dxa" w:w="3061"/>
          </w:tcPr>
          <w:p>
            <w:r>
              <w:rPr>
                <w:rFonts w:ascii="Calibri" w:hAnsi="Calibri"/>
                <w:b w:val="0"/>
                <w:i w:val="0"/>
                <w:sz w:val="20"/>
              </w:rPr>
              <w:t>Deploy Wazuh or Elastic Security. Alert on Event IDs 4625, 4720, 1116.</w:t>
            </w:r>
          </w:p>
        </w:tc>
        <w:tc>
          <w:tcPr>
            <w:tcW w:type="dxa" w:w="1361"/>
          </w:tcPr>
          <w:p>
            <w:r>
              <w:rPr>
                <w:rFonts w:ascii="Calibri" w:hAnsi="Calibri"/>
                <w:b w:val="0"/>
                <w:i w:val="0"/>
                <w:sz w:val="20"/>
              </w:rPr>
              <w:t>Detect / Respond</w:t>
            </w:r>
          </w:p>
        </w:tc>
        <w:tc>
          <w:tcPr>
            <w:tcW w:type="dxa" w:w="907"/>
          </w:tcPr>
          <w:p>
            <w:r>
              <w:rPr>
                <w:rFonts w:ascii="Calibri" w:hAnsi="Calibri"/>
                <w:b w:val="0"/>
                <w:i w:val="0"/>
                <w:sz w:val="20"/>
              </w:rPr>
              <w:t>Medium</w:t>
            </w:r>
          </w:p>
        </w:tc>
      </w:tr>
      <w:tr>
        <w:tc>
          <w:tcPr>
            <w:tcW w:type="dxa" w:w="340"/>
          </w:tcPr>
          <w:p>
            <w:r>
              <w:rPr>
                <w:rFonts w:ascii="Calibri" w:hAnsi="Calibri"/>
                <w:b w:val="0"/>
                <w:i w:val="0"/>
                <w:sz w:val="20"/>
              </w:rPr>
              <w:t>4</w:t>
            </w:r>
          </w:p>
        </w:tc>
        <w:tc>
          <w:tcPr>
            <w:tcW w:type="dxa" w:w="1587"/>
          </w:tcPr>
          <w:p>
            <w:r>
              <w:rPr>
                <w:rFonts w:ascii="Calibri" w:hAnsi="Calibri"/>
                <w:b w:val="0"/>
                <w:i w:val="0"/>
                <w:sz w:val="20"/>
              </w:rPr>
              <w:t>Vulnerability management</w:t>
            </w:r>
          </w:p>
        </w:tc>
        <w:tc>
          <w:tcPr>
            <w:tcW w:type="dxa" w:w="1928"/>
          </w:tcPr>
          <w:p>
            <w:r>
              <w:rPr>
                <w:rFonts w:ascii="Calibri" w:hAnsi="Calibri"/>
                <w:b w:val="0"/>
                <w:i w:val="0"/>
                <w:sz w:val="20"/>
              </w:rPr>
              <w:t>Patching occurs but no scan-based gap verification</w:t>
            </w:r>
          </w:p>
        </w:tc>
        <w:tc>
          <w:tcPr>
            <w:tcW w:type="dxa" w:w="3061"/>
          </w:tcPr>
          <w:p>
            <w:r>
              <w:rPr>
                <w:rFonts w:ascii="Calibri" w:hAnsi="Calibri"/>
                <w:b w:val="0"/>
                <w:i w:val="0"/>
                <w:sz w:val="20"/>
              </w:rPr>
              <w:t>Monthly authenticated OpenVAS scans. CVSS 9+ patched within 72 h; CVSS 7+ within 30 days.</w:t>
            </w:r>
          </w:p>
        </w:tc>
        <w:tc>
          <w:tcPr>
            <w:tcW w:type="dxa" w:w="1361"/>
          </w:tcPr>
          <w:p>
            <w:r>
              <w:rPr>
                <w:rFonts w:ascii="Calibri" w:hAnsi="Calibri"/>
                <w:b w:val="0"/>
                <w:i w:val="0"/>
                <w:sz w:val="20"/>
              </w:rPr>
              <w:t>Identify</w:t>
            </w:r>
          </w:p>
        </w:tc>
        <w:tc>
          <w:tcPr>
            <w:tcW w:type="dxa" w:w="907"/>
          </w:tcPr>
          <w:p>
            <w:r>
              <w:rPr>
                <w:rFonts w:ascii="Calibri" w:hAnsi="Calibri"/>
                <w:b w:val="0"/>
                <w:i w:val="0"/>
                <w:sz w:val="20"/>
              </w:rPr>
              <w:t>Medium</w:t>
            </w:r>
          </w:p>
        </w:tc>
      </w:tr>
      <w:tr>
        <w:tc>
          <w:tcPr>
            <w:tcW w:type="dxa" w:w="340"/>
          </w:tcPr>
          <w:p>
            <w:r>
              <w:rPr>
                <w:rFonts w:ascii="Calibri" w:hAnsi="Calibri"/>
                <w:b w:val="0"/>
                <w:i w:val="0"/>
                <w:sz w:val="20"/>
              </w:rPr>
              <w:t>5</w:t>
            </w:r>
          </w:p>
        </w:tc>
        <w:tc>
          <w:tcPr>
            <w:tcW w:type="dxa" w:w="1587"/>
          </w:tcPr>
          <w:p>
            <w:r>
              <w:rPr>
                <w:rFonts w:ascii="Calibri" w:hAnsi="Calibri"/>
                <w:b w:val="0"/>
                <w:i w:val="0"/>
                <w:sz w:val="20"/>
              </w:rPr>
              <w:t>Secure remote access</w:t>
            </w:r>
          </w:p>
        </w:tc>
        <w:tc>
          <w:tcPr>
            <w:tcW w:type="dxa" w:w="1928"/>
          </w:tcPr>
          <w:p>
            <w:r>
              <w:rPr>
                <w:rFonts w:ascii="Calibri" w:hAnsi="Calibri"/>
                <w:b w:val="0"/>
                <w:i w:val="0"/>
                <w:sz w:val="20"/>
              </w:rPr>
              <w:t>Direct RDP over internet; no VPN policy</w:t>
            </w:r>
          </w:p>
        </w:tc>
        <w:tc>
          <w:tcPr>
            <w:tcW w:type="dxa" w:w="3061"/>
          </w:tcPr>
          <w:p>
            <w:r>
              <w:rPr>
                <w:rFonts w:ascii="Calibri" w:hAnsi="Calibri"/>
                <w:b w:val="0"/>
                <w:i w:val="0"/>
                <w:sz w:val="20"/>
              </w:rPr>
              <w:t>Deploy WireGuard VPN; disable external RDP; enforce MFA on VPN auth.</w:t>
            </w:r>
          </w:p>
        </w:tc>
        <w:tc>
          <w:tcPr>
            <w:tcW w:type="dxa" w:w="1361"/>
          </w:tcPr>
          <w:p>
            <w:r>
              <w:rPr>
                <w:rFonts w:ascii="Calibri" w:hAnsi="Calibri"/>
                <w:b w:val="0"/>
                <w:i w:val="0"/>
                <w:sz w:val="20"/>
              </w:rPr>
              <w:t>Protect</w:t>
            </w:r>
          </w:p>
        </w:tc>
        <w:tc>
          <w:tcPr>
            <w:tcW w:type="dxa" w:w="907"/>
          </w:tcPr>
          <w:p>
            <w:r>
              <w:rPr>
                <w:rFonts w:ascii="Calibri" w:hAnsi="Calibri"/>
                <w:b w:val="0"/>
                <w:i w:val="0"/>
                <w:sz w:val="20"/>
              </w:rPr>
              <w:t>Medium</w:t>
            </w:r>
          </w:p>
        </w:tc>
      </w:tr>
      <w:tr>
        <w:tc>
          <w:tcPr>
            <w:tcW w:type="dxa" w:w="340"/>
          </w:tcPr>
          <w:p>
            <w:r>
              <w:rPr>
                <w:rFonts w:ascii="Calibri" w:hAnsi="Calibri"/>
                <w:b w:val="0"/>
                <w:i w:val="0"/>
                <w:sz w:val="20"/>
              </w:rPr>
              <w:t>6</w:t>
            </w:r>
          </w:p>
        </w:tc>
        <w:tc>
          <w:tcPr>
            <w:tcW w:type="dxa" w:w="1587"/>
          </w:tcPr>
          <w:p>
            <w:r>
              <w:rPr>
                <w:rFonts w:ascii="Calibri" w:hAnsi="Calibri"/>
                <w:b w:val="0"/>
                <w:i w:val="0"/>
                <w:sz w:val="20"/>
              </w:rPr>
              <w:t>Privileged access</w:t>
            </w:r>
          </w:p>
        </w:tc>
        <w:tc>
          <w:tcPr>
            <w:tcW w:type="dxa" w:w="1928"/>
          </w:tcPr>
          <w:p>
            <w:r>
              <w:rPr>
                <w:rFonts w:ascii="Calibri" w:hAnsi="Calibri"/>
                <w:b w:val="0"/>
                <w:i w:val="0"/>
                <w:sz w:val="20"/>
              </w:rPr>
              <w:t>Shared local admin credentials; no session audit</w:t>
            </w:r>
          </w:p>
        </w:tc>
        <w:tc>
          <w:tcPr>
            <w:tcW w:type="dxa" w:w="3061"/>
          </w:tcPr>
          <w:p>
            <w:r>
              <w:rPr>
                <w:rFonts w:ascii="Calibri" w:hAnsi="Calibri"/>
                <w:b w:val="0"/>
                <w:i w:val="0"/>
                <w:sz w:val="20"/>
              </w:rPr>
              <w:t>Deploy Microsoft LAPS for unique local admin passwords; enforce just-in-time elevation logged to SIEM.</w:t>
            </w:r>
          </w:p>
        </w:tc>
        <w:tc>
          <w:tcPr>
            <w:tcW w:type="dxa" w:w="1361"/>
          </w:tcPr>
          <w:p>
            <w:r>
              <w:rPr>
                <w:rFonts w:ascii="Calibri" w:hAnsi="Calibri"/>
                <w:b w:val="0"/>
                <w:i w:val="0"/>
                <w:sz w:val="20"/>
              </w:rPr>
              <w:t>Protect / Detect</w:t>
            </w:r>
          </w:p>
        </w:tc>
        <w:tc>
          <w:tcPr>
            <w:tcW w:type="dxa" w:w="907"/>
          </w:tcPr>
          <w:p>
            <w:r>
              <w:rPr>
                <w:rFonts w:ascii="Calibri" w:hAnsi="Calibri"/>
                <w:b w:val="0"/>
                <w:i w:val="0"/>
                <w:sz w:val="20"/>
              </w:rPr>
              <w:t>Low</w:t>
            </w:r>
          </w:p>
        </w:tc>
      </w:tr>
    </w:tbl>
    <w:p/>
    <w:p>
      <w:pPr>
        <w:keepNext/>
        <w:spacing w:before="200" w:after="60" w:line="299" w:lineRule="exact"/>
        <w:pBdr>
          <w:bottom w:val="single" w:sz="4" w:space="2" w:color="000000"/>
        </w:pBdr>
      </w:pPr>
      <w:r>
        <w:rPr>
          <w:rFonts w:ascii="Calibri" w:hAnsi="Calibri"/>
          <w:b/>
          <w:i w:val="0"/>
          <w:sz w:val="26"/>
        </w:rPr>
        <w:t>5  Synthesis and Reflection</w:t>
      </w:r>
    </w:p>
    <w:p>
      <w:pPr>
        <w:keepNext w:val="0"/>
        <w:spacing w:before="0" w:after="120" w:line="253" w:lineRule="exact"/>
      </w:pPr>
      <w:r>
        <w:rPr>
          <w:rFonts w:ascii="Calibri" w:hAnsi="Calibri"/>
          <w:b w:val="0"/>
          <w:i w:val="0"/>
          <w:sz w:val="22"/>
        </w:rPr>
        <w:t>The week’s activities reinforce a pattern visible across the entire portfolio: the most impactful security failures are not exotic zero-days but avoidable configuration defaults left unchanged. Windows Defender passed all three detection tests without modification, yet its value to the organisation is severely limited without centralised management, logging, and response integration. A firewall with a default-allow outbound rule and open inbound RDP is structurally equivalent to no meaningful perimeter control.</w:t>
      </w:r>
    </w:p>
    <w:p>
      <w:pPr>
        <w:keepNext w:val="0"/>
        <w:spacing w:before="0" w:after="120" w:line="253" w:lineRule="exact"/>
      </w:pPr>
      <w:r>
        <w:rPr>
          <w:rFonts w:ascii="Calibri" w:hAnsi="Calibri"/>
          <w:b w:val="0"/>
          <w:i w:val="0"/>
          <w:sz w:val="22"/>
        </w:rPr>
        <w:t>Connecting this week to earlier portfolio threads: Week 6 demonstrated how OSINT enables targeted phishing as an initial-access vector; Week 7 showed how exposed services and missing input validation provide a foothold and persistence path. Computer security software is the operational layer that would intercept those threats at execution time — but only when correctly configured, monitored, and integrated. A correctly updated Defender instance catches common payload delivery. A SIEM ingesting Defender logs alerts on lateral movement. A VPN gateway with MFA eliminates direct credential attacks on management interfaces.</w:t>
      </w:r>
    </w:p>
    <w:p>
      <w:pPr>
        <w:keepNext w:val="0"/>
        <w:spacing w:before="0" w:after="200" w:line="253" w:lineRule="exact"/>
      </w:pPr>
      <w:r>
        <w:rPr>
          <w:rFonts w:ascii="Calibri" w:hAnsi="Calibri"/>
          <w:b w:val="0"/>
          <w:i w:val="0"/>
          <w:sz w:val="22"/>
        </w:rPr>
        <w:t>The recurring observation is that the weakest link is not usually the absence of a tool but the absence of a policy that enforces, monitors, and validates that tool’s correct operation. Technology without governance is incomplete security.</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