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8" w:lineRule="exact"/>
        <w:jc w:val="center"/>
      </w:pPr>
      <w:r>
        <w:rPr>
          <w:rFonts w:ascii="Calibri" w:hAnsi="Calibri"/>
          <w:b/>
          <w:i w:val="0"/>
          <w:sz w:val="32"/>
        </w:rPr>
        <w:t>Report Module 3</w:t>
      </w:r>
    </w:p>
    <w:p>
      <w:pPr>
        <w:spacing w:before="0" w:after="80" w:line="299" w:lineRule="exact"/>
        <w:jc w:val="center"/>
      </w:pPr>
      <w:r>
        <w:rPr>
          <w:rFonts w:ascii="Calibri" w:hAnsi="Calibri"/>
          <w:b w:val="0"/>
          <w:i w:val="0"/>
          <w:sz w:val="26"/>
        </w:rPr>
        <w:t>Network Scanning, Attack Classification, and Vulnerability Analysis</w:t>
      </w:r>
    </w:p>
    <w:p>
      <w:pPr>
        <w:spacing w:before="0" w:after="40" w:line="253" w:lineRule="exact"/>
        <w:jc w:val="center"/>
      </w:pPr>
      <w:r>
        <w:rPr>
          <w:rFonts w:ascii="Calibri" w:hAnsi="Calibri"/>
          <w:b w:val="0"/>
          <w:i w:val="0"/>
          <w:sz w:val="22"/>
        </w:rPr>
        <w:t>CS 475: Introduction to Computer Security</w:t>
      </w:r>
    </w:p>
    <w:p>
      <w:pPr>
        <w:spacing w:before="0" w:after="40" w:line="253" w:lineRule="exact"/>
        <w:jc w:val="center"/>
      </w:pPr>
      <w:r>
        <w:rPr>
          <w:rFonts w:ascii="Calibri" w:hAnsi="Calibri"/>
          <w:b w:val="0"/>
          <w:i w:val="0"/>
          <w:sz w:val="22"/>
        </w:rPr>
        <w:t>Mária Nyolcas  |  Prof: Asen Nikolov Grozdanov</w:t>
      </w:r>
    </w:p>
    <w:p>
      <w:pPr>
        <w:spacing w:before="0" w:after="120" w:line="253" w:lineRule="exact"/>
        <w:jc w:val="center"/>
      </w:pPr>
      <w:r>
        <w:rPr>
          <w:rFonts w:ascii="Calibri" w:hAnsi="Calibri"/>
          <w:b w:val="0"/>
          <w:i w:val="0"/>
          <w:sz w:val="22"/>
        </w:rPr>
        <w:t>March 2026</w:t>
      </w:r>
    </w:p>
    <w:p>
      <w:pPr>
        <w:pBdr>
          <w:bottom w:val="single" w:sz="6" w:space="1" w:color="000000"/>
        </w:pBdr>
        <w:spacing w:after="120"/>
      </w:pPr>
    </w:p>
    <w:p>
      <w:pPr>
        <w:spacing w:before="0" w:after="200" w:line="253" w:lineRule="exact"/>
      </w:pPr>
      <w:r>
        <w:rPr>
          <w:rFonts w:ascii="Calibri" w:hAnsi="Calibri"/>
          <w:b/>
          <w:i w:val="0"/>
          <w:sz w:val="22"/>
        </w:rPr>
        <w:t xml:space="preserve">Abstract. </w:t>
      </w:r>
      <w:r>
        <w:rPr>
          <w:rFonts w:ascii="Calibri" w:hAnsi="Calibri"/>
          <w:b w:val="0"/>
          <w:i w:val="0"/>
          <w:sz w:val="22"/>
        </w:rPr>
        <w:t>This report documents a controlled network scanning and vulnerability assessment exercise conducted entirely within an isolated virtual lab.  A Metasploitable 2 target was scanned with Nmap using two complementary scan types (SYN and version-detection), three high-risk attack scenarios were classified against the MITRE ATT&amp;CK Enterprise framework, and the top vulnerabilities were identified with OpenVAS, scored with CVSS v3.1, and accompanied by concrete remediation proposals.  Reflections connect the practical findings to the Week 2 access-control models and consider how defenders can detect the scans performed.</w:t>
      </w:r>
    </w:p>
    <w:p>
      <w:pPr>
        <w:keepNext/>
        <w:spacing w:before="200" w:after="60" w:line="299" w:lineRule="exact"/>
        <w:pBdr>
          <w:bottom w:val="single" w:sz="4" w:space="2" w:color="000000"/>
        </w:pBdr>
      </w:pPr>
      <w:r>
        <w:rPr>
          <w:rFonts w:ascii="Calibri" w:hAnsi="Calibri"/>
          <w:b/>
          <w:i w:val="0"/>
          <w:sz w:val="26"/>
        </w:rPr>
        <w:t>1  Introduction and Environment Description</w:t>
      </w:r>
    </w:p>
    <w:p>
      <w:pPr>
        <w:keepNext/>
        <w:spacing w:before="120" w:after="60" w:line="253" w:lineRule="exact"/>
      </w:pPr>
      <w:r>
        <w:rPr>
          <w:rFonts w:ascii="Calibri" w:hAnsi="Calibri"/>
          <w:b/>
          <w:i w:val="0"/>
          <w:sz w:val="22"/>
        </w:rPr>
        <w:t>1.1  Objectives</w:t>
      </w:r>
    </w:p>
    <w:p>
      <w:pPr>
        <w:spacing w:before="0" w:after="120" w:line="253" w:lineRule="exact"/>
      </w:pPr>
      <w:r>
        <w:rPr>
          <w:rFonts w:ascii="Calibri" w:hAnsi="Calibri"/>
          <w:b w:val="0"/>
          <w:i w:val="0"/>
          <w:sz w:val="22"/>
        </w:rPr>
        <w:t>The goals of this module are to: (i) apply host discovery and port-scanning techniques in a safe lab setting; (ii) interpret scan output in terms of attack surface; (iii) classify realistic attack scenarios using an established taxonomy; and (iv) perform a basic vulnerability assessment, prioritise findings by CVSS score, and propose remediations.</w:t>
      </w:r>
    </w:p>
    <w:p>
      <w:pPr>
        <w:keepNext/>
        <w:spacing w:before="120" w:after="60" w:line="253" w:lineRule="exact"/>
      </w:pPr>
      <w:r>
        <w:rPr>
          <w:rFonts w:ascii="Calibri" w:hAnsi="Calibri"/>
          <w:b/>
          <w:i w:val="0"/>
          <w:sz w:val="22"/>
        </w:rPr>
        <w:t>1.2  Lab Topology</w:t>
      </w:r>
    </w:p>
    <w:p>
      <w:pPr>
        <w:spacing w:before="0" w:after="80" w:line="253" w:lineRule="exact"/>
      </w:pPr>
      <w:r>
        <w:rPr>
          <w:rFonts w:ascii="Calibri" w:hAnsi="Calibri"/>
          <w:b w:val="0"/>
          <w:i w:val="0"/>
          <w:sz w:val="22"/>
        </w:rPr>
        <w:t>The lab runs on a single Windows host with Hyper-V, hosting two VMs on an isolated host-only network (192.168.56.0/24) with no routing to the internet or any production network.</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587"/>
          </w:tcPr>
          <w:p>
            <w:r>
              <w:rPr>
                <w:rFonts w:ascii="Calibri" w:hAnsi="Calibri"/>
                <w:b/>
                <w:i w:val="0"/>
                <w:sz w:val="20"/>
              </w:rPr>
              <w:t>Role</w:t>
            </w:r>
          </w:p>
        </w:tc>
        <w:tc>
          <w:tcPr>
            <w:tcW w:type="dxa" w:w="1984"/>
          </w:tcPr>
          <w:p>
            <w:r>
              <w:rPr>
                <w:rFonts w:ascii="Calibri" w:hAnsi="Calibri"/>
                <w:b/>
                <w:i w:val="0"/>
                <w:sz w:val="20"/>
              </w:rPr>
              <w:t>OS</w:t>
            </w:r>
          </w:p>
        </w:tc>
        <w:tc>
          <w:tcPr>
            <w:tcW w:type="dxa" w:w="1814"/>
          </w:tcPr>
          <w:p>
            <w:r>
              <w:rPr>
                <w:rFonts w:ascii="Calibri" w:hAnsi="Calibri"/>
                <w:b/>
                <w:i w:val="0"/>
                <w:sz w:val="20"/>
              </w:rPr>
              <w:t>IP</w:t>
            </w:r>
          </w:p>
        </w:tc>
        <w:tc>
          <w:tcPr>
            <w:tcW w:type="dxa" w:w="2154"/>
          </w:tcPr>
          <w:p>
            <w:r>
              <w:rPr>
                <w:rFonts w:ascii="Calibri" w:hAnsi="Calibri"/>
                <w:b/>
                <w:i w:val="0"/>
                <w:sz w:val="20"/>
              </w:rPr>
              <w:t>Key services</w:t>
            </w:r>
          </w:p>
        </w:tc>
        <w:tc>
          <w:tcPr>
            <w:tcW w:type="dxa" w:w="1701"/>
          </w:tcPr>
          <w:p>
            <w:r>
              <w:rPr>
                <w:rFonts w:ascii="Calibri" w:hAnsi="Calibri"/>
                <w:b/>
                <w:i w:val="0"/>
                <w:sz w:val="20"/>
              </w:rPr>
              <w:t>Notes</w:t>
            </w:r>
          </w:p>
        </w:tc>
      </w:tr>
      <w:tr>
        <w:tc>
          <w:tcPr>
            <w:tcW w:type="dxa" w:w="1587"/>
          </w:tcPr>
          <w:p>
            <w:r>
              <w:rPr>
                <w:rFonts w:ascii="Calibri" w:hAnsi="Calibri"/>
                <w:b w:val="0"/>
                <w:i w:val="0"/>
                <w:sz w:val="20"/>
              </w:rPr>
              <w:t>Attacker</w:t>
            </w:r>
          </w:p>
        </w:tc>
        <w:tc>
          <w:tcPr>
            <w:tcW w:type="dxa" w:w="1984"/>
          </w:tcPr>
          <w:p>
            <w:r>
              <w:rPr>
                <w:rFonts w:ascii="Calibri" w:hAnsi="Calibri"/>
                <w:b w:val="0"/>
                <w:i w:val="0"/>
                <w:sz w:val="20"/>
              </w:rPr>
              <w:t>Kali Linux 2024.3</w:t>
            </w:r>
          </w:p>
        </w:tc>
        <w:tc>
          <w:tcPr>
            <w:tcW w:type="dxa" w:w="1814"/>
          </w:tcPr>
          <w:p>
            <w:r>
              <w:rPr>
                <w:rFonts w:ascii="Calibri" w:hAnsi="Calibri"/>
                <w:b w:val="0"/>
                <w:i w:val="0"/>
                <w:sz w:val="20"/>
              </w:rPr>
              <w:t>192.168.56.100</w:t>
            </w:r>
          </w:p>
        </w:tc>
        <w:tc>
          <w:tcPr>
            <w:tcW w:type="dxa" w:w="2154"/>
          </w:tcPr>
          <w:p>
            <w:r>
              <w:rPr>
                <w:rFonts w:ascii="Calibri" w:hAnsi="Calibri"/>
                <w:b w:val="0"/>
                <w:i w:val="0"/>
                <w:sz w:val="20"/>
              </w:rPr>
              <w:t>Nmap 7.95, OpenVAS 22</w:t>
            </w:r>
          </w:p>
        </w:tc>
        <w:tc>
          <w:tcPr>
            <w:tcW w:type="dxa" w:w="1701"/>
          </w:tcPr>
          <w:p>
            <w:r>
              <w:rPr>
                <w:rFonts w:ascii="Calibri" w:hAnsi="Calibri"/>
                <w:b w:val="0"/>
                <w:i w:val="0"/>
                <w:sz w:val="20"/>
              </w:rPr>
              <w:t>fully updated</w:t>
            </w:r>
          </w:p>
        </w:tc>
      </w:tr>
      <w:tr>
        <w:tc>
          <w:tcPr>
            <w:tcW w:type="dxa" w:w="1587"/>
          </w:tcPr>
          <w:p>
            <w:r>
              <w:rPr>
                <w:rFonts w:ascii="Calibri" w:hAnsi="Calibri"/>
                <w:b w:val="0"/>
                <w:i w:val="0"/>
                <w:sz w:val="20"/>
              </w:rPr>
              <w:t>Target</w:t>
            </w:r>
          </w:p>
        </w:tc>
        <w:tc>
          <w:tcPr>
            <w:tcW w:type="dxa" w:w="1984"/>
          </w:tcPr>
          <w:p>
            <w:r>
              <w:rPr>
                <w:rFonts w:ascii="Calibri" w:hAnsi="Calibri"/>
                <w:b w:val="0"/>
                <w:i w:val="0"/>
                <w:sz w:val="20"/>
              </w:rPr>
              <w:t>Metasploitable 2</w:t>
            </w:r>
          </w:p>
        </w:tc>
        <w:tc>
          <w:tcPr>
            <w:tcW w:type="dxa" w:w="1814"/>
          </w:tcPr>
          <w:p>
            <w:r>
              <w:rPr>
                <w:rFonts w:ascii="Calibri" w:hAnsi="Calibri"/>
                <w:b w:val="0"/>
                <w:i w:val="0"/>
                <w:sz w:val="20"/>
              </w:rPr>
              <w:t>192.168.56.101</w:t>
            </w:r>
          </w:p>
        </w:tc>
        <w:tc>
          <w:tcPr>
            <w:tcW w:type="dxa" w:w="2154"/>
          </w:tcPr>
          <w:p>
            <w:r>
              <w:rPr>
                <w:rFonts w:ascii="Calibri" w:hAnsi="Calibri"/>
                <w:b w:val="0"/>
                <w:i w:val="0"/>
                <w:sz w:val="20"/>
              </w:rPr>
              <w:t>many intentional vulns</w:t>
            </w:r>
          </w:p>
        </w:tc>
        <w:tc>
          <w:tcPr>
            <w:tcW w:type="dxa" w:w="1701"/>
          </w:tcPr>
          <w:p>
            <w:r>
              <w:rPr>
                <w:rFonts w:ascii="Calibri" w:hAnsi="Calibri"/>
                <w:b w:val="0"/>
                <w:i w:val="0"/>
                <w:sz w:val="20"/>
              </w:rPr>
              <w:t>frozen at release</w:t>
            </w:r>
          </w:p>
        </w:tc>
      </w:tr>
    </w:tbl>
    <w:p/>
    <w:p>
      <w:pPr>
        <w:spacing w:before="0" w:after="120" w:line="253" w:lineRule="exact"/>
      </w:pPr>
      <w:r>
        <w:rPr>
          <w:rFonts w:ascii="Calibri" w:hAnsi="Calibri"/>
          <w:b w:val="0"/>
          <w:i w:val="0"/>
          <w:sz w:val="22"/>
        </w:rPr>
        <w:t>The two machines communicate only over the host-only adapter; no traffic crosses to external networks during any exercise.</w:t>
      </w:r>
    </w:p>
    <w:p>
      <w:pPr>
        <w:keepNext/>
        <w:spacing w:before="120" w:after="60" w:line="253" w:lineRule="exact"/>
      </w:pPr>
      <w:r>
        <w:rPr>
          <w:rFonts w:ascii="Calibri" w:hAnsi="Calibri"/>
          <w:b/>
          <w:i w:val="0"/>
          <w:sz w:val="22"/>
        </w:rPr>
        <w:t>1.3  Tool Selection</w:t>
      </w:r>
    </w:p>
    <w:p>
      <w:pPr>
        <w:spacing w:before="0" w:after="200" w:line="253" w:lineRule="exact"/>
      </w:pPr>
      <w:r>
        <w:rPr>
          <w:rFonts w:ascii="Calibri" w:hAnsi="Calibri"/>
          <w:b/>
          <w:i w:val="0"/>
          <w:sz w:val="22"/>
        </w:rPr>
        <w:t>Nmap</w:t>
      </w:r>
      <w:r>
        <w:rPr>
          <w:rFonts w:ascii="Calibri" w:hAnsi="Calibri"/>
          <w:b w:val="0"/>
          <w:i w:val="0"/>
          <w:sz w:val="22"/>
        </w:rPr>
        <w:t xml:space="preserve"> was chosen for scanning because its open-source code and exhaustive documentation make output easy to interpret and reproduce; it also supports both the half-open SYN mode (useful for stealth comparison) and the </w:t>
      </w:r>
      <w:r>
        <w:rPr>
          <w:rFonts w:ascii="Courier New" w:hAnsi="Courier New"/>
          <w:b w:val="0"/>
          <w:i w:val="0"/>
          <w:sz w:val="20"/>
        </w:rPr>
        <w:t>-sV</w:t>
      </w:r>
      <w:r>
        <w:rPr>
          <w:rFonts w:ascii="Calibri" w:hAnsi="Calibri"/>
          <w:b w:val="0"/>
          <w:i w:val="0"/>
          <w:sz w:val="22"/>
        </w:rPr>
        <w:t xml:space="preserve"> version-detection mode needed for banner grabbing.  </w:t>
      </w:r>
      <w:r>
        <w:rPr>
          <w:rFonts w:ascii="Calibri" w:hAnsi="Calibri"/>
          <w:b/>
          <w:i w:val="0"/>
          <w:sz w:val="22"/>
        </w:rPr>
        <w:t>OpenVAS</w:t>
      </w:r>
      <w:r>
        <w:rPr>
          <w:rFonts w:ascii="Calibri" w:hAnsi="Calibri"/>
          <w:b w:val="0"/>
          <w:i w:val="0"/>
          <w:sz w:val="22"/>
        </w:rPr>
        <w:t xml:space="preserve"> (Greenbone Community Edition) was selected for vulnerability assessment because it is free, actively maintained, and maps findings directly to CVE identifiers and CVSS scores.  All tool interactions were also wrapped in custom Python scripts (scanner.py, vuln_assessment.py, attack_classification.py) so that parsing and analysis logic is transparent and reproducible — following the same philosophy as the Week 2 model simulations.</w:t>
      </w:r>
    </w:p>
    <w:p>
      <w:pPr>
        <w:keepNext/>
        <w:spacing w:before="200" w:after="60" w:line="299" w:lineRule="exact"/>
        <w:pBdr>
          <w:bottom w:val="single" w:sz="4" w:space="2" w:color="000000"/>
        </w:pBdr>
      </w:pPr>
      <w:r>
        <w:rPr>
          <w:rFonts w:ascii="Calibri" w:hAnsi="Calibri"/>
          <w:b/>
          <w:i w:val="0"/>
          <w:sz w:val="26"/>
        </w:rPr>
        <w:t>2  Scanning Results and Analysis</w:t>
      </w:r>
    </w:p>
    <w:p>
      <w:pPr>
        <w:keepNext/>
        <w:spacing w:before="120" w:after="60" w:line="253" w:lineRule="exact"/>
      </w:pPr>
      <w:r>
        <w:rPr>
          <w:rFonts w:ascii="Calibri" w:hAnsi="Calibri"/>
          <w:b/>
          <w:i w:val="0"/>
          <w:sz w:val="22"/>
        </w:rPr>
        <w:t>2.1  Host Discovery</w:t>
      </w:r>
    </w:p>
    <w:p>
      <w:pPr>
        <w:spacing w:before="0" w:after="120" w:line="253" w:lineRule="exact"/>
      </w:pPr>
      <w:r>
        <w:rPr>
          <w:rFonts w:ascii="Calibri" w:hAnsi="Calibri"/>
          <w:b w:val="0"/>
          <w:i w:val="0"/>
          <w:sz w:val="22"/>
        </w:rPr>
        <w:t>A ping sweep (</w:t>
      </w:r>
      <w:r>
        <w:rPr>
          <w:rFonts w:ascii="Courier New" w:hAnsi="Courier New"/>
          <w:b w:val="0"/>
          <w:i w:val="0"/>
          <w:sz w:val="20"/>
        </w:rPr>
        <w:t>nmap -sn 192.168.56.0/24</w:t>
      </w:r>
      <w:r>
        <w:rPr>
          <w:rFonts w:ascii="Calibri" w:hAnsi="Calibri"/>
          <w:b w:val="0"/>
          <w:i w:val="0"/>
          <w:sz w:val="22"/>
        </w:rPr>
        <w:t xml:space="preserve">) confirmed two live hosts: </w:t>
      </w:r>
      <w:r>
        <w:rPr>
          <w:rFonts w:ascii="Courier New" w:hAnsi="Courier New"/>
          <w:b w:val="0"/>
          <w:i w:val="0"/>
          <w:sz w:val="20"/>
        </w:rPr>
        <w:t>192.168.56.100</w:t>
      </w:r>
      <w:r>
        <w:rPr>
          <w:rFonts w:ascii="Calibri" w:hAnsi="Calibri"/>
          <w:b w:val="0"/>
          <w:i w:val="0"/>
          <w:sz w:val="22"/>
        </w:rPr>
        <w:t xml:space="preserve"> (attacker) and </w:t>
      </w:r>
      <w:r>
        <w:rPr>
          <w:rFonts w:ascii="Courier New" w:hAnsi="Courier New"/>
          <w:b w:val="0"/>
          <w:i w:val="0"/>
          <w:sz w:val="20"/>
        </w:rPr>
        <w:t>192.168.56.101</w:t>
      </w:r>
      <w:r>
        <w:rPr>
          <w:rFonts w:ascii="Calibri" w:hAnsi="Calibri"/>
          <w:b w:val="0"/>
          <w:i w:val="0"/>
          <w:sz w:val="22"/>
        </w:rPr>
        <w:t xml:space="preserve"> (target).  ICMP echo replies were not filtered, which is expected on a host-only adapter with no firewall policy applied.</w:t>
      </w:r>
    </w:p>
    <w:p>
      <w:pPr>
        <w:keepNext/>
        <w:spacing w:before="120" w:after="60" w:line="253" w:lineRule="exact"/>
      </w:pPr>
      <w:r>
        <w:rPr>
          <w:rFonts w:ascii="Calibri" w:hAnsi="Calibri"/>
          <w:b/>
          <w:i w:val="0"/>
          <w:sz w:val="22"/>
        </w:rPr>
        <w:t>2.2  Port Scan Results</w:t>
      </w:r>
    </w:p>
    <w:p>
      <w:pPr>
        <w:spacing w:before="0" w:after="60" w:line="253" w:lineRule="exact"/>
      </w:pPr>
      <w:r>
        <w:rPr>
          <w:rFonts w:ascii="Calibri" w:hAnsi="Calibri"/>
          <w:b/>
          <w:i w:val="0"/>
          <w:sz w:val="22"/>
        </w:rPr>
        <w:t>Scan 1 – SYN scan</w:t>
      </w:r>
      <w:r>
        <w:rPr>
          <w:rFonts w:ascii="Calibri" w:hAnsi="Calibri"/>
          <w:b w:val="0"/>
          <w:i w:val="0"/>
          <w:sz w:val="22"/>
        </w:rPr>
        <w:t xml:space="preserve"> (</w:t>
      </w:r>
      <w:r>
        <w:rPr>
          <w:rFonts w:ascii="Courier New" w:hAnsi="Courier New"/>
          <w:b w:val="0"/>
          <w:i w:val="0"/>
          <w:sz w:val="20"/>
        </w:rPr>
        <w:t>nmap -sS -p- --open -T4</w:t>
      </w:r>
      <w:r>
        <w:rPr>
          <w:rFonts w:ascii="Calibri" w:hAnsi="Calibri"/>
          <w:b w:val="0"/>
          <w:i w:val="0"/>
          <w:sz w:val="22"/>
        </w:rPr>
        <w:t>): sends a TCP SYN, waits for SYN-ACK (open) or RST (closed), then sends RST to abort the handshake without completing it.  This is faster and generates less log noise than a full connect.</w:t>
      </w:r>
    </w:p>
    <w:p>
      <w:pPr>
        <w:spacing w:before="0" w:after="120" w:line="253" w:lineRule="exact"/>
      </w:pPr>
      <w:r>
        <w:rPr>
          <w:rFonts w:ascii="Calibri" w:hAnsi="Calibri"/>
          <w:b/>
          <w:i w:val="0"/>
          <w:sz w:val="22"/>
        </w:rPr>
        <w:t>Scan 2 – Version scan</w:t>
      </w:r>
      <w:r>
        <w:rPr>
          <w:rFonts w:ascii="Calibri" w:hAnsi="Calibri"/>
          <w:b w:val="0"/>
          <w:i w:val="0"/>
          <w:sz w:val="22"/>
        </w:rPr>
        <w:t xml:space="preserve"> (</w:t>
      </w:r>
      <w:r>
        <w:rPr>
          <w:rFonts w:ascii="Courier New" w:hAnsi="Courier New"/>
          <w:b w:val="0"/>
          <w:i w:val="0"/>
          <w:sz w:val="20"/>
        </w:rPr>
        <w:t>nmap -sV</w:t>
      </w:r>
      <w:r>
        <w:rPr>
          <w:rFonts w:ascii="Calibri" w:hAnsi="Calibri"/>
          <w:b w:val="0"/>
          <w:i w:val="0"/>
          <w:sz w:val="22"/>
        </w:rPr>
        <w:t>) on the 12 most interesting ports: completes the TCP handshake and reads service banners, trading stealth for detail.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tcPr>
          <w:p>
            <w:r>
              <w:rPr>
                <w:rFonts w:ascii="Calibri" w:hAnsi="Calibri"/>
                <w:b/>
                <w:i w:val="0"/>
                <w:sz w:val="20"/>
              </w:rPr>
              <w:t>Port</w:t>
            </w:r>
          </w:p>
        </w:tc>
        <w:tc>
          <w:tcPr>
            <w:tcW w:type="dxa" w:w="1020"/>
          </w:tcPr>
          <w:p>
            <w:r>
              <w:rPr>
                <w:rFonts w:ascii="Calibri" w:hAnsi="Calibri"/>
                <w:b/>
                <w:i w:val="0"/>
                <w:sz w:val="20"/>
              </w:rPr>
              <w:t>State</w:t>
            </w:r>
          </w:p>
        </w:tc>
        <w:tc>
          <w:tcPr>
            <w:tcW w:type="dxa" w:w="1814"/>
          </w:tcPr>
          <w:p>
            <w:r>
              <w:rPr>
                <w:rFonts w:ascii="Calibri" w:hAnsi="Calibri"/>
                <w:b/>
                <w:i w:val="0"/>
                <w:sz w:val="20"/>
              </w:rPr>
              <w:t>Service</w:t>
            </w:r>
          </w:p>
        </w:tc>
        <w:tc>
          <w:tcPr>
            <w:tcW w:type="dxa" w:w="5272"/>
          </w:tcPr>
          <w:p>
            <w:r>
              <w:rPr>
                <w:rFonts w:ascii="Calibri" w:hAnsi="Calibri"/>
                <w:b/>
                <w:i w:val="0"/>
                <w:sz w:val="20"/>
              </w:rPr>
              <w:t>Banner / version (from -sV)</w:t>
            </w:r>
          </w:p>
        </w:tc>
      </w:tr>
      <w:tr>
        <w:tc>
          <w:tcPr>
            <w:tcW w:type="dxa" w:w="1134"/>
          </w:tcPr>
          <w:p>
            <w:r>
              <w:rPr>
                <w:rFonts w:ascii="Courier New" w:hAnsi="Courier New"/>
                <w:b w:val="0"/>
                <w:i w:val="0"/>
                <w:sz w:val="18"/>
              </w:rPr>
              <w:t>21/tcp</w:t>
            </w:r>
          </w:p>
        </w:tc>
        <w:tc>
          <w:tcPr>
            <w:tcW w:type="dxa" w:w="1020"/>
          </w:tcPr>
          <w:p>
            <w:r>
              <w:rPr>
                <w:rFonts w:ascii="Calibri" w:hAnsi="Calibri"/>
                <w:b w:val="0"/>
                <w:i w:val="0"/>
                <w:sz w:val="20"/>
              </w:rPr>
              <w:t>open</w:t>
            </w:r>
          </w:p>
        </w:tc>
        <w:tc>
          <w:tcPr>
            <w:tcW w:type="dxa" w:w="1814"/>
          </w:tcPr>
          <w:p>
            <w:r>
              <w:rPr>
                <w:rFonts w:ascii="Calibri" w:hAnsi="Calibri"/>
                <w:b w:val="0"/>
                <w:i w:val="0"/>
                <w:sz w:val="20"/>
              </w:rPr>
              <w:t>ftp</w:t>
            </w:r>
          </w:p>
        </w:tc>
        <w:tc>
          <w:tcPr>
            <w:tcW w:type="dxa" w:w="5272"/>
          </w:tcPr>
          <w:p>
            <w:r>
              <w:rPr>
                <w:rFonts w:ascii="Calibri" w:hAnsi="Calibri"/>
                <w:b w:val="0"/>
                <w:i w:val="0"/>
                <w:sz w:val="20"/>
              </w:rPr>
              <w:t>vsftpd 2.3.4</w:t>
            </w:r>
          </w:p>
        </w:tc>
      </w:tr>
      <w:tr>
        <w:tc>
          <w:tcPr>
            <w:tcW w:type="dxa" w:w="1134"/>
          </w:tcPr>
          <w:p>
            <w:r>
              <w:rPr>
                <w:rFonts w:ascii="Courier New" w:hAnsi="Courier New"/>
                <w:b w:val="0"/>
                <w:i w:val="0"/>
                <w:sz w:val="18"/>
              </w:rPr>
              <w:t>22/tcp</w:t>
            </w:r>
          </w:p>
        </w:tc>
        <w:tc>
          <w:tcPr>
            <w:tcW w:type="dxa" w:w="1020"/>
          </w:tcPr>
          <w:p>
            <w:r>
              <w:rPr>
                <w:rFonts w:ascii="Calibri" w:hAnsi="Calibri"/>
                <w:b w:val="0"/>
                <w:i w:val="0"/>
                <w:sz w:val="20"/>
              </w:rPr>
              <w:t>open</w:t>
            </w:r>
          </w:p>
        </w:tc>
        <w:tc>
          <w:tcPr>
            <w:tcW w:type="dxa" w:w="1814"/>
          </w:tcPr>
          <w:p>
            <w:r>
              <w:rPr>
                <w:rFonts w:ascii="Calibri" w:hAnsi="Calibri"/>
                <w:b w:val="0"/>
                <w:i w:val="0"/>
                <w:sz w:val="20"/>
              </w:rPr>
              <w:t>ssh</w:t>
            </w:r>
          </w:p>
        </w:tc>
        <w:tc>
          <w:tcPr>
            <w:tcW w:type="dxa" w:w="5272"/>
          </w:tcPr>
          <w:p>
            <w:r>
              <w:rPr>
                <w:rFonts w:ascii="Calibri" w:hAnsi="Calibri"/>
                <w:b w:val="0"/>
                <w:i w:val="0"/>
                <w:sz w:val="20"/>
              </w:rPr>
              <w:t>OpenSSH 4.7p1 Debian 8ubuntu1</w:t>
            </w:r>
          </w:p>
        </w:tc>
      </w:tr>
      <w:tr>
        <w:tc>
          <w:tcPr>
            <w:tcW w:type="dxa" w:w="1134"/>
          </w:tcPr>
          <w:p>
            <w:r>
              <w:rPr>
                <w:rFonts w:ascii="Courier New" w:hAnsi="Courier New"/>
                <w:b w:val="0"/>
                <w:i w:val="0"/>
                <w:sz w:val="18"/>
              </w:rPr>
              <w:t>23/tcp</w:t>
            </w:r>
          </w:p>
        </w:tc>
        <w:tc>
          <w:tcPr>
            <w:tcW w:type="dxa" w:w="1020"/>
          </w:tcPr>
          <w:p>
            <w:r>
              <w:rPr>
                <w:rFonts w:ascii="Calibri" w:hAnsi="Calibri"/>
                <w:b w:val="0"/>
                <w:i w:val="0"/>
                <w:sz w:val="20"/>
              </w:rPr>
              <w:t>open</w:t>
            </w:r>
          </w:p>
        </w:tc>
        <w:tc>
          <w:tcPr>
            <w:tcW w:type="dxa" w:w="1814"/>
          </w:tcPr>
          <w:p>
            <w:r>
              <w:rPr>
                <w:rFonts w:ascii="Calibri" w:hAnsi="Calibri"/>
                <w:b w:val="0"/>
                <w:i w:val="0"/>
                <w:sz w:val="20"/>
              </w:rPr>
              <w:t>telnet</w:t>
            </w:r>
          </w:p>
        </w:tc>
        <w:tc>
          <w:tcPr>
            <w:tcW w:type="dxa" w:w="5272"/>
          </w:tcPr>
          <w:p>
            <w:r>
              <w:rPr>
                <w:rFonts w:ascii="Calibri" w:hAnsi="Calibri"/>
                <w:b w:val="0"/>
                <w:i w:val="0"/>
                <w:sz w:val="20"/>
              </w:rPr>
              <w:t>Linux telnetd</w:t>
            </w:r>
          </w:p>
        </w:tc>
      </w:tr>
      <w:tr>
        <w:tc>
          <w:tcPr>
            <w:tcW w:type="dxa" w:w="1134"/>
          </w:tcPr>
          <w:p>
            <w:r>
              <w:rPr>
                <w:rFonts w:ascii="Courier New" w:hAnsi="Courier New"/>
                <w:b w:val="0"/>
                <w:i w:val="0"/>
                <w:sz w:val="18"/>
              </w:rPr>
              <w:t>25/tcp</w:t>
            </w:r>
          </w:p>
        </w:tc>
        <w:tc>
          <w:tcPr>
            <w:tcW w:type="dxa" w:w="1020"/>
          </w:tcPr>
          <w:p>
            <w:r>
              <w:rPr>
                <w:rFonts w:ascii="Calibri" w:hAnsi="Calibri"/>
                <w:b w:val="0"/>
                <w:i w:val="0"/>
                <w:sz w:val="20"/>
              </w:rPr>
              <w:t>open</w:t>
            </w:r>
          </w:p>
        </w:tc>
        <w:tc>
          <w:tcPr>
            <w:tcW w:type="dxa" w:w="1814"/>
          </w:tcPr>
          <w:p>
            <w:r>
              <w:rPr>
                <w:rFonts w:ascii="Calibri" w:hAnsi="Calibri"/>
                <w:b w:val="0"/>
                <w:i w:val="0"/>
                <w:sz w:val="20"/>
              </w:rPr>
              <w:t>smtp</w:t>
            </w:r>
          </w:p>
        </w:tc>
        <w:tc>
          <w:tcPr>
            <w:tcW w:type="dxa" w:w="5272"/>
          </w:tcPr>
          <w:p>
            <w:r>
              <w:rPr>
                <w:rFonts w:ascii="Calibri" w:hAnsi="Calibri"/>
                <w:b w:val="0"/>
                <w:i w:val="0"/>
                <w:sz w:val="20"/>
              </w:rPr>
              <w:t>Postfix smtpd</w:t>
            </w:r>
          </w:p>
        </w:tc>
      </w:tr>
      <w:tr>
        <w:tc>
          <w:tcPr>
            <w:tcW w:type="dxa" w:w="1134"/>
          </w:tcPr>
          <w:p>
            <w:r>
              <w:rPr>
                <w:rFonts w:ascii="Courier New" w:hAnsi="Courier New"/>
                <w:b w:val="0"/>
                <w:i w:val="0"/>
                <w:sz w:val="18"/>
              </w:rPr>
              <w:t>80/tcp</w:t>
            </w:r>
          </w:p>
        </w:tc>
        <w:tc>
          <w:tcPr>
            <w:tcW w:type="dxa" w:w="1020"/>
          </w:tcPr>
          <w:p>
            <w:r>
              <w:rPr>
                <w:rFonts w:ascii="Calibri" w:hAnsi="Calibri"/>
                <w:b w:val="0"/>
                <w:i w:val="0"/>
                <w:sz w:val="20"/>
              </w:rPr>
              <w:t>open</w:t>
            </w:r>
          </w:p>
        </w:tc>
        <w:tc>
          <w:tcPr>
            <w:tcW w:type="dxa" w:w="1814"/>
          </w:tcPr>
          <w:p>
            <w:r>
              <w:rPr>
                <w:rFonts w:ascii="Calibri" w:hAnsi="Calibri"/>
                <w:b w:val="0"/>
                <w:i w:val="0"/>
                <w:sz w:val="20"/>
              </w:rPr>
              <w:t>http</w:t>
            </w:r>
          </w:p>
        </w:tc>
        <w:tc>
          <w:tcPr>
            <w:tcW w:type="dxa" w:w="5272"/>
          </w:tcPr>
          <w:p>
            <w:r>
              <w:rPr>
                <w:rFonts w:ascii="Calibri" w:hAnsi="Calibri"/>
                <w:b w:val="0"/>
                <w:i w:val="0"/>
                <w:sz w:val="20"/>
              </w:rPr>
              <w:t>Apache httpd 2.2.8 (Ubuntu DAV/2)</w:t>
            </w:r>
          </w:p>
        </w:tc>
      </w:tr>
      <w:tr>
        <w:tc>
          <w:tcPr>
            <w:tcW w:type="dxa" w:w="1134"/>
          </w:tcPr>
          <w:p>
            <w:r>
              <w:rPr>
                <w:rFonts w:ascii="Courier New" w:hAnsi="Courier New"/>
                <w:b w:val="0"/>
                <w:i w:val="0"/>
                <w:sz w:val="18"/>
              </w:rPr>
              <w:t>111/tcp</w:t>
            </w:r>
          </w:p>
        </w:tc>
        <w:tc>
          <w:tcPr>
            <w:tcW w:type="dxa" w:w="1020"/>
          </w:tcPr>
          <w:p>
            <w:r>
              <w:rPr>
                <w:rFonts w:ascii="Calibri" w:hAnsi="Calibri"/>
                <w:b w:val="0"/>
                <w:i w:val="0"/>
                <w:sz w:val="20"/>
              </w:rPr>
              <w:t>open</w:t>
            </w:r>
          </w:p>
        </w:tc>
        <w:tc>
          <w:tcPr>
            <w:tcW w:type="dxa" w:w="1814"/>
          </w:tcPr>
          <w:p>
            <w:r>
              <w:rPr>
                <w:rFonts w:ascii="Calibri" w:hAnsi="Calibri"/>
                <w:b w:val="0"/>
                <w:i w:val="0"/>
                <w:sz w:val="20"/>
              </w:rPr>
              <w:t>rpcbind</w:t>
            </w:r>
          </w:p>
        </w:tc>
        <w:tc>
          <w:tcPr>
            <w:tcW w:type="dxa" w:w="5272"/>
          </w:tcPr>
          <w:p>
            <w:r>
              <w:rPr>
                <w:rFonts w:ascii="Calibri" w:hAnsi="Calibri"/>
                <w:b w:val="0"/>
                <w:i w:val="0"/>
                <w:sz w:val="20"/>
              </w:rPr>
              <w:t>2 (RPC #100000)</w:t>
            </w:r>
          </w:p>
        </w:tc>
      </w:tr>
      <w:tr>
        <w:tc>
          <w:tcPr>
            <w:tcW w:type="dxa" w:w="1134"/>
          </w:tcPr>
          <w:p>
            <w:r>
              <w:rPr>
                <w:rFonts w:ascii="Courier New" w:hAnsi="Courier New"/>
                <w:b w:val="0"/>
                <w:i w:val="0"/>
                <w:sz w:val="18"/>
              </w:rPr>
              <w:t>139/tcp</w:t>
            </w:r>
          </w:p>
        </w:tc>
        <w:tc>
          <w:tcPr>
            <w:tcW w:type="dxa" w:w="1020"/>
          </w:tcPr>
          <w:p>
            <w:r>
              <w:rPr>
                <w:rFonts w:ascii="Calibri" w:hAnsi="Calibri"/>
                <w:b w:val="0"/>
                <w:i w:val="0"/>
                <w:sz w:val="20"/>
              </w:rPr>
              <w:t>open</w:t>
            </w:r>
          </w:p>
        </w:tc>
        <w:tc>
          <w:tcPr>
            <w:tcW w:type="dxa" w:w="1814"/>
          </w:tcPr>
          <w:p>
            <w:r>
              <w:rPr>
                <w:rFonts w:ascii="Calibri" w:hAnsi="Calibri"/>
                <w:b w:val="0"/>
                <w:i w:val="0"/>
                <w:sz w:val="20"/>
              </w:rPr>
              <w:t>netbios-ssn</w:t>
            </w:r>
          </w:p>
        </w:tc>
        <w:tc>
          <w:tcPr>
            <w:tcW w:type="dxa" w:w="5272"/>
          </w:tcPr>
          <w:p>
            <w:r>
              <w:rPr>
                <w:rFonts w:ascii="Calibri" w:hAnsi="Calibri"/>
                <w:b w:val="0"/>
                <w:i w:val="0"/>
                <w:sz w:val="20"/>
              </w:rPr>
              <w:t>Samba smbd 3.0.20-Debian</w:t>
            </w:r>
          </w:p>
        </w:tc>
      </w:tr>
      <w:tr>
        <w:tc>
          <w:tcPr>
            <w:tcW w:type="dxa" w:w="1134"/>
          </w:tcPr>
          <w:p>
            <w:r>
              <w:rPr>
                <w:rFonts w:ascii="Courier New" w:hAnsi="Courier New"/>
                <w:b w:val="0"/>
                <w:i w:val="0"/>
                <w:sz w:val="18"/>
              </w:rPr>
              <w:t>445/tcp</w:t>
            </w:r>
          </w:p>
        </w:tc>
        <w:tc>
          <w:tcPr>
            <w:tcW w:type="dxa" w:w="1020"/>
          </w:tcPr>
          <w:p>
            <w:r>
              <w:rPr>
                <w:rFonts w:ascii="Calibri" w:hAnsi="Calibri"/>
                <w:b w:val="0"/>
                <w:i w:val="0"/>
                <w:sz w:val="20"/>
              </w:rPr>
              <w:t>open</w:t>
            </w:r>
          </w:p>
        </w:tc>
        <w:tc>
          <w:tcPr>
            <w:tcW w:type="dxa" w:w="1814"/>
          </w:tcPr>
          <w:p>
            <w:r>
              <w:rPr>
                <w:rFonts w:ascii="Calibri" w:hAnsi="Calibri"/>
                <w:b w:val="0"/>
                <w:i w:val="0"/>
                <w:sz w:val="20"/>
              </w:rPr>
              <w:t>microsoft-ds</w:t>
            </w:r>
          </w:p>
        </w:tc>
        <w:tc>
          <w:tcPr>
            <w:tcW w:type="dxa" w:w="5272"/>
          </w:tcPr>
          <w:p>
            <w:r>
              <w:rPr>
                <w:rFonts w:ascii="Calibri" w:hAnsi="Calibri"/>
                <w:b w:val="0"/>
                <w:i w:val="0"/>
                <w:sz w:val="20"/>
              </w:rPr>
              <w:t>Samba smbd 3.0.20-Debian</w:t>
            </w:r>
          </w:p>
        </w:tc>
      </w:tr>
      <w:tr>
        <w:tc>
          <w:tcPr>
            <w:tcW w:type="dxa" w:w="1134"/>
          </w:tcPr>
          <w:p>
            <w:r>
              <w:rPr>
                <w:rFonts w:ascii="Courier New" w:hAnsi="Courier New"/>
                <w:b w:val="0"/>
                <w:i w:val="0"/>
                <w:sz w:val="18"/>
              </w:rPr>
              <w:t>3306/tcp</w:t>
            </w:r>
          </w:p>
        </w:tc>
        <w:tc>
          <w:tcPr>
            <w:tcW w:type="dxa" w:w="1020"/>
          </w:tcPr>
          <w:p>
            <w:r>
              <w:rPr>
                <w:rFonts w:ascii="Calibri" w:hAnsi="Calibri"/>
                <w:b w:val="0"/>
                <w:i w:val="0"/>
                <w:sz w:val="20"/>
              </w:rPr>
              <w:t>open</w:t>
            </w:r>
          </w:p>
        </w:tc>
        <w:tc>
          <w:tcPr>
            <w:tcW w:type="dxa" w:w="1814"/>
          </w:tcPr>
          <w:p>
            <w:r>
              <w:rPr>
                <w:rFonts w:ascii="Calibri" w:hAnsi="Calibri"/>
                <w:b w:val="0"/>
                <w:i w:val="0"/>
                <w:sz w:val="20"/>
              </w:rPr>
              <w:t>mysql</w:t>
            </w:r>
          </w:p>
        </w:tc>
        <w:tc>
          <w:tcPr>
            <w:tcW w:type="dxa" w:w="5272"/>
          </w:tcPr>
          <w:p>
            <w:r>
              <w:rPr>
                <w:rFonts w:ascii="Calibri" w:hAnsi="Calibri"/>
                <w:b w:val="0"/>
                <w:i w:val="0"/>
                <w:sz w:val="20"/>
              </w:rPr>
              <w:t>MySQL 5.0.51a-3ubuntu5</w:t>
            </w:r>
          </w:p>
        </w:tc>
      </w:tr>
      <w:tr>
        <w:tc>
          <w:tcPr>
            <w:tcW w:type="dxa" w:w="1134"/>
          </w:tcPr>
          <w:p>
            <w:r>
              <w:rPr>
                <w:rFonts w:ascii="Courier New" w:hAnsi="Courier New"/>
                <w:b w:val="0"/>
                <w:i w:val="0"/>
                <w:sz w:val="18"/>
              </w:rPr>
              <w:t>5432/tcp</w:t>
            </w:r>
          </w:p>
        </w:tc>
        <w:tc>
          <w:tcPr>
            <w:tcW w:type="dxa" w:w="1020"/>
          </w:tcPr>
          <w:p>
            <w:r>
              <w:rPr>
                <w:rFonts w:ascii="Calibri" w:hAnsi="Calibri"/>
                <w:b w:val="0"/>
                <w:i w:val="0"/>
                <w:sz w:val="20"/>
              </w:rPr>
              <w:t>open</w:t>
            </w:r>
          </w:p>
        </w:tc>
        <w:tc>
          <w:tcPr>
            <w:tcW w:type="dxa" w:w="1814"/>
          </w:tcPr>
          <w:p>
            <w:r>
              <w:rPr>
                <w:rFonts w:ascii="Calibri" w:hAnsi="Calibri"/>
                <w:b w:val="0"/>
                <w:i w:val="0"/>
                <w:sz w:val="20"/>
              </w:rPr>
              <w:t>postgresql</w:t>
            </w:r>
          </w:p>
        </w:tc>
        <w:tc>
          <w:tcPr>
            <w:tcW w:type="dxa" w:w="5272"/>
          </w:tcPr>
          <w:p>
            <w:r>
              <w:rPr>
                <w:rFonts w:ascii="Calibri" w:hAnsi="Calibri"/>
                <w:b w:val="0"/>
                <w:i w:val="0"/>
                <w:sz w:val="20"/>
              </w:rPr>
              <w:t>PostgreSQL 8.3.0–8.3.7</w:t>
            </w:r>
          </w:p>
        </w:tc>
      </w:tr>
      <w:tr>
        <w:tc>
          <w:tcPr>
            <w:tcW w:type="dxa" w:w="1134"/>
          </w:tcPr>
          <w:p>
            <w:r>
              <w:rPr>
                <w:rFonts w:ascii="Courier New" w:hAnsi="Courier New"/>
                <w:b w:val="0"/>
                <w:i w:val="0"/>
                <w:sz w:val="18"/>
              </w:rPr>
              <w:t>6667/tcp</w:t>
            </w:r>
          </w:p>
        </w:tc>
        <w:tc>
          <w:tcPr>
            <w:tcW w:type="dxa" w:w="1020"/>
          </w:tcPr>
          <w:p>
            <w:r>
              <w:rPr>
                <w:rFonts w:ascii="Calibri" w:hAnsi="Calibri"/>
                <w:b w:val="0"/>
                <w:i w:val="0"/>
                <w:sz w:val="20"/>
              </w:rPr>
              <w:t>open</w:t>
            </w:r>
          </w:p>
        </w:tc>
        <w:tc>
          <w:tcPr>
            <w:tcW w:type="dxa" w:w="1814"/>
          </w:tcPr>
          <w:p>
            <w:r>
              <w:rPr>
                <w:rFonts w:ascii="Calibri" w:hAnsi="Calibri"/>
                <w:b w:val="0"/>
                <w:i w:val="0"/>
                <w:sz w:val="20"/>
              </w:rPr>
              <w:t>irc</w:t>
            </w:r>
          </w:p>
        </w:tc>
        <w:tc>
          <w:tcPr>
            <w:tcW w:type="dxa" w:w="5272"/>
          </w:tcPr>
          <w:p>
            <w:r>
              <w:rPr>
                <w:rFonts w:ascii="Calibri" w:hAnsi="Calibri"/>
                <w:b w:val="0"/>
                <w:i w:val="0"/>
                <w:sz w:val="20"/>
              </w:rPr>
              <w:t>UnrealIRCd 3.2.8.1</w:t>
            </w:r>
          </w:p>
        </w:tc>
      </w:tr>
      <w:tr>
        <w:tc>
          <w:tcPr>
            <w:tcW w:type="dxa" w:w="1134"/>
          </w:tcPr>
          <w:p>
            <w:r>
              <w:rPr>
                <w:rFonts w:ascii="Courier New" w:hAnsi="Courier New"/>
                <w:b w:val="0"/>
                <w:i w:val="0"/>
                <w:sz w:val="18"/>
              </w:rPr>
              <w:t>8180/tcp</w:t>
            </w:r>
          </w:p>
        </w:tc>
        <w:tc>
          <w:tcPr>
            <w:tcW w:type="dxa" w:w="1020"/>
          </w:tcPr>
          <w:p>
            <w:r>
              <w:rPr>
                <w:rFonts w:ascii="Calibri" w:hAnsi="Calibri"/>
                <w:b w:val="0"/>
                <w:i w:val="0"/>
                <w:sz w:val="20"/>
              </w:rPr>
              <w:t>open</w:t>
            </w:r>
          </w:p>
        </w:tc>
        <w:tc>
          <w:tcPr>
            <w:tcW w:type="dxa" w:w="1814"/>
          </w:tcPr>
          <w:p>
            <w:r>
              <w:rPr>
                <w:rFonts w:ascii="Calibri" w:hAnsi="Calibri"/>
                <w:b w:val="0"/>
                <w:i w:val="0"/>
                <w:sz w:val="20"/>
              </w:rPr>
              <w:t>http</w:t>
            </w:r>
          </w:p>
        </w:tc>
        <w:tc>
          <w:tcPr>
            <w:tcW w:type="dxa" w:w="5272"/>
          </w:tcPr>
          <w:p>
            <w:r>
              <w:rPr>
                <w:rFonts w:ascii="Calibri" w:hAnsi="Calibri"/>
                <w:b w:val="0"/>
                <w:i w:val="0"/>
                <w:sz w:val="20"/>
              </w:rPr>
              <w:t>Apache Tomcat/Coyote JSP 1.1</w:t>
            </w:r>
          </w:p>
        </w:tc>
      </w:tr>
    </w:tbl>
    <w:p/>
    <w:p>
      <w:pPr>
        <w:spacing w:before="0" w:after="80" w:line="253" w:lineRule="exact"/>
      </w:pPr>
      <w:r>
        <w:rPr>
          <w:rFonts w:ascii="Calibri" w:hAnsi="Calibri"/>
          <w:b/>
          <w:i w:val="0"/>
          <w:sz w:val="22"/>
        </w:rPr>
        <w:t xml:space="preserve">Analysis.  </w:t>
      </w:r>
      <w:r>
        <w:rPr>
          <w:rFonts w:ascii="Calibri" w:hAnsi="Calibri"/>
          <w:b w:val="0"/>
          <w:i w:val="0"/>
          <w:sz w:val="22"/>
        </w:rPr>
        <w:t>The target exposes an unusually large attack surface: 12 ports open on a machine that should in practice serve only one or two functions.  Several findings stand out:</w:t>
      </w:r>
    </w:p>
    <w:p>
      <w:pPr>
        <w:pStyle w:val="ListBullet"/>
        <w:spacing w:after="60" w:line="253" w:lineRule="exact"/>
        <w:ind w:left="283"/>
      </w:pPr>
      <w:r>
        <w:rPr>
          <w:rFonts w:ascii="Calibri" w:hAnsi="Calibri"/>
          <w:b/>
          <w:i w:val="0"/>
          <w:sz w:val="22"/>
        </w:rPr>
        <w:t>Legacy protocols</w:t>
      </w:r>
      <w:r>
        <w:rPr>
          <w:rFonts w:ascii="Calibri" w:hAnsi="Calibri"/>
          <w:b w:val="0"/>
          <w:i w:val="0"/>
          <w:sz w:val="22"/>
        </w:rPr>
        <w:t>: Telnet (port 23) and FTP (port 21) transmit credentials in cleartext — a passive network tap captures them without any active exploit.</w:t>
      </w:r>
    </w:p>
    <w:p>
      <w:pPr>
        <w:pStyle w:val="ListBullet"/>
        <w:spacing w:after="60" w:line="253" w:lineRule="exact"/>
        <w:ind w:left="283"/>
      </w:pPr>
      <w:r>
        <w:rPr>
          <w:rFonts w:ascii="Calibri" w:hAnsi="Calibri"/>
          <w:b/>
          <w:i w:val="0"/>
          <w:sz w:val="22"/>
        </w:rPr>
        <w:t>Outdated versions</w:t>
      </w:r>
      <w:r>
        <w:rPr>
          <w:rFonts w:ascii="Calibri" w:hAnsi="Calibri"/>
          <w:b w:val="0"/>
          <w:i w:val="0"/>
          <w:sz w:val="22"/>
        </w:rPr>
        <w:t>: vsftpd 2.3.4 is known to carry a backdoor (CVE-2011-2523); Samba 3.0.20 has a code-injection flaw (CVE-2007-2447); Apache 2.2.8 and PHP 5.2 are long past end-of-life.</w:t>
      </w:r>
    </w:p>
    <w:p>
      <w:pPr>
        <w:pStyle w:val="ListBullet"/>
        <w:spacing w:after="60" w:line="253" w:lineRule="exact"/>
        <w:ind w:left="283"/>
      </w:pPr>
      <w:r>
        <w:rPr>
          <w:rFonts w:ascii="Calibri" w:hAnsi="Calibri"/>
          <w:b/>
          <w:i w:val="0"/>
          <w:sz w:val="22"/>
        </w:rPr>
        <w:t>Filtered vs. closed</w:t>
      </w:r>
      <w:r>
        <w:rPr>
          <w:rFonts w:ascii="Calibri" w:hAnsi="Calibri"/>
          <w:b w:val="0"/>
          <w:i w:val="0"/>
          <w:sz w:val="22"/>
        </w:rPr>
        <w:t>: No ports were returned as filtered in this environment, meaning no firewall drops packets silently.  In a production setting, filtered ports indicate a firewall rule rather than an absent service — useful for mapping the defensive perimeter.</w:t>
      </w:r>
    </w:p>
    <w:p>
      <w:pPr>
        <w:pStyle w:val="ListBullet"/>
        <w:spacing w:after="60" w:line="253" w:lineRule="exact"/>
        <w:ind w:left="283"/>
      </w:pPr>
      <w:r>
        <w:rPr>
          <w:rFonts w:ascii="Calibri" w:hAnsi="Calibri"/>
          <w:b/>
          <w:i w:val="0"/>
          <w:sz w:val="22"/>
        </w:rPr>
        <w:t>Detection risk</w:t>
      </w:r>
      <w:r>
        <w:rPr>
          <w:rFonts w:ascii="Calibri" w:hAnsi="Calibri"/>
          <w:b w:val="0"/>
          <w:i w:val="0"/>
          <w:sz w:val="22"/>
        </w:rPr>
        <w:t>: The SYN scan is less likely to appear in application logs (the handshake is never completed), but it is still visible to network IDS tools monitoring for RST floods or SYN-without-ACK.  The version scan always completes the handshake and leaves entries in every service's connection log.</w:t>
      </w:r>
    </w:p>
    <w:p/>
    <w:p>
      <w:pPr>
        <w:keepNext/>
        <w:spacing w:before="200" w:after="60" w:line="299" w:lineRule="exact"/>
        <w:pBdr>
          <w:bottom w:val="single" w:sz="4" w:space="2" w:color="000000"/>
        </w:pBdr>
      </w:pPr>
      <w:r>
        <w:rPr>
          <w:rFonts w:ascii="Calibri" w:hAnsi="Calibri"/>
          <w:b/>
          <w:i w:val="0"/>
          <w:sz w:val="26"/>
        </w:rPr>
        <w:t>3  Attack Classification and Vulnerability Findings</w:t>
      </w:r>
    </w:p>
    <w:p>
      <w:pPr>
        <w:keepNext/>
        <w:spacing w:before="120" w:after="60" w:line="253" w:lineRule="exact"/>
      </w:pPr>
      <w:r>
        <w:rPr>
          <w:rFonts w:ascii="Calibri" w:hAnsi="Calibri"/>
          <w:b/>
          <w:i w:val="0"/>
          <w:sz w:val="22"/>
        </w:rPr>
        <w:t>3.1  MITRE ATT&amp;CK Mapping</w:t>
      </w:r>
    </w:p>
    <w:p>
      <w:pPr>
        <w:spacing w:before="0" w:after="80" w:line="253" w:lineRule="exact"/>
      </w:pPr>
      <w:r>
        <w:rPr>
          <w:rFonts w:ascii="Calibri" w:hAnsi="Calibri"/>
          <w:b w:val="0"/>
          <w:i w:val="0"/>
          <w:sz w:val="22"/>
        </w:rPr>
        <w:t>Three attack scenarios were selected to represent the most realistic threats to the discovered services.  Each is classified by ATT&amp;CK tactic (the why) and technique (the how), and additionally mapped to STRIDE to show the security property violated.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tcPr>
          <w:p>
            <w:r>
              <w:rPr>
                <w:rFonts w:ascii="Calibri" w:hAnsi="Calibri"/>
                <w:b/>
                <w:i w:val="0"/>
                <w:sz w:val="20"/>
              </w:rPr>
              <w:t>#</w:t>
            </w:r>
          </w:p>
        </w:tc>
        <w:tc>
          <w:tcPr>
            <w:tcW w:type="dxa" w:w="1984"/>
          </w:tcPr>
          <w:p>
            <w:r>
              <w:rPr>
                <w:rFonts w:ascii="Calibri" w:hAnsi="Calibri"/>
                <w:b/>
                <w:i w:val="0"/>
                <w:sz w:val="20"/>
              </w:rPr>
              <w:t>Service</w:t>
            </w:r>
          </w:p>
        </w:tc>
        <w:tc>
          <w:tcPr>
            <w:tcW w:type="dxa" w:w="2154"/>
          </w:tcPr>
          <w:p>
            <w:r>
              <w:rPr>
                <w:rFonts w:ascii="Calibri" w:hAnsi="Calibri"/>
                <w:b/>
                <w:i w:val="0"/>
                <w:sz w:val="20"/>
              </w:rPr>
              <w:t>Tactic (ID)</w:t>
            </w:r>
          </w:p>
        </w:tc>
        <w:tc>
          <w:tcPr>
            <w:tcW w:type="dxa" w:w="1417"/>
          </w:tcPr>
          <w:p>
            <w:r>
              <w:rPr>
                <w:rFonts w:ascii="Calibri" w:hAnsi="Calibri"/>
                <w:b/>
                <w:i w:val="0"/>
                <w:sz w:val="20"/>
              </w:rPr>
              <w:t>Technique</w:t>
            </w:r>
          </w:p>
        </w:tc>
        <w:tc>
          <w:tcPr>
            <w:tcW w:type="dxa" w:w="3345"/>
          </w:tcPr>
          <w:p>
            <w:r>
              <w:rPr>
                <w:rFonts w:ascii="Calibri" w:hAnsi="Calibri"/>
                <w:b/>
                <w:i w:val="0"/>
                <w:sz w:val="20"/>
              </w:rPr>
              <w:t>STRIDE</w:t>
            </w:r>
          </w:p>
        </w:tc>
      </w:tr>
      <w:tr>
        <w:tc>
          <w:tcPr>
            <w:tcW w:type="dxa" w:w="340"/>
          </w:tcPr>
          <w:p>
            <w:r>
              <w:rPr>
                <w:rFonts w:ascii="Calibri" w:hAnsi="Calibri"/>
                <w:b w:val="0"/>
                <w:i w:val="0"/>
                <w:sz w:val="20"/>
              </w:rPr>
              <w:t>1</w:t>
            </w:r>
          </w:p>
        </w:tc>
        <w:tc>
          <w:tcPr>
            <w:tcW w:type="dxa" w:w="1984"/>
          </w:tcPr>
          <w:p>
            <w:r>
              <w:rPr>
                <w:rFonts w:ascii="Calibri" w:hAnsi="Calibri"/>
                <w:b w:val="0"/>
                <w:i w:val="0"/>
                <w:sz w:val="20"/>
              </w:rPr>
              <w:t>vsftpd 2.3.4 (21)</w:t>
            </w:r>
          </w:p>
        </w:tc>
        <w:tc>
          <w:tcPr>
            <w:tcW w:type="dxa" w:w="2154"/>
          </w:tcPr>
          <w:p>
            <w:r>
              <w:rPr>
                <w:rFonts w:ascii="Calibri" w:hAnsi="Calibri"/>
                <w:b w:val="0"/>
                <w:i w:val="0"/>
                <w:sz w:val="20"/>
              </w:rPr>
              <w:t>Initial Access / TA0001</w:t>
            </w:r>
          </w:p>
        </w:tc>
        <w:tc>
          <w:tcPr>
            <w:tcW w:type="dxa" w:w="1417"/>
          </w:tcPr>
          <w:p>
            <w:r>
              <w:rPr>
                <w:rFonts w:ascii="Calibri" w:hAnsi="Calibri"/>
                <w:b w:val="0"/>
                <w:i w:val="0"/>
                <w:sz w:val="20"/>
              </w:rPr>
              <w:t>T1190</w:t>
            </w:r>
          </w:p>
        </w:tc>
        <w:tc>
          <w:tcPr>
            <w:tcW w:type="dxa" w:w="3345"/>
          </w:tcPr>
          <w:p>
            <w:r>
              <w:rPr>
                <w:rFonts w:ascii="Calibri" w:hAnsi="Calibri"/>
                <w:b w:val="0"/>
                <w:i w:val="0"/>
                <w:sz w:val="20"/>
              </w:rPr>
              <w:t>Elevation of Privilege, Information Disclosure</w:t>
            </w:r>
          </w:p>
        </w:tc>
      </w:tr>
      <w:tr>
        <w:tc>
          <w:tcPr>
            <w:tcW w:type="dxa" w:w="340"/>
          </w:tcPr>
          <w:p>
            <w:r>
              <w:rPr>
                <w:rFonts w:ascii="Calibri" w:hAnsi="Calibri"/>
                <w:b w:val="0"/>
                <w:i w:val="0"/>
                <w:sz w:val="20"/>
              </w:rPr>
              <w:t>2</w:t>
            </w:r>
          </w:p>
        </w:tc>
        <w:tc>
          <w:tcPr>
            <w:tcW w:type="dxa" w:w="1984"/>
          </w:tcPr>
          <w:p>
            <w:r>
              <w:rPr>
                <w:rFonts w:ascii="Calibri" w:hAnsi="Calibri"/>
                <w:b w:val="0"/>
                <w:i w:val="0"/>
                <w:sz w:val="20"/>
              </w:rPr>
              <w:t>Samba 3.0.20 (445)</w:t>
            </w:r>
          </w:p>
        </w:tc>
        <w:tc>
          <w:tcPr>
            <w:tcW w:type="dxa" w:w="2154"/>
          </w:tcPr>
          <w:p>
            <w:r>
              <w:rPr>
                <w:rFonts w:ascii="Calibri" w:hAnsi="Calibri"/>
                <w:b w:val="0"/>
                <w:i w:val="0"/>
                <w:sz w:val="20"/>
              </w:rPr>
              <w:t>Execution / TA0002</w:t>
            </w:r>
          </w:p>
        </w:tc>
        <w:tc>
          <w:tcPr>
            <w:tcW w:type="dxa" w:w="1417"/>
          </w:tcPr>
          <w:p>
            <w:r>
              <w:rPr>
                <w:rFonts w:ascii="Calibri" w:hAnsi="Calibri"/>
                <w:b w:val="0"/>
                <w:i w:val="0"/>
                <w:sz w:val="20"/>
              </w:rPr>
              <w:t>T1059.004</w:t>
            </w:r>
          </w:p>
        </w:tc>
        <w:tc>
          <w:tcPr>
            <w:tcW w:type="dxa" w:w="3345"/>
          </w:tcPr>
          <w:p>
            <w:r>
              <w:rPr>
                <w:rFonts w:ascii="Calibri" w:hAnsi="Calibri"/>
                <w:b w:val="0"/>
                <w:i w:val="0"/>
                <w:sz w:val="20"/>
              </w:rPr>
              <w:t>Tampering, Elevation of Privilege</w:t>
            </w:r>
          </w:p>
        </w:tc>
      </w:tr>
      <w:tr>
        <w:tc>
          <w:tcPr>
            <w:tcW w:type="dxa" w:w="340"/>
          </w:tcPr>
          <w:p>
            <w:r>
              <w:rPr>
                <w:rFonts w:ascii="Calibri" w:hAnsi="Calibri"/>
                <w:b w:val="0"/>
                <w:i w:val="0"/>
                <w:sz w:val="20"/>
              </w:rPr>
              <w:t>3</w:t>
            </w:r>
          </w:p>
        </w:tc>
        <w:tc>
          <w:tcPr>
            <w:tcW w:type="dxa" w:w="1984"/>
          </w:tcPr>
          <w:p>
            <w:r>
              <w:rPr>
                <w:rFonts w:ascii="Calibri" w:hAnsi="Calibri"/>
                <w:b w:val="0"/>
                <w:i w:val="0"/>
                <w:sz w:val="20"/>
              </w:rPr>
              <w:t>OpenSSH / Debian key (22)</w:t>
            </w:r>
          </w:p>
        </w:tc>
        <w:tc>
          <w:tcPr>
            <w:tcW w:type="dxa" w:w="2154"/>
          </w:tcPr>
          <w:p>
            <w:r>
              <w:rPr>
                <w:rFonts w:ascii="Calibri" w:hAnsi="Calibri"/>
                <w:b w:val="0"/>
                <w:i w:val="0"/>
                <w:sz w:val="20"/>
              </w:rPr>
              <w:t>Credential Access / TA0006</w:t>
            </w:r>
          </w:p>
        </w:tc>
        <w:tc>
          <w:tcPr>
            <w:tcW w:type="dxa" w:w="1417"/>
          </w:tcPr>
          <w:p>
            <w:r>
              <w:rPr>
                <w:rFonts w:ascii="Calibri" w:hAnsi="Calibri"/>
                <w:b w:val="0"/>
                <w:i w:val="0"/>
                <w:sz w:val="20"/>
              </w:rPr>
              <w:t>T1110.002</w:t>
            </w:r>
          </w:p>
        </w:tc>
        <w:tc>
          <w:tcPr>
            <w:tcW w:type="dxa" w:w="3345"/>
          </w:tcPr>
          <w:p>
            <w:r>
              <w:rPr>
                <w:rFonts w:ascii="Calibri" w:hAnsi="Calibri"/>
                <w:b w:val="0"/>
                <w:i w:val="0"/>
                <w:sz w:val="20"/>
              </w:rPr>
              <w:t>Spoofing, Elevation of Privilege</w:t>
            </w:r>
          </w:p>
        </w:tc>
      </w:tr>
    </w:tbl>
    <w:p/>
    <w:p>
      <w:pPr>
        <w:spacing w:before="0" w:after="80" w:line="253" w:lineRule="exact"/>
      </w:pPr>
      <w:r>
        <w:rPr>
          <w:rFonts w:ascii="Calibri" w:hAnsi="Calibri"/>
          <w:b/>
          <w:i w:val="0"/>
          <w:sz w:val="22"/>
        </w:rPr>
        <w:t xml:space="preserve">Scenario 1 — vsftpd Backdoor (TA0001 / T1190).  </w:t>
      </w:r>
      <w:r>
        <w:rPr>
          <w:rFonts w:ascii="Calibri" w:hAnsi="Calibri"/>
          <w:b w:val="0"/>
          <w:i w:val="0"/>
          <w:sz w:val="22"/>
        </w:rPr>
        <w:t xml:space="preserve">The compromised 2.3.4 release opens a root shell on port 6200 for any connection whose username contains ':)'.  This is classified under </w:t>
      </w:r>
      <w:r>
        <w:rPr>
          <w:rFonts w:ascii="Calibri" w:hAnsi="Calibri"/>
          <w:b w:val="0"/>
          <w:i/>
          <w:sz w:val="22"/>
        </w:rPr>
        <w:t>Initial Access</w:t>
      </w:r>
      <w:r>
        <w:rPr>
          <w:rFonts w:ascii="Calibri" w:hAnsi="Calibri"/>
          <w:b w:val="0"/>
          <w:i w:val="0"/>
          <w:sz w:val="22"/>
        </w:rPr>
        <w:t xml:space="preserve"> because the attacker's primary objective at this stage is gaining a first foothold.  T1190 (Exploit Public-Facing Application) accurately captures the mechanism: a network-exposed service is targeted using a publicly known vulnerability.</w:t>
      </w:r>
    </w:p>
    <w:p>
      <w:pPr>
        <w:spacing w:before="0" w:after="80" w:line="253" w:lineRule="exact"/>
      </w:pPr>
      <w:r>
        <w:rPr>
          <w:rFonts w:ascii="Calibri" w:hAnsi="Calibri"/>
          <w:b/>
          <w:i w:val="0"/>
          <w:sz w:val="22"/>
        </w:rPr>
        <w:t xml:space="preserve">Scenario 2 — Samba Command Injection (TA0002 / T1059.004).  </w:t>
      </w:r>
      <w:r>
        <w:rPr>
          <w:rFonts w:ascii="Calibri" w:hAnsi="Calibri"/>
          <w:b w:val="0"/>
          <w:i w:val="0"/>
          <w:sz w:val="22"/>
        </w:rPr>
        <w:t xml:space="preserve">The </w:t>
      </w:r>
      <w:r>
        <w:rPr>
          <w:rFonts w:ascii="Courier New" w:hAnsi="Courier New"/>
          <w:b w:val="0"/>
          <w:i w:val="0"/>
          <w:sz w:val="20"/>
        </w:rPr>
        <w:t>username map script</w:t>
      </w:r>
      <w:r>
        <w:rPr>
          <w:rFonts w:ascii="Calibri" w:hAnsi="Calibri"/>
          <w:b w:val="0"/>
          <w:i w:val="0"/>
          <w:sz w:val="22"/>
        </w:rPr>
        <w:t xml:space="preserve"> directive is evaluated by </w:t>
      </w:r>
      <w:r>
        <w:rPr>
          <w:rFonts w:ascii="Courier New" w:hAnsi="Courier New"/>
          <w:b w:val="0"/>
          <w:i w:val="0"/>
          <w:sz w:val="20"/>
        </w:rPr>
        <w:t>/bin/sh</w:t>
      </w:r>
      <w:r>
        <w:rPr>
          <w:rFonts w:ascii="Calibri" w:hAnsi="Calibri"/>
          <w:b w:val="0"/>
          <w:i w:val="0"/>
          <w:sz w:val="22"/>
        </w:rPr>
        <w:t xml:space="preserve"> without sanitisation.  An attacker injects shell metacharacters to obtain a reverse shell.  The primary ATT&amp;CK tactic is </w:t>
      </w:r>
      <w:r>
        <w:rPr>
          <w:rFonts w:ascii="Calibri" w:hAnsi="Calibri"/>
          <w:b w:val="0"/>
          <w:i/>
          <w:sz w:val="22"/>
        </w:rPr>
        <w:t>Execution</w:t>
      </w:r>
      <w:r>
        <w:rPr>
          <w:rFonts w:ascii="Calibri" w:hAnsi="Calibri"/>
          <w:b w:val="0"/>
          <w:i w:val="0"/>
          <w:sz w:val="22"/>
        </w:rPr>
        <w:t xml:space="preserve"> because the adversary's immediate gain is code running on the victim; T1059.004 (Unix Shell) names the specific interpreter.</w:t>
      </w:r>
    </w:p>
    <w:p>
      <w:pPr>
        <w:spacing w:before="0" w:after="120" w:line="253" w:lineRule="exact"/>
      </w:pPr>
      <w:r>
        <w:rPr>
          <w:rFonts w:ascii="Calibri" w:hAnsi="Calibri"/>
          <w:b/>
          <w:i w:val="0"/>
          <w:sz w:val="22"/>
        </w:rPr>
        <w:t xml:space="preserve">Scenario 3 — Predictable Debian SSH Keys (TA0006 / T1110.002).  </w:t>
      </w:r>
      <w:r>
        <w:rPr>
          <w:rFonts w:ascii="Calibri" w:hAnsi="Calibri"/>
          <w:b w:val="0"/>
          <w:i w:val="0"/>
          <w:sz w:val="22"/>
        </w:rPr>
        <w:t xml:space="preserve">CVE-2008-0166 reduced the PRNG seed space on Debian to 32,767 values.  Iterating through a pre-computed key dictionary to authenticate is classified under </w:t>
      </w:r>
      <w:r>
        <w:rPr>
          <w:rFonts w:ascii="Calibri" w:hAnsi="Calibri"/>
          <w:b w:val="0"/>
          <w:i/>
          <w:sz w:val="22"/>
        </w:rPr>
        <w:t>Credential Access</w:t>
      </w:r>
      <w:r>
        <w:rPr>
          <w:rFonts w:ascii="Calibri" w:hAnsi="Calibri"/>
          <w:b w:val="0"/>
          <w:i w:val="0"/>
          <w:sz w:val="22"/>
        </w:rPr>
        <w:t xml:space="preserve"> / Brute Force (T1110), sub-technique T1110.002, because the attacker is effectively exhausting a small credential space rather than guessing single passwords.</w:t>
      </w:r>
    </w:p>
    <w:p>
      <w:pPr>
        <w:keepNext/>
        <w:spacing w:before="120" w:after="60" w:line="253" w:lineRule="exact"/>
      </w:pPr>
      <w:r>
        <w:rPr>
          <w:rFonts w:ascii="Calibri" w:hAnsi="Calibri"/>
          <w:b/>
          <w:i w:val="0"/>
          <w:sz w:val="22"/>
        </w:rPr>
        <w:t>3.2  Top Vulnerability Findings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tcPr>
          <w:p>
            <w:r>
              <w:rPr>
                <w:rFonts w:ascii="Calibri" w:hAnsi="Calibri"/>
                <w:b/>
                <w:i w:val="0"/>
                <w:sz w:val="20"/>
              </w:rPr>
              <w:t>CVE</w:t>
            </w:r>
          </w:p>
        </w:tc>
        <w:tc>
          <w:tcPr>
            <w:tcW w:type="dxa" w:w="1247"/>
          </w:tcPr>
          <w:p>
            <w:r>
              <w:rPr>
                <w:rFonts w:ascii="Calibri" w:hAnsi="Calibri"/>
                <w:b/>
                <w:i w:val="0"/>
                <w:sz w:val="20"/>
              </w:rPr>
              <w:t>CVSS v3.1</w:t>
            </w:r>
          </w:p>
        </w:tc>
        <w:tc>
          <w:tcPr>
            <w:tcW w:type="dxa" w:w="1417"/>
          </w:tcPr>
          <w:p>
            <w:r>
              <w:rPr>
                <w:rFonts w:ascii="Calibri" w:hAnsi="Calibri"/>
                <w:b/>
                <w:i w:val="0"/>
                <w:sz w:val="20"/>
              </w:rPr>
              <w:t>Severity</w:t>
            </w:r>
          </w:p>
        </w:tc>
        <w:tc>
          <w:tcPr>
            <w:tcW w:type="dxa" w:w="4592"/>
          </w:tcPr>
          <w:p>
            <w:r>
              <w:rPr>
                <w:rFonts w:ascii="Calibri" w:hAnsi="Calibri"/>
                <w:b/>
                <w:i w:val="0"/>
                <w:sz w:val="20"/>
              </w:rPr>
              <w:t>Title</w:t>
            </w:r>
          </w:p>
        </w:tc>
      </w:tr>
      <w:tr>
        <w:tc>
          <w:tcPr>
            <w:tcW w:type="dxa" w:w="1984"/>
          </w:tcPr>
          <w:p>
            <w:r>
              <w:rPr>
                <w:rFonts w:ascii="Courier New" w:hAnsi="Courier New"/>
                <w:b w:val="0"/>
                <w:i w:val="0"/>
                <w:sz w:val="18"/>
              </w:rPr>
              <w:t>CVE-2011-2523</w:t>
            </w:r>
          </w:p>
        </w:tc>
        <w:tc>
          <w:tcPr>
            <w:tcW w:type="dxa" w:w="1247"/>
          </w:tcPr>
          <w:p>
            <w:r>
              <w:rPr>
                <w:rFonts w:ascii="Calibri" w:hAnsi="Calibri"/>
                <w:b w:val="0"/>
                <w:i w:val="0"/>
                <w:sz w:val="20"/>
              </w:rPr>
              <w:t>9.8</w:t>
            </w:r>
          </w:p>
        </w:tc>
        <w:tc>
          <w:tcPr>
            <w:tcW w:type="dxa" w:w="1417"/>
          </w:tcPr>
          <w:p>
            <w:r>
              <w:rPr>
                <w:rFonts w:ascii="Calibri" w:hAnsi="Calibri"/>
                <w:b w:val="0"/>
                <w:i w:val="0"/>
                <w:sz w:val="20"/>
              </w:rPr>
              <w:t>CRITICAL</w:t>
            </w:r>
          </w:p>
        </w:tc>
        <w:tc>
          <w:tcPr>
            <w:tcW w:type="dxa" w:w="4592"/>
          </w:tcPr>
          <w:p>
            <w:r>
              <w:rPr>
                <w:rFonts w:ascii="Calibri" w:hAnsi="Calibri"/>
                <w:b w:val="0"/>
                <w:i w:val="0"/>
                <w:sz w:val="20"/>
              </w:rPr>
              <w:t>vsftpd 2.3.4 Backdoor RCE</w:t>
            </w:r>
          </w:p>
        </w:tc>
      </w:tr>
      <w:tr>
        <w:tc>
          <w:tcPr>
            <w:tcW w:type="dxa" w:w="1984"/>
          </w:tcPr>
          <w:p>
            <w:r>
              <w:rPr>
                <w:rFonts w:ascii="Courier New" w:hAnsi="Courier New"/>
                <w:b w:val="0"/>
                <w:i w:val="0"/>
                <w:sz w:val="18"/>
              </w:rPr>
              <w:t>CVE-2007-2447</w:t>
            </w:r>
          </w:p>
        </w:tc>
        <w:tc>
          <w:tcPr>
            <w:tcW w:type="dxa" w:w="1247"/>
          </w:tcPr>
          <w:p>
            <w:r>
              <w:rPr>
                <w:rFonts w:ascii="Calibri" w:hAnsi="Calibri"/>
                <w:b w:val="0"/>
                <w:i w:val="0"/>
                <w:sz w:val="20"/>
              </w:rPr>
              <w:t>9.8</w:t>
            </w:r>
          </w:p>
        </w:tc>
        <w:tc>
          <w:tcPr>
            <w:tcW w:type="dxa" w:w="1417"/>
          </w:tcPr>
          <w:p>
            <w:r>
              <w:rPr>
                <w:rFonts w:ascii="Calibri" w:hAnsi="Calibri"/>
                <w:b w:val="0"/>
                <w:i w:val="0"/>
                <w:sz w:val="20"/>
              </w:rPr>
              <w:t>CRITICAL</w:t>
            </w:r>
          </w:p>
        </w:tc>
        <w:tc>
          <w:tcPr>
            <w:tcW w:type="dxa" w:w="4592"/>
          </w:tcPr>
          <w:p>
            <w:r>
              <w:rPr>
                <w:rFonts w:ascii="Calibri" w:hAnsi="Calibri"/>
                <w:b w:val="0"/>
                <w:i w:val="0"/>
                <w:sz w:val="20"/>
              </w:rPr>
              <w:t>Samba Username Map Script RCE</w:t>
            </w:r>
          </w:p>
        </w:tc>
      </w:tr>
      <w:tr>
        <w:tc>
          <w:tcPr>
            <w:tcW w:type="dxa" w:w="1984"/>
          </w:tcPr>
          <w:p>
            <w:r>
              <w:rPr>
                <w:rFonts w:ascii="Courier New" w:hAnsi="Courier New"/>
                <w:b w:val="0"/>
                <w:i w:val="0"/>
                <w:sz w:val="18"/>
              </w:rPr>
              <w:t>CVE-2012-1823</w:t>
            </w:r>
          </w:p>
        </w:tc>
        <w:tc>
          <w:tcPr>
            <w:tcW w:type="dxa" w:w="1247"/>
          </w:tcPr>
          <w:p>
            <w:r>
              <w:rPr>
                <w:rFonts w:ascii="Calibri" w:hAnsi="Calibri"/>
                <w:b w:val="0"/>
                <w:i w:val="0"/>
                <w:sz w:val="20"/>
              </w:rPr>
              <w:t>9.8</w:t>
            </w:r>
          </w:p>
        </w:tc>
        <w:tc>
          <w:tcPr>
            <w:tcW w:type="dxa" w:w="1417"/>
          </w:tcPr>
          <w:p>
            <w:r>
              <w:rPr>
                <w:rFonts w:ascii="Calibri" w:hAnsi="Calibri"/>
                <w:b w:val="0"/>
                <w:i w:val="0"/>
                <w:sz w:val="20"/>
              </w:rPr>
              <w:t>CRITICAL</w:t>
            </w:r>
          </w:p>
        </w:tc>
        <w:tc>
          <w:tcPr>
            <w:tcW w:type="dxa" w:w="4592"/>
          </w:tcPr>
          <w:p>
            <w:r>
              <w:rPr>
                <w:rFonts w:ascii="Calibri" w:hAnsi="Calibri"/>
                <w:b w:val="0"/>
                <w:i w:val="0"/>
                <w:sz w:val="20"/>
              </w:rPr>
              <w:t>PHP CGI Argument Injection RCE</w:t>
            </w:r>
          </w:p>
        </w:tc>
      </w:tr>
      <w:tr>
        <w:tc>
          <w:tcPr>
            <w:tcW w:type="dxa" w:w="1984"/>
          </w:tcPr>
          <w:p>
            <w:r>
              <w:rPr>
                <w:rFonts w:ascii="Courier New" w:hAnsi="Courier New"/>
                <w:b w:val="0"/>
                <w:i w:val="0"/>
                <w:sz w:val="18"/>
              </w:rPr>
              <w:t>CVE-2008-0166</w:t>
            </w:r>
          </w:p>
        </w:tc>
        <w:tc>
          <w:tcPr>
            <w:tcW w:type="dxa" w:w="1247"/>
          </w:tcPr>
          <w:p>
            <w:r>
              <w:rPr>
                <w:rFonts w:ascii="Calibri" w:hAnsi="Calibri"/>
                <w:b w:val="0"/>
                <w:i w:val="0"/>
                <w:sz w:val="20"/>
              </w:rPr>
              <w:t>7.8</w:t>
            </w:r>
          </w:p>
        </w:tc>
        <w:tc>
          <w:tcPr>
            <w:tcW w:type="dxa" w:w="1417"/>
          </w:tcPr>
          <w:p>
            <w:r>
              <w:rPr>
                <w:rFonts w:ascii="Calibri" w:hAnsi="Calibri"/>
                <w:b w:val="0"/>
                <w:i w:val="0"/>
                <w:sz w:val="20"/>
              </w:rPr>
              <w:t>HIGH</w:t>
            </w:r>
          </w:p>
        </w:tc>
        <w:tc>
          <w:tcPr>
            <w:tcW w:type="dxa" w:w="4592"/>
          </w:tcPr>
          <w:p>
            <w:r>
              <w:rPr>
                <w:rFonts w:ascii="Calibri" w:hAnsi="Calibri"/>
                <w:b w:val="0"/>
                <w:i w:val="0"/>
                <w:sz w:val="20"/>
              </w:rPr>
              <w:t>Debian Predictable OpenSSL PRNG</w:t>
            </w:r>
          </w:p>
        </w:tc>
      </w:tr>
      <w:tr>
        <w:tc>
          <w:tcPr>
            <w:tcW w:type="dxa" w:w="1984"/>
          </w:tcPr>
          <w:p>
            <w:r>
              <w:rPr>
                <w:rFonts w:ascii="Courier New" w:hAnsi="Courier New"/>
                <w:b w:val="0"/>
                <w:i w:val="0"/>
                <w:sz w:val="18"/>
              </w:rPr>
              <w:t>CVE-2004-2761</w:t>
            </w:r>
          </w:p>
        </w:tc>
        <w:tc>
          <w:tcPr>
            <w:tcW w:type="dxa" w:w="1247"/>
          </w:tcPr>
          <w:p>
            <w:r>
              <w:rPr>
                <w:rFonts w:ascii="Calibri" w:hAnsi="Calibri"/>
                <w:b w:val="0"/>
                <w:i w:val="0"/>
                <w:sz w:val="20"/>
              </w:rPr>
              <w:t>5.3</w:t>
            </w:r>
          </w:p>
        </w:tc>
        <w:tc>
          <w:tcPr>
            <w:tcW w:type="dxa" w:w="1417"/>
          </w:tcPr>
          <w:p>
            <w:r>
              <w:rPr>
                <w:rFonts w:ascii="Calibri" w:hAnsi="Calibri"/>
                <w:b w:val="0"/>
                <w:i w:val="0"/>
                <w:sz w:val="20"/>
              </w:rPr>
              <w:t>MEDIUM</w:t>
            </w:r>
          </w:p>
        </w:tc>
        <w:tc>
          <w:tcPr>
            <w:tcW w:type="dxa" w:w="4592"/>
          </w:tcPr>
          <w:p>
            <w:r>
              <w:rPr>
                <w:rFonts w:ascii="Calibri" w:hAnsi="Calibri"/>
                <w:b w:val="0"/>
                <w:i w:val="0"/>
                <w:sz w:val="20"/>
              </w:rPr>
              <w:t>MD5 Collision in SSL Certificates</w:t>
            </w:r>
          </w:p>
        </w:tc>
      </w:tr>
    </w:tbl>
    <w:p/>
    <w:p>
      <w:pPr>
        <w:spacing w:before="0" w:after="200" w:line="253" w:lineRule="exact"/>
      </w:pPr>
      <w:r>
        <w:rPr>
          <w:rFonts w:ascii="Calibri" w:hAnsi="Calibri"/>
          <w:b w:val="0"/>
          <w:i w:val="0"/>
          <w:sz w:val="22"/>
        </w:rPr>
        <w:t xml:space="preserve">The three CRITICAL findings share the same CVSS base vector </w:t>
      </w:r>
      <w:r>
        <w:rPr>
          <w:rFonts w:ascii="Courier New" w:hAnsi="Courier New"/>
          <w:b w:val="0"/>
          <w:i w:val="0"/>
          <w:sz w:val="20"/>
        </w:rPr>
        <w:t>AV:N/AC:L/PR:N/UI:N/S:U/C:H/I:H/A:H</w:t>
      </w:r>
      <w:r>
        <w:rPr>
          <w:rFonts w:ascii="Calibri" w:hAnsi="Calibri"/>
          <w:b w:val="0"/>
          <w:i w:val="0"/>
          <w:sz w:val="22"/>
        </w:rPr>
        <w:t>: network-reachable, low complexity, no privileges or user interaction required, and full compromise of confidentiality, integrity, and availability.  This means any host on the same network (or the internet, if exposed) can obtain root access with no preconditions — the highest-possible risk.  CVE-2008-0166 scores 7.8 because it requires local access or prior key enumeration.</w:t>
      </w:r>
    </w:p>
    <w:p>
      <w:pPr>
        <w:keepNext/>
        <w:spacing w:before="200" w:after="60" w:line="299" w:lineRule="exact"/>
        <w:pBdr>
          <w:bottom w:val="single" w:sz="4" w:space="2" w:color="000000"/>
        </w:pBdr>
      </w:pPr>
      <w:r>
        <w:rPr>
          <w:rFonts w:ascii="Calibri" w:hAnsi="Calibri"/>
          <w:b/>
          <w:i w:val="0"/>
          <w:sz w:val="26"/>
        </w:rPr>
        <w:t>4  Remediation Proposals and Personal Reflection</w:t>
      </w:r>
    </w:p>
    <w:p>
      <w:pPr>
        <w:keepNext/>
        <w:spacing w:before="120" w:after="60" w:line="253" w:lineRule="exact"/>
      </w:pPr>
      <w:r>
        <w:rPr>
          <w:rFonts w:ascii="Calibri" w:hAnsi="Calibri"/>
          <w:b/>
          <w:i w:val="0"/>
          <w:sz w:val="22"/>
        </w:rPr>
        <w:t>4.1  Remediation</w:t>
      </w:r>
    </w:p>
    <w:p>
      <w:pPr>
        <w:spacing w:before="0" w:after="80" w:line="253" w:lineRule="exact"/>
      </w:pPr>
      <w:r>
        <w:rPr>
          <w:rFonts w:ascii="Calibri" w:hAnsi="Calibri"/>
          <w:b/>
          <w:i w:val="0"/>
          <w:sz w:val="22"/>
        </w:rPr>
        <w:t xml:space="preserve">CVE-2011-2523 — vsftpd 2.3.4 Backdoor.  </w:t>
      </w:r>
      <w:r>
        <w:rPr>
          <w:rFonts w:ascii="Calibri" w:hAnsi="Calibri"/>
          <w:b w:val="0"/>
          <w:i w:val="0"/>
          <w:sz w:val="22"/>
        </w:rPr>
        <w:t>Replace vsftpd immediately with version 3.0.5 or later via the distribution package manager.  If FTP is not operationally required, remove the service and switch all file-transfer workflows to SFTP (which is already provided by the OpenSSH daemon on the same host).  Block port 21/tcp at the firewall as a defence-in-depth measure.</w:t>
      </w:r>
    </w:p>
    <w:p>
      <w:pPr>
        <w:spacing w:before="0" w:after="80" w:line="253" w:lineRule="exact"/>
      </w:pPr>
      <w:r>
        <w:rPr>
          <w:rFonts w:ascii="Calibri" w:hAnsi="Calibri"/>
          <w:b/>
          <w:i w:val="0"/>
          <w:sz w:val="22"/>
        </w:rPr>
        <w:t xml:space="preserve">CVE-2007-2447 — Samba Username Map Script RCE.  </w:t>
      </w:r>
      <w:r>
        <w:rPr>
          <w:rFonts w:ascii="Calibri" w:hAnsi="Calibri"/>
          <w:b w:val="0"/>
          <w:i w:val="0"/>
          <w:sz w:val="22"/>
        </w:rPr>
        <w:t xml:space="preserve">Upgrade Samba to 3.0.25 or any current release.  Remove or blank the </w:t>
      </w:r>
      <w:r>
        <w:rPr>
          <w:rFonts w:ascii="Courier New" w:hAnsi="Courier New"/>
          <w:b w:val="0"/>
          <w:i w:val="0"/>
          <w:sz w:val="20"/>
        </w:rPr>
        <w:t>username map script</w:t>
      </w:r>
      <w:r>
        <w:rPr>
          <w:rFonts w:ascii="Calibri" w:hAnsi="Calibri"/>
          <w:b w:val="0"/>
          <w:i w:val="0"/>
          <w:sz w:val="22"/>
        </w:rPr>
        <w:t xml:space="preserve"> smb.conf directive if it is not actively in use.  Restrict ports 139 and 445 to trusted subnets via firewall rules; SMB should never be exposed to the internet.  Consider replacing Samba with a dedicated file-share solution if the full SMB feature set is not needed.</w:t>
      </w:r>
    </w:p>
    <w:p>
      <w:pPr>
        <w:spacing w:before="0" w:after="120" w:line="253" w:lineRule="exact"/>
      </w:pPr>
      <w:r>
        <w:rPr>
          <w:rFonts w:ascii="Calibri" w:hAnsi="Calibri"/>
          <w:b/>
          <w:i w:val="0"/>
          <w:sz w:val="22"/>
        </w:rPr>
        <w:t xml:space="preserve">CVE-2012-1823 — PHP CGI Argument Injection.  </w:t>
      </w:r>
      <w:r>
        <w:rPr>
          <w:rFonts w:ascii="Calibri" w:hAnsi="Calibri"/>
          <w:b w:val="0"/>
          <w:i w:val="0"/>
          <w:sz w:val="22"/>
        </w:rPr>
        <w:t xml:space="preserve">Upgrade PHP to at minimum 5.3.13 / 5.4.3 (or the currently supported 8.x branch).  Switch the web server from CGI mode to PHP-FPM, which does not pass query strings to the interpreter binary.  As an immediate workaround, add a rewrite rule to strip query strings beginning with </w:t>
      </w:r>
      <w:r>
        <w:rPr>
          <w:rFonts w:ascii="Courier New" w:hAnsi="Courier New"/>
          <w:b w:val="0"/>
          <w:i w:val="0"/>
          <w:sz w:val="20"/>
        </w:rPr>
        <w:t>-</w:t>
      </w:r>
      <w:r>
        <w:rPr>
          <w:rFonts w:ascii="Calibri" w:hAnsi="Calibri"/>
          <w:b w:val="0"/>
          <w:i w:val="0"/>
          <w:sz w:val="22"/>
        </w:rPr>
        <w:t xml:space="preserve"> from PHP script URIs.</w:t>
      </w:r>
    </w:p>
    <w:p>
      <w:pPr>
        <w:spacing w:before="0" w:after="60" w:line="253" w:lineRule="exact"/>
      </w:pPr>
      <w:r>
        <w:rPr>
          <w:rFonts w:ascii="Calibri" w:hAnsi="Calibri"/>
          <w:b/>
          <w:i w:val="0"/>
          <w:sz w:val="22"/>
        </w:rPr>
        <w:t>Summary table.</w:t>
      </w:r>
    </w:p>
    <w:tbl>
      <w:tblPr>
        <w:tblStyle w:val="TableGrid"/>
        <w:tblW w:type="auto" w:w="0"/>
        <w:jc w:val="center"/>
        <w:tblLook w:firstColumn="1" w:firstRow="1" w:lastColumn="0" w:lastRow="0" w:noHBand="0" w:noVBand="1" w:val="04A0"/>
      </w:tblPr>
      <w:tblGrid>
        <w:gridCol w:w="4703"/>
        <w:gridCol w:w="4703"/>
      </w:tblGrid>
      <w:tr>
        <w:tc>
          <w:tcPr>
            <w:tcW w:type="dxa" w:w="1984"/>
          </w:tcPr>
          <w:p>
            <w:r>
              <w:rPr>
                <w:rFonts w:ascii="Calibri" w:hAnsi="Calibri"/>
                <w:b/>
                <w:i w:val="0"/>
                <w:sz w:val="20"/>
              </w:rPr>
              <w:t>CVE</w:t>
            </w:r>
          </w:p>
        </w:tc>
        <w:tc>
          <w:tcPr>
            <w:tcW w:type="dxa" w:w="7257"/>
          </w:tcPr>
          <w:p>
            <w:r>
              <w:rPr>
                <w:rFonts w:ascii="Calibri" w:hAnsi="Calibri"/>
                <w:b/>
                <w:i w:val="0"/>
                <w:sz w:val="20"/>
              </w:rPr>
              <w:t>Remediation action</w:t>
            </w:r>
          </w:p>
        </w:tc>
      </w:tr>
      <w:tr>
        <w:tc>
          <w:tcPr>
            <w:tcW w:type="dxa" w:w="1984"/>
          </w:tcPr>
          <w:p>
            <w:r>
              <w:rPr>
                <w:rFonts w:ascii="Courier New" w:hAnsi="Courier New"/>
                <w:b w:val="0"/>
                <w:i w:val="0"/>
                <w:sz w:val="18"/>
              </w:rPr>
              <w:t>CVE-2011-2523</w:t>
            </w:r>
          </w:p>
        </w:tc>
        <w:tc>
          <w:tcPr>
            <w:tcW w:type="dxa" w:w="7257"/>
          </w:tcPr>
          <w:p>
            <w:r>
              <w:rPr>
                <w:rFonts w:ascii="Calibri" w:hAnsi="Calibri"/>
                <w:b w:val="0"/>
                <w:i w:val="0"/>
                <w:sz w:val="20"/>
              </w:rPr>
              <w:t>Upgrade vsftpd; remove FTP; block port 21 at firewall</w:t>
            </w:r>
          </w:p>
        </w:tc>
      </w:tr>
      <w:tr>
        <w:tc>
          <w:tcPr>
            <w:tcW w:type="dxa" w:w="1984"/>
          </w:tcPr>
          <w:p>
            <w:r>
              <w:rPr>
                <w:rFonts w:ascii="Courier New" w:hAnsi="Courier New"/>
                <w:b w:val="0"/>
                <w:i w:val="0"/>
                <w:sz w:val="18"/>
              </w:rPr>
              <w:t>CVE-2007-2447</w:t>
            </w:r>
          </w:p>
        </w:tc>
        <w:tc>
          <w:tcPr>
            <w:tcW w:type="dxa" w:w="7257"/>
          </w:tcPr>
          <w:p>
            <w:r>
              <w:rPr>
                <w:rFonts w:ascii="Calibri" w:hAnsi="Calibri"/>
                <w:b w:val="0"/>
                <w:i w:val="0"/>
                <w:sz w:val="20"/>
              </w:rPr>
              <w:t>Upgrade Samba; clear username map script; restrict ports 139/445</w:t>
            </w:r>
          </w:p>
        </w:tc>
      </w:tr>
      <w:tr>
        <w:tc>
          <w:tcPr>
            <w:tcW w:type="dxa" w:w="1984"/>
          </w:tcPr>
          <w:p>
            <w:r>
              <w:rPr>
                <w:rFonts w:ascii="Courier New" w:hAnsi="Courier New"/>
                <w:b w:val="0"/>
                <w:i w:val="0"/>
                <w:sz w:val="18"/>
              </w:rPr>
              <w:t>CVE-2012-1823</w:t>
            </w:r>
          </w:p>
        </w:tc>
        <w:tc>
          <w:tcPr>
            <w:tcW w:type="dxa" w:w="7257"/>
          </w:tcPr>
          <w:p>
            <w:r>
              <w:rPr>
                <w:rFonts w:ascii="Calibri" w:hAnsi="Calibri"/>
                <w:b w:val="0"/>
                <w:i w:val="0"/>
                <w:sz w:val="20"/>
              </w:rPr>
              <w:t>Upgrade PHP; switch to PHP-FPM; add rewrite rule</w:t>
            </w:r>
          </w:p>
        </w:tc>
      </w:tr>
      <w:tr>
        <w:tc>
          <w:tcPr>
            <w:tcW w:type="dxa" w:w="1984"/>
          </w:tcPr>
          <w:p>
            <w:r>
              <w:rPr>
                <w:rFonts w:ascii="Courier New" w:hAnsi="Courier New"/>
                <w:b w:val="0"/>
                <w:i w:val="0"/>
                <w:sz w:val="18"/>
              </w:rPr>
              <w:t>CVE-2008-0166</w:t>
            </w:r>
          </w:p>
        </w:tc>
        <w:tc>
          <w:tcPr>
            <w:tcW w:type="dxa" w:w="7257"/>
          </w:tcPr>
          <w:p>
            <w:r>
              <w:rPr>
                <w:rFonts w:ascii="Calibri" w:hAnsi="Calibri"/>
                <w:b w:val="0"/>
                <w:i w:val="0"/>
                <w:sz w:val="20"/>
              </w:rPr>
              <w:t>Regenerate all SSH keys; audit authorized_keys; upgrade OpenSSL</w:t>
            </w:r>
          </w:p>
        </w:tc>
      </w:tr>
      <w:tr>
        <w:tc>
          <w:tcPr>
            <w:tcW w:type="dxa" w:w="1984"/>
          </w:tcPr>
          <w:p>
            <w:r>
              <w:rPr>
                <w:rFonts w:ascii="Courier New" w:hAnsi="Courier New"/>
                <w:b w:val="0"/>
                <w:i w:val="0"/>
                <w:sz w:val="18"/>
              </w:rPr>
              <w:t>CVE-2004-2761</w:t>
            </w:r>
          </w:p>
        </w:tc>
        <w:tc>
          <w:tcPr>
            <w:tcW w:type="dxa" w:w="7257"/>
          </w:tcPr>
          <w:p>
            <w:r>
              <w:rPr>
                <w:rFonts w:ascii="Calibri" w:hAnsi="Calibri"/>
                <w:b w:val="0"/>
                <w:i w:val="0"/>
                <w:sz w:val="20"/>
              </w:rPr>
              <w:t>Reissue TLS certificates with SHA-256; disable MD5 cipher suites</w:t>
            </w:r>
          </w:p>
        </w:tc>
      </w:tr>
    </w:tbl>
    <w:p/>
    <w:p>
      <w:pPr>
        <w:keepNext/>
        <w:spacing w:before="120" w:after="60" w:line="253" w:lineRule="exact"/>
      </w:pPr>
      <w:r>
        <w:rPr>
          <w:rFonts w:ascii="Calibri" w:hAnsi="Calibri"/>
          <w:b/>
          <w:i w:val="0"/>
          <w:sz w:val="22"/>
        </w:rPr>
        <w:t>4.2  Personal Reflection</w:t>
      </w:r>
    </w:p>
    <w:p>
      <w:pPr>
        <w:spacing w:before="0" w:after="120" w:line="253" w:lineRule="exact"/>
      </w:pPr>
      <w:r>
        <w:rPr>
          <w:rFonts w:ascii="Calibri" w:hAnsi="Calibri"/>
          <w:b w:val="0"/>
          <w:i w:val="0"/>
          <w:sz w:val="22"/>
        </w:rPr>
        <w:t>The most surprising observation was how many critical vulnerabilities are reachable with zero preconditions.  The vsftpd backdoor requires only a TCP connection and a username containing two punctuation characters — an attacker with Metasploit can exploit it in under thirty seconds.  This made the CVSS scoring feel very real rather than academic: a 9.8 score genuinely means “compromise is trivially easy from anywhere on the network.”</w:t>
      </w:r>
    </w:p>
    <w:p>
      <w:pPr>
        <w:spacing w:before="0" w:after="120" w:line="253" w:lineRule="exact"/>
      </w:pPr>
      <w:r>
        <w:rPr>
          <w:rFonts w:ascii="Calibri" w:hAnsi="Calibri"/>
          <w:b w:val="0"/>
          <w:i w:val="0"/>
          <w:sz w:val="22"/>
        </w:rPr>
        <w:t>Comparing the two scan types reinforced a principle from the Week 2 access-control discussion: information has value, and generating it has cost.  The SYN scan is faster and quieter but tells us only which ports are open.  The version scan costs a completed TCP handshake per port but reveals the exact software version that maps to CVE records — the extra information is worth the exposure risk in a controlled assessment.</w:t>
      </w:r>
    </w:p>
    <w:p>
      <w:pPr>
        <w:spacing w:before="0" w:after="120" w:line="253" w:lineRule="exact"/>
      </w:pPr>
      <w:r>
        <w:rPr>
          <w:rFonts w:ascii="Calibri" w:hAnsi="Calibri"/>
          <w:b w:val="0"/>
          <w:i w:val="0"/>
          <w:sz w:val="22"/>
        </w:rPr>
        <w:t>A limitation I encountered is that OpenVAS produces false positives, particularly for outdated banner-version checks: the scanner reads the version string in a service banner and matches it against CVE records without verifying whether the patch has been back-ported.  I cross-referenced each finding against the NVD entry (nvd.nist.gov) and the Metasploitable package list to confirm the vulnerabilities were genuine on this specific image.</w:t>
      </w:r>
    </w:p>
    <w:p>
      <w:pPr>
        <w:spacing w:before="0" w:after="120" w:line="253" w:lineRule="exact"/>
      </w:pPr>
      <w:r>
        <w:rPr>
          <w:rFonts w:ascii="Calibri" w:hAnsi="Calibri"/>
          <w:b w:val="0"/>
          <w:i w:val="0"/>
          <w:sz w:val="22"/>
        </w:rPr>
        <w:t>Regarding defender detectability: a network IDS such as Snort or Suricata would detect the SYN scan via a rule matching large numbers of half-open connections to sequential ports (RST after SYN-ACK pattern).  The version scan is even more visible because each connection is complete and the banner-grabbing payload is distinctive.  From a defender's perspective, both scans should trigger an alert within seconds of starting.</w:t>
      </w:r>
    </w:p>
    <w:p>
      <w:pPr>
        <w:spacing w:before="0" w:after="200" w:line="253" w:lineRule="exact"/>
      </w:pPr>
      <w:r>
        <w:rPr>
          <w:rFonts w:ascii="Calibri" w:hAnsi="Calibri"/>
          <w:b w:val="0"/>
          <w:i w:val="0"/>
          <w:sz w:val="22"/>
        </w:rPr>
        <w:t>Connecting to the broader course arc: the formal models of Week 2 describe what should be enforced; this week reveals what actually runs on a system and how easily misconfigurations and unpatched software undermine those formal guarantees.  A Bell-LaPadula policy is meaningless if a root shell is available via a two-character backdoor in an FTP daemon.  The coming modules on operating-system security and network defences will, I expect, examine how to layer technical controls so that even a misconfigured service does not result in total compromise.</w:t>
      </w:r>
    </w:p>
    <w:p>
      <w:pPr>
        <w:keepNext/>
        <w:spacing w:before="200" w:after="60" w:line="299" w:lineRule="exact"/>
        <w:pBdr>
          <w:bottom w:val="single" w:sz="4" w:space="2" w:color="000000"/>
        </w:pBdr>
      </w:pPr>
      <w:r>
        <w:rPr>
          <w:rFonts w:ascii="Calibri" w:hAnsi="Calibri"/>
          <w:b/>
          <w:i w:val="0"/>
          <w:sz w:val="26"/>
        </w:rPr>
        <w:t>References</w:t>
      </w:r>
    </w:p>
    <w:p>
      <w:pPr>
        <w:spacing w:after="40" w:line="253" w:lineRule="exact"/>
        <w:ind w:left="454" w:hanging="454"/>
      </w:pPr>
      <w:r>
        <w:rPr>
          <w:rFonts w:ascii="Calibri" w:hAnsi="Calibri"/>
          <w:b/>
          <w:i w:val="0"/>
          <w:sz w:val="20"/>
        </w:rPr>
        <w:t xml:space="preserve">[1] </w:t>
      </w:r>
      <w:r>
        <w:rPr>
          <w:b w:val="0"/>
          <w:i w:val="0"/>
          <w:sz w:val="20"/>
        </w:rPr>
        <w:t xml:space="preserve">MITRE Corporation. (2024). </w:t>
      </w:r>
      <w:r>
        <w:rPr>
          <w:b w:val="0"/>
          <w:i/>
          <w:sz w:val="20"/>
        </w:rPr>
        <w:t>ATT&amp;CK Enterprise Matrix v15</w:t>
      </w:r>
      <w:r>
        <w:rPr>
          <w:b w:val="0"/>
          <w:i w:val="0"/>
          <w:color w:val="0056D2"/>
          <w:sz w:val="20"/>
        </w:rPr>
        <w:t>. https://attack.mitre.org</w:t>
      </w:r>
    </w:p>
    <w:p>
      <w:pPr>
        <w:spacing w:after="40" w:line="253" w:lineRule="exact"/>
        <w:ind w:left="454" w:hanging="454"/>
      </w:pPr>
      <w:r>
        <w:rPr>
          <w:rFonts w:ascii="Calibri" w:hAnsi="Calibri"/>
          <w:b/>
          <w:i w:val="0"/>
          <w:sz w:val="20"/>
        </w:rPr>
        <w:t xml:space="preserve">[2] </w:t>
      </w:r>
      <w:r>
        <w:rPr>
          <w:b w:val="0"/>
          <w:i w:val="0"/>
          <w:sz w:val="20"/>
        </w:rPr>
        <w:t xml:space="preserve">MITRE Corporation. (2024). </w:t>
      </w:r>
      <w:r>
        <w:rPr>
          <w:b w:val="0"/>
          <w:i/>
          <w:sz w:val="20"/>
        </w:rPr>
        <w:t>CVE Programme</w:t>
      </w:r>
      <w:r>
        <w:rPr>
          <w:b w:val="0"/>
          <w:i w:val="0"/>
          <w:color w:val="0056D2"/>
          <w:sz w:val="20"/>
        </w:rPr>
        <w:t>. https://www.cve.org</w:t>
      </w:r>
    </w:p>
    <w:p>
      <w:pPr>
        <w:spacing w:after="40" w:line="253" w:lineRule="exact"/>
        <w:ind w:left="454" w:hanging="454"/>
      </w:pPr>
      <w:r>
        <w:rPr>
          <w:rFonts w:ascii="Calibri" w:hAnsi="Calibri"/>
          <w:b/>
          <w:i w:val="0"/>
          <w:sz w:val="20"/>
        </w:rPr>
        <w:t xml:space="preserve">[3] </w:t>
      </w:r>
      <w:r>
        <w:rPr>
          <w:b w:val="0"/>
          <w:i w:val="0"/>
          <w:sz w:val="20"/>
        </w:rPr>
        <w:t xml:space="preserve">FIRST. (2023). </w:t>
      </w:r>
      <w:r>
        <w:rPr>
          <w:b w:val="0"/>
          <w:i/>
          <w:sz w:val="20"/>
        </w:rPr>
        <w:t>Common Vulnerability Scoring System v3.1 Specification</w:t>
      </w:r>
      <w:r>
        <w:rPr>
          <w:b w:val="0"/>
          <w:i w:val="0"/>
          <w:color w:val="0056D2"/>
          <w:sz w:val="20"/>
        </w:rPr>
        <w:t>. https://www.first.org/cvss</w:t>
      </w:r>
    </w:p>
    <w:p>
      <w:pPr>
        <w:spacing w:after="40" w:line="253" w:lineRule="exact"/>
        <w:ind w:left="454" w:hanging="454"/>
      </w:pPr>
      <w:r>
        <w:rPr>
          <w:rFonts w:ascii="Calibri" w:hAnsi="Calibri"/>
          <w:b/>
          <w:i w:val="0"/>
          <w:sz w:val="20"/>
        </w:rPr>
        <w:t xml:space="preserve">[4] </w:t>
      </w:r>
      <w:r>
        <w:rPr>
          <w:b w:val="0"/>
          <w:i w:val="0"/>
          <w:sz w:val="20"/>
        </w:rPr>
        <w:t xml:space="preserve">National Institute of Standards and Technology. (2024). </w:t>
      </w:r>
      <w:r>
        <w:rPr>
          <w:b w:val="0"/>
          <w:i/>
          <w:sz w:val="20"/>
        </w:rPr>
        <w:t>National Vulnerability Database</w:t>
      </w:r>
      <w:r>
        <w:rPr>
          <w:b w:val="0"/>
          <w:i w:val="0"/>
          <w:color w:val="0056D2"/>
          <w:sz w:val="20"/>
        </w:rPr>
        <w:t>. https://nvd.nist.gov</w:t>
      </w:r>
    </w:p>
    <w:p>
      <w:pPr>
        <w:spacing w:after="40" w:line="253" w:lineRule="exact"/>
        <w:ind w:left="454" w:hanging="454"/>
      </w:pPr>
      <w:r>
        <w:rPr>
          <w:rFonts w:ascii="Calibri" w:hAnsi="Calibri"/>
          <w:b/>
          <w:i w:val="0"/>
          <w:sz w:val="20"/>
        </w:rPr>
        <w:t xml:space="preserve">[5] </w:t>
      </w:r>
      <w:r>
        <w:rPr>
          <w:b w:val="0"/>
          <w:i w:val="0"/>
          <w:sz w:val="20"/>
        </w:rPr>
        <w:t xml:space="preserve">Greenbone Networks. (2024). </w:t>
      </w:r>
      <w:r>
        <w:rPr>
          <w:b w:val="0"/>
          <w:i/>
          <w:sz w:val="20"/>
        </w:rPr>
        <w:t>Greenbone Community Edition / OpenVAS</w:t>
      </w:r>
      <w:r>
        <w:rPr>
          <w:b w:val="0"/>
          <w:i w:val="0"/>
          <w:color w:val="0056D2"/>
          <w:sz w:val="20"/>
        </w:rPr>
        <w:t>. https://www.greenbone.net</w:t>
      </w:r>
    </w:p>
    <w:p>
      <w:pPr>
        <w:spacing w:after="40" w:line="253" w:lineRule="exact"/>
        <w:ind w:left="454" w:hanging="454"/>
      </w:pPr>
      <w:r>
        <w:rPr>
          <w:rFonts w:ascii="Calibri" w:hAnsi="Calibri"/>
          <w:b/>
          <w:i w:val="0"/>
          <w:sz w:val="20"/>
        </w:rPr>
        <w:t xml:space="preserve">[6] </w:t>
      </w:r>
      <w:r>
        <w:rPr>
          <w:b w:val="0"/>
          <w:i w:val="0"/>
          <w:sz w:val="20"/>
        </w:rPr>
        <w:t xml:space="preserve">Lyon, G. (2024). </w:t>
      </w:r>
      <w:r>
        <w:rPr>
          <w:b w:val="0"/>
          <w:i/>
          <w:sz w:val="20"/>
        </w:rPr>
        <w:t>Nmap Network Scanning: The Official Nmap Project Guide</w:t>
      </w:r>
      <w:r>
        <w:rPr>
          <w:b w:val="0"/>
          <w:i w:val="0"/>
          <w:color w:val="0056D2"/>
          <w:sz w:val="20"/>
        </w:rPr>
        <w:t>. https://nmap.org/book/</w:t>
      </w:r>
    </w:p>
    <w:p>
      <w:pPr>
        <w:spacing w:after="40" w:line="253" w:lineRule="exact"/>
        <w:ind w:left="454" w:hanging="454"/>
      </w:pPr>
      <w:r>
        <w:rPr>
          <w:rFonts w:ascii="Calibri" w:hAnsi="Calibri"/>
          <w:b/>
          <w:i w:val="0"/>
          <w:sz w:val="20"/>
        </w:rPr>
        <w:t xml:space="preserve">[7] </w:t>
      </w:r>
      <w:r>
        <w:rPr>
          <w:b w:val="0"/>
          <w:i w:val="0"/>
          <w:sz w:val="20"/>
        </w:rPr>
        <w:t xml:space="preserve">Rapid7. (2012). </w:t>
      </w:r>
      <w:r>
        <w:rPr>
          <w:b w:val="0"/>
          <w:i/>
          <w:sz w:val="20"/>
        </w:rPr>
        <w:t>Metasploitable 2 Exploitability Guide</w:t>
      </w:r>
      <w:r>
        <w:rPr>
          <w:b w:val="0"/>
          <w:i w:val="0"/>
          <w:color w:val="0056D2"/>
          <w:sz w:val="20"/>
        </w:rPr>
        <w:t>. https://docs.rapid7.com/metasploit/metasploitable-2-exploitability-guide/</w:t>
      </w:r>
    </w:p>
    <w:p>
      <w:pPr>
        <w:spacing w:after="40" w:line="253" w:lineRule="exact"/>
        <w:ind w:left="454" w:hanging="454"/>
      </w:pPr>
      <w:r>
        <w:rPr>
          <w:rFonts w:ascii="Calibri" w:hAnsi="Calibri"/>
          <w:b/>
          <w:i w:val="0"/>
          <w:sz w:val="20"/>
        </w:rPr>
        <w:t xml:space="preserve">[8] </w:t>
      </w:r>
      <w:r>
        <w:rPr>
          <w:b w:val="0"/>
          <w:i w:val="0"/>
          <w:sz w:val="20"/>
        </w:rPr>
        <w:t xml:space="preserve">SANS Institute. (2024). </w:t>
      </w:r>
      <w:r>
        <w:rPr>
          <w:b w:val="0"/>
          <w:i/>
          <w:sz w:val="20"/>
        </w:rPr>
        <w:t>TCP/IP and tcpdump</w:t>
      </w:r>
      <w:r>
        <w:rPr>
          <w:b w:val="0"/>
          <w:i w:val="0"/>
          <w:color w:val="0056D2"/>
          <w:sz w:val="20"/>
        </w:rPr>
        <w:t>. https://www.sans.org/posters/</w:t>
      </w:r>
    </w:p>
    <w:p>
      <w:pPr>
        <w:spacing w:after="40" w:line="253" w:lineRule="exact"/>
        <w:ind w:left="454" w:hanging="454"/>
      </w:pPr>
      <w:r>
        <w:rPr>
          <w:rFonts w:ascii="Calibri" w:hAnsi="Calibri"/>
          <w:b/>
          <w:i w:val="0"/>
          <w:sz w:val="20"/>
        </w:rPr>
        <w:t xml:space="preserve">[9] </w:t>
      </w:r>
      <w:r>
        <w:rPr>
          <w:b w:val="0"/>
          <w:i w:val="0"/>
          <w:sz w:val="20"/>
        </w:rPr>
        <w:t xml:space="preserve">Shostack, A. (2002). </w:t>
      </w:r>
      <w:r>
        <w:rPr>
          <w:b w:val="0"/>
          <w:i/>
          <w:sz w:val="20"/>
        </w:rPr>
        <w:t>STRIDE Threat Model</w:t>
      </w:r>
      <w:r>
        <w:rPr>
          <w:b w:val="0"/>
          <w:i w:val="0"/>
          <w:sz w:val="20"/>
        </w:rPr>
        <w:t>. Microsoft Security Engineering.</w:t>
      </w:r>
    </w:p>
    <w:p>
      <w:pPr>
        <w:spacing w:after="40" w:line="253" w:lineRule="exact"/>
        <w:ind w:left="454" w:hanging="454"/>
      </w:pPr>
      <w:r>
        <w:rPr>
          <w:rFonts w:ascii="Calibri" w:hAnsi="Calibri"/>
          <w:b/>
          <w:i w:val="0"/>
          <w:sz w:val="20"/>
        </w:rPr>
        <w:t xml:space="preserve">[10] </w:t>
      </w:r>
      <w:r>
        <w:rPr>
          <w:b w:val="0"/>
          <w:i w:val="0"/>
          <w:sz w:val="20"/>
        </w:rPr>
        <w:t xml:space="preserve">OWASP Foundation. (2021). </w:t>
      </w:r>
      <w:r>
        <w:rPr>
          <w:b w:val="0"/>
          <w:i/>
          <w:sz w:val="20"/>
        </w:rPr>
        <w:t>OWASP Top Ten 2021</w:t>
      </w:r>
      <w:r>
        <w:rPr>
          <w:b w:val="0"/>
          <w:i w:val="0"/>
          <w:color w:val="0056D2"/>
          <w:sz w:val="20"/>
        </w:rPr>
        <w:t>. https://owasp.org/Top10/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