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368" w:lineRule="exact"/>
        <w:jc w:val="center"/>
      </w:pPr>
      <w:r>
        <w:rPr>
          <w:rFonts w:ascii="Calibri" w:hAnsi="Calibri"/>
          <w:b/>
          <w:i w:val="0"/>
          <w:sz w:val="32"/>
        </w:rPr>
        <w:t>Report Module 6</w:t>
      </w:r>
    </w:p>
    <w:p>
      <w:pPr>
        <w:keepNext w:val="0"/>
        <w:spacing w:before="0" w:after="80" w:line="299" w:lineRule="exact"/>
        <w:jc w:val="center"/>
      </w:pPr>
      <w:r>
        <w:rPr>
          <w:rFonts w:ascii="Calibri" w:hAnsi="Calibri"/>
          <w:b w:val="0"/>
          <w:i w:val="0"/>
          <w:sz w:val="26"/>
        </w:rPr>
        <w:t>Industrial Espionage in Cyberspace</w:t>
      </w:r>
    </w:p>
    <w:p>
      <w:pPr>
        <w:keepNext w:val="0"/>
        <w:spacing w:before="0" w:after="40" w:line="253" w:lineRule="exact"/>
        <w:jc w:val="center"/>
      </w:pPr>
      <w:r>
        <w:rPr>
          <w:rFonts w:ascii="Calibri" w:hAnsi="Calibri"/>
          <w:b w:val="0"/>
          <w:i w:val="0"/>
          <w:sz w:val="22"/>
        </w:rPr>
        <w:t>CS 475: Introduction to Computer Security</w:t>
      </w:r>
    </w:p>
    <w:p>
      <w:pPr>
        <w:keepNext w:val="0"/>
        <w:spacing w:before="0" w:after="40" w:line="253" w:lineRule="exact"/>
        <w:jc w:val="center"/>
      </w:pPr>
      <w:r>
        <w:rPr>
          <w:rFonts w:ascii="Calibri" w:hAnsi="Calibri"/>
          <w:b w:val="0"/>
          <w:i w:val="0"/>
          <w:sz w:val="22"/>
        </w:rPr>
        <w:t>Mária Nyolcas  |  Prof: Asen Nikolov Grozdanov</w:t>
      </w:r>
    </w:p>
    <w:p>
      <w:pPr>
        <w:keepNext w:val="0"/>
        <w:spacing w:before="0" w:after="120" w:line="253" w:lineRule="exact"/>
        <w:jc w:val="center"/>
      </w:pPr>
      <w:r>
        <w:rPr>
          <w:rFonts w:ascii="Calibri" w:hAnsi="Calibri"/>
          <w:b w:val="0"/>
          <w:i w:val="0"/>
          <w:sz w:val="22"/>
        </w:rPr>
        <w:t>March 2026</w:t>
      </w:r>
    </w:p>
    <w:p>
      <w:pPr>
        <w:pBdr>
          <w:bottom w:val="single" w:sz="6" w:space="1" w:color="000000"/>
        </w:pBdr>
        <w:spacing w:after="120"/>
      </w:pPr>
    </w:p>
    <w:p>
      <w:pPr>
        <w:spacing w:before="0" w:after="200" w:line="253" w:lineRule="exact"/>
      </w:pPr>
      <w:r>
        <w:rPr>
          <w:rFonts w:ascii="Calibri" w:hAnsi="Calibri"/>
          <w:b/>
          <w:i w:val="0"/>
          <w:sz w:val="22"/>
        </w:rPr>
        <w:t xml:space="preserve">Abstract.  </w:t>
      </w:r>
      <w:r>
        <w:rPr>
          <w:rFonts w:ascii="Calibri" w:hAnsi="Calibri"/>
          <w:b w:val="0"/>
          <w:i w:val="0"/>
          <w:sz w:val="22"/>
        </w:rPr>
        <w:t>This report documents a structured passive OSINT investigation of the fictional target InnovateTech Solutions, alongside a five-phase analysis of the AeroTech GmbH composite espionage case study. Findings show that publicly available information alone is sufficient to build a dangerous threat profile. Defensive countermeasures are proposed for each attack phase, grounded in NIST CSF, CIS Controls, and ISO/IEC 27001. The report answers all three discussion questions from the module brief and concludes with reflections connecting the lab evidence to earlier access-control and vulnerability work.</w:t>
      </w:r>
    </w:p>
    <w:p>
      <w:pPr>
        <w:keepNext/>
        <w:spacing w:before="200" w:after="60" w:line="299" w:lineRule="exact"/>
        <w:pBdr>
          <w:bottom w:val="single" w:sz="4" w:space="2" w:color="000000"/>
        </w:pBdr>
      </w:pPr>
      <w:r>
        <w:rPr>
          <w:rFonts w:ascii="Calibri" w:hAnsi="Calibri"/>
          <w:b/>
          <w:i w:val="0"/>
          <w:sz w:val="26"/>
        </w:rPr>
        <w:t>1  Introduction</w:t>
      </w:r>
    </w:p>
    <w:p>
      <w:pPr>
        <w:keepNext w:val="0"/>
        <w:spacing w:before="0" w:after="120" w:line="253" w:lineRule="exact"/>
      </w:pPr>
      <w:r>
        <w:rPr>
          <w:rFonts w:ascii="Calibri" w:hAnsi="Calibri"/>
          <w:b w:val="0"/>
          <w:i w:val="0"/>
          <w:sz w:val="22"/>
        </w:rPr>
        <w:t>Industrial espionage is the covert acquisition of confidential business or technical information for competitive, financial, or strategic advantage. When conducted through digital networks it becomes cyber-enabled economic espionage — one of the most financially damaging threat categories facing organisations today. ENISA consistently ranks it among the top threats in its annual landscape reports, and the FBI has described it as “the greatest long-term threat to the nation’s economy.”</w:t>
      </w:r>
    </w:p>
    <w:p>
      <w:pPr>
        <w:keepNext w:val="0"/>
        <w:spacing w:before="0" w:after="120" w:line="253" w:lineRule="exact"/>
      </w:pPr>
      <w:r>
        <w:rPr>
          <w:rFonts w:ascii="Calibri" w:hAnsi="Calibri"/>
          <w:b w:val="0"/>
          <w:i w:val="0"/>
          <w:sz w:val="22"/>
        </w:rPr>
        <w:t>Unlike ransomware or DDoS attacks, espionage campaigns are designed to remain invisible. The adversary’s goal is not disruption but quiet, sustained access to intellectual property, R&amp;D data, and strategic plans. This changes the defensive calculus: conventional perimeter security detects active attacks; detecting a patient, low-noise adversary requires different instrumentation, different monitoring philosophies, and a much longer detection horizon.</w:t>
      </w:r>
    </w:p>
    <w:p>
      <w:pPr>
        <w:keepNext w:val="0"/>
        <w:spacing w:before="0" w:after="200" w:line="253" w:lineRule="exact"/>
      </w:pPr>
      <w:r>
        <w:rPr>
          <w:rFonts w:ascii="Calibri" w:hAnsi="Calibri"/>
          <w:b w:val="0"/>
          <w:i w:val="0"/>
          <w:sz w:val="22"/>
        </w:rPr>
        <w:t>This report covers a passive OSINT investigation of InnovateTech Solutions (fictional, advanced materials / aerospace R&amp;D), an analysis of the AeroTech GmbH five-phase case study, and defensive recommendations grounded in established frameworks. Connections to prior modules are drawn throughout, particularly to the vulnerability and access-control work of Weeks 2 and 4.</w:t>
      </w:r>
    </w:p>
    <w:p>
      <w:pPr>
        <w:keepNext/>
        <w:spacing w:before="200" w:after="60" w:line="299" w:lineRule="exact"/>
        <w:pBdr>
          <w:bottom w:val="single" w:sz="4" w:space="2" w:color="000000"/>
        </w:pBdr>
      </w:pPr>
      <w:r>
        <w:rPr>
          <w:rFonts w:ascii="Calibri" w:hAnsi="Calibri"/>
          <w:b/>
          <w:i w:val="0"/>
          <w:sz w:val="26"/>
        </w:rPr>
        <w:t>2  Methodology</w:t>
      </w:r>
    </w:p>
    <w:p>
      <w:pPr>
        <w:keepNext w:val="0"/>
        <w:spacing w:before="0" w:after="120" w:line="253" w:lineRule="exact"/>
      </w:pPr>
      <w:r>
        <w:rPr>
          <w:rFonts w:ascii="Calibri" w:hAnsi="Calibri"/>
          <w:b w:val="0"/>
          <w:i w:val="0"/>
          <w:sz w:val="22"/>
        </w:rPr>
        <w:t>The investigation followed the six-step lab structure. All work was passive: no network contact with any real system. Findings are encoded in osint_recon.py (structured Python dataclasses) and espionage_lifecycle.py (five-phase case study with ATT&amp;CK mappings and discussion answers).</w:t>
      </w:r>
    </w:p>
    <w:tbl>
      <w:tblPr>
        <w:tblStyle w:val="TableGrid"/>
        <w:tblW w:type="auto" w:w="0"/>
        <w:jc w:val="center"/>
        <w:tblLook w:firstColumn="1" w:firstRow="1" w:lastColumn="0" w:lastRow="0" w:noHBand="0" w:noVBand="1" w:val="04A0"/>
      </w:tblPr>
      <w:tblGrid>
        <w:gridCol w:w="3135"/>
        <w:gridCol w:w="3135"/>
        <w:gridCol w:w="3135"/>
      </w:tblGrid>
      <w:tr>
        <w:tc>
          <w:tcPr>
            <w:tcW w:type="dxa" w:w="1984"/>
          </w:tcPr>
          <w:p>
            <w:r>
              <w:rPr>
                <w:rFonts w:ascii="Calibri" w:hAnsi="Calibri"/>
                <w:b/>
                <w:i w:val="0"/>
                <w:sz w:val="20"/>
              </w:rPr>
              <w:t>Step</w:t>
            </w:r>
          </w:p>
        </w:tc>
        <w:tc>
          <w:tcPr>
            <w:tcW w:type="dxa" w:w="1984"/>
          </w:tcPr>
          <w:p>
            <w:r>
              <w:rPr>
                <w:rFonts w:ascii="Calibri" w:hAnsi="Calibri"/>
                <w:b/>
                <w:i w:val="0"/>
                <w:sz w:val="20"/>
              </w:rPr>
              <w:t>Tool / Source</w:t>
            </w:r>
          </w:p>
        </w:tc>
        <w:tc>
          <w:tcPr>
            <w:tcW w:type="dxa" w:w="5272"/>
          </w:tcPr>
          <w:p>
            <w:r>
              <w:rPr>
                <w:rFonts w:ascii="Calibri" w:hAnsi="Calibri"/>
                <w:b/>
                <w:i w:val="0"/>
                <w:sz w:val="20"/>
              </w:rPr>
              <w:t>Purpose</w:t>
            </w:r>
          </w:p>
        </w:tc>
      </w:tr>
      <w:tr>
        <w:tc>
          <w:tcPr>
            <w:tcW w:type="dxa" w:w="1984"/>
          </w:tcPr>
          <w:p>
            <w:r>
              <w:rPr>
                <w:rFonts w:ascii="Calibri" w:hAnsi="Calibri"/>
                <w:b w:val="0"/>
                <w:i w:val="0"/>
                <w:sz w:val="20"/>
              </w:rPr>
              <w:t>Passive web recon</w:t>
            </w:r>
          </w:p>
        </w:tc>
        <w:tc>
          <w:tcPr>
            <w:tcW w:type="dxa" w:w="1984"/>
          </w:tcPr>
          <w:p>
            <w:r>
              <w:rPr>
                <w:rFonts w:ascii="Calibri" w:hAnsi="Calibri"/>
                <w:b w:val="0"/>
                <w:i w:val="0"/>
                <w:sz w:val="20"/>
              </w:rPr>
              <w:t>Search operators, WHOIS</w:t>
            </w:r>
          </w:p>
        </w:tc>
        <w:tc>
          <w:tcPr>
            <w:tcW w:type="dxa" w:w="5272"/>
          </w:tcPr>
          <w:p>
            <w:r>
              <w:rPr>
                <w:rFonts w:ascii="Calibri" w:hAnsi="Calibri"/>
                <w:b w:val="0"/>
                <w:i w:val="0"/>
                <w:sz w:val="20"/>
              </w:rPr>
              <w:t>Domain, registrar, admin contacts, product versions</w:t>
            </w:r>
          </w:p>
        </w:tc>
      </w:tr>
      <w:tr>
        <w:tc>
          <w:tcPr>
            <w:tcW w:type="dxa" w:w="1984"/>
          </w:tcPr>
          <w:p>
            <w:r>
              <w:rPr>
                <w:rFonts w:ascii="Calibri" w:hAnsi="Calibri"/>
                <w:b w:val="0"/>
                <w:i w:val="0"/>
                <w:sz w:val="20"/>
              </w:rPr>
              <w:t>Legacy content</w:t>
            </w:r>
          </w:p>
        </w:tc>
        <w:tc>
          <w:tcPr>
            <w:tcW w:type="dxa" w:w="1984"/>
          </w:tcPr>
          <w:p>
            <w:r>
              <w:rPr>
                <w:rFonts w:ascii="Calibri" w:hAnsi="Calibri"/>
                <w:b w:val="0"/>
                <w:i w:val="0"/>
                <w:sz w:val="20"/>
              </w:rPr>
              <w:t>Wayback Machine</w:t>
            </w:r>
          </w:p>
        </w:tc>
        <w:tc>
          <w:tcPr>
            <w:tcW w:type="dxa" w:w="5272"/>
          </w:tcPr>
          <w:p>
            <w:r>
              <w:rPr>
                <w:rFonts w:ascii="Calibri" w:hAnsi="Calibri"/>
                <w:b w:val="0"/>
                <w:i w:val="0"/>
                <w:sz w:val="20"/>
              </w:rPr>
              <w:t>Historical pages revealing old tech versions</w:t>
            </w:r>
          </w:p>
        </w:tc>
      </w:tr>
      <w:tr>
        <w:tc>
          <w:tcPr>
            <w:tcW w:type="dxa" w:w="1984"/>
          </w:tcPr>
          <w:p>
            <w:r>
              <w:rPr>
                <w:rFonts w:ascii="Calibri" w:hAnsi="Calibri"/>
                <w:b w:val="0"/>
                <w:i w:val="0"/>
                <w:sz w:val="20"/>
              </w:rPr>
              <w:t>Code repositories</w:t>
            </w:r>
          </w:p>
        </w:tc>
        <w:tc>
          <w:tcPr>
            <w:tcW w:type="dxa" w:w="1984"/>
          </w:tcPr>
          <w:p>
            <w:r>
              <w:rPr>
                <w:rFonts w:ascii="Calibri" w:hAnsi="Calibri"/>
                <w:b w:val="0"/>
                <w:i w:val="0"/>
                <w:sz w:val="20"/>
              </w:rPr>
              <w:t>GitHub search</w:t>
            </w:r>
          </w:p>
        </w:tc>
        <w:tc>
          <w:tcPr>
            <w:tcW w:type="dxa" w:w="5272"/>
          </w:tcPr>
          <w:p>
            <w:r>
              <w:rPr>
                <w:rFonts w:ascii="Calibri" w:hAnsi="Calibri"/>
                <w:b w:val="0"/>
                <w:i w:val="0"/>
                <w:sz w:val="20"/>
              </w:rPr>
              <w:t>Accidentally committed secrets</w:t>
            </w:r>
          </w:p>
        </w:tc>
      </w:tr>
      <w:tr>
        <w:tc>
          <w:tcPr>
            <w:tcW w:type="dxa" w:w="1984"/>
          </w:tcPr>
          <w:p>
            <w:r>
              <w:rPr>
                <w:rFonts w:ascii="Calibri" w:hAnsi="Calibri"/>
                <w:b w:val="0"/>
                <w:i w:val="0"/>
                <w:sz w:val="20"/>
              </w:rPr>
              <w:t>Patent intelligence</w:t>
            </w:r>
          </w:p>
        </w:tc>
        <w:tc>
          <w:tcPr>
            <w:tcW w:type="dxa" w:w="1984"/>
          </w:tcPr>
          <w:p>
            <w:r>
              <w:rPr>
                <w:rFonts w:ascii="Calibri" w:hAnsi="Calibri"/>
                <w:b w:val="0"/>
                <w:i w:val="0"/>
                <w:sz w:val="20"/>
              </w:rPr>
              <w:t>EPO database</w:t>
            </w:r>
          </w:p>
        </w:tc>
        <w:tc>
          <w:tcPr>
            <w:tcW w:type="dxa" w:w="5272"/>
          </w:tcPr>
          <w:p>
            <w:r>
              <w:rPr>
                <w:rFonts w:ascii="Calibri" w:hAnsi="Calibri"/>
                <w:b w:val="0"/>
                <w:i w:val="0"/>
                <w:sz w:val="20"/>
              </w:rPr>
              <w:t>R&amp;D direction and researcher identities</w:t>
            </w:r>
          </w:p>
        </w:tc>
      </w:tr>
      <w:tr>
        <w:tc>
          <w:tcPr>
            <w:tcW w:type="dxa" w:w="1984"/>
          </w:tcPr>
          <w:p>
            <w:r>
              <w:rPr>
                <w:rFonts w:ascii="Calibri" w:hAnsi="Calibri"/>
                <w:b w:val="0"/>
                <w:i w:val="0"/>
                <w:sz w:val="20"/>
              </w:rPr>
              <w:t>Employee profiling</w:t>
            </w:r>
          </w:p>
        </w:tc>
        <w:tc>
          <w:tcPr>
            <w:tcW w:type="dxa" w:w="1984"/>
          </w:tcPr>
          <w:p>
            <w:r>
              <w:rPr>
                <w:rFonts w:ascii="Calibri" w:hAnsi="Calibri"/>
                <w:b w:val="0"/>
                <w:i w:val="0"/>
                <w:sz w:val="20"/>
              </w:rPr>
              <w:t>LinkedIn, ResearchGate</w:t>
            </w:r>
          </w:p>
        </w:tc>
        <w:tc>
          <w:tcPr>
            <w:tcW w:type="dxa" w:w="5272"/>
          </w:tcPr>
          <w:p>
            <w:r>
              <w:rPr>
                <w:rFonts w:ascii="Calibri" w:hAnsi="Calibri"/>
                <w:b w:val="0"/>
                <w:i w:val="0"/>
                <w:sz w:val="20"/>
              </w:rPr>
              <w:t>Roles, skill sets, project names</w:t>
            </w:r>
          </w:p>
        </w:tc>
      </w:tr>
      <w:tr>
        <w:tc>
          <w:tcPr>
            <w:tcW w:type="dxa" w:w="1984"/>
          </w:tcPr>
          <w:p>
            <w:r>
              <w:rPr>
                <w:rFonts w:ascii="Calibri" w:hAnsi="Calibri"/>
                <w:b w:val="0"/>
                <w:i w:val="0"/>
                <w:sz w:val="20"/>
              </w:rPr>
              <w:t>Technical footprint</w:t>
            </w:r>
          </w:p>
        </w:tc>
        <w:tc>
          <w:tcPr>
            <w:tcW w:type="dxa" w:w="1984"/>
          </w:tcPr>
          <w:p>
            <w:r>
              <w:rPr>
                <w:rFonts w:ascii="Calibri" w:hAnsi="Calibri"/>
                <w:b w:val="0"/>
                <w:i w:val="0"/>
                <w:sz w:val="20"/>
              </w:rPr>
              <w:t>dig (DNS), crt.sh</w:t>
            </w:r>
          </w:p>
        </w:tc>
        <w:tc>
          <w:tcPr>
            <w:tcW w:type="dxa" w:w="5272"/>
          </w:tcPr>
          <w:p>
            <w:r>
              <w:rPr>
                <w:rFonts w:ascii="Calibri" w:hAnsi="Calibri"/>
                <w:b w:val="0"/>
                <w:i w:val="0"/>
                <w:sz w:val="20"/>
              </w:rPr>
              <w:t>Exposed subdomains and services</w:t>
            </w:r>
          </w:p>
        </w:tc>
      </w:tr>
    </w:tbl>
    <w:p/>
    <w:p>
      <w:pPr>
        <w:keepNext/>
        <w:spacing w:before="200" w:after="60" w:line="299" w:lineRule="exact"/>
        <w:pBdr>
          <w:bottom w:val="single" w:sz="4" w:space="2" w:color="000000"/>
        </w:pBdr>
      </w:pPr>
      <w:r>
        <w:rPr>
          <w:rFonts w:ascii="Calibri" w:hAnsi="Calibri"/>
          <w:b/>
          <w:i w:val="0"/>
          <w:sz w:val="26"/>
        </w:rPr>
        <w:t>3  Findings</w:t>
      </w:r>
    </w:p>
    <w:p>
      <w:pPr>
        <w:keepNext/>
        <w:spacing w:before="120" w:after="60" w:line="253" w:lineRule="exact"/>
      </w:pPr>
      <w:r>
        <w:rPr>
          <w:rFonts w:ascii="Calibri" w:hAnsi="Calibri"/>
          <w:b/>
          <w:i w:val="0"/>
          <w:sz w:val="22"/>
        </w:rPr>
        <w:t>3.1  Passive Web Reconnaissance</w:t>
      </w:r>
    </w:p>
    <w:p>
      <w:pPr>
        <w:keepNext w:val="0"/>
        <w:spacing w:before="0" w:after="80" w:line="253" w:lineRule="exact"/>
      </w:pPr>
      <w:r>
        <w:rPr>
          <w:rFonts w:ascii="Calibri" w:hAnsi="Calibri"/>
          <w:b w:val="0"/>
          <w:i w:val="0"/>
          <w:sz w:val="22"/>
        </w:rPr>
        <w:t>Five high-value findings emerged without touching the target’s systems. The most significant was a config.yml file committed to a public GitHub repository by a junior engineer in November 2022, containing the internal subnet 10.50.0.0/16 and staging hostname sim-lab01.internal. This gives an adversary internal network topology without any active scanning.</w:t>
      </w:r>
    </w:p>
    <w:p>
      <w:pPr>
        <w:keepNext w:val="0"/>
        <w:spacing w:before="0" w:after="120" w:line="253" w:lineRule="exact"/>
      </w:pPr>
      <w:r>
        <w:rPr>
          <w:rFonts w:ascii="Calibri" w:hAnsi="Calibri"/>
          <w:b w:val="0"/>
          <w:i w:val="0"/>
          <w:sz w:val="22"/>
        </w:rPr>
        <w:t>A 2021 Wayback Machine snapshot disclosed the VPN product and version (Cisco AnyConnect 4.9, affected by CVE-2021-1247). Job postings named ANSYS 2023 R2 and GitLab CE by version. EPO patent filings identified three active R&amp;D areas and named the lead researchers by full name.</w:t>
      </w:r>
    </w:p>
    <w:p>
      <w:pPr>
        <w:keepNext/>
        <w:spacing w:before="120" w:after="60" w:line="253" w:lineRule="exact"/>
      </w:pPr>
      <w:r>
        <w:rPr>
          <w:rFonts w:ascii="Calibri" w:hAnsi="Calibri"/>
          <w:b/>
          <w:i w:val="0"/>
          <w:sz w:val="22"/>
        </w:rPr>
        <w:t>3.2  Employee and Personnel Profiling</w:t>
      </w:r>
    </w:p>
    <w:p>
      <w:pPr>
        <w:keepNext w:val="0"/>
        <w:spacing w:before="0" w:after="120" w:line="253" w:lineRule="exact"/>
      </w:pPr>
      <w:r>
        <w:rPr>
          <w:rFonts w:ascii="Calibri" w:hAnsi="Calibri"/>
          <w:b w:val="0"/>
          <w:i w:val="0"/>
          <w:sz w:val="22"/>
        </w:rPr>
        <w:t>Four persons of interest were identified. Dr. K. Brenner (Head of Materials Research) named the internal project ComposiX-II on LinkedIn. T. Okafor (Senior IT Administrator) had a GitHub commit referencing a Vault token path. Dr. A. Reyes (Lead Aerospace Engineer) is a co-inventor on three recent patents with a public conference biography naming the research lab location. M. Hofer (Junior R&amp;D Engineer) is the committer of the 2022 secret leak; their email address is visible in the public git log, making them the easiest initial-access target via a plausible phishing pretext.</w:t>
      </w:r>
    </w:p>
    <w:p>
      <w:pPr>
        <w:keepNext/>
        <w:spacing w:before="120" w:after="60" w:line="253" w:lineRule="exact"/>
      </w:pPr>
      <w:r>
        <w:rPr>
          <w:rFonts w:ascii="Calibri" w:hAnsi="Calibri"/>
          <w:b/>
          <w:i w:val="0"/>
          <w:sz w:val="22"/>
        </w:rPr>
        <w:t>3.3  Technical Footprinting</w:t>
      </w:r>
    </w:p>
    <w:p>
      <w:pPr>
        <w:keepNext w:val="0"/>
        <w:spacing w:before="0" w:after="120" w:line="253" w:lineRule="exact"/>
      </w:pPr>
      <w:r>
        <w:rPr>
          <w:rFonts w:ascii="Calibri" w:hAnsi="Calibri"/>
          <w:b w:val="0"/>
          <w:i w:val="0"/>
          <w:sz w:val="22"/>
        </w:rPr>
        <w:t>DNS enumeration revealed the self-hosted GitLab instance is internet-exposed with no IP restriction. The SPF record uses softfail (~all) rather than reject (-all), meaning spoofed sender addresses will reach most mail servers without rejection. No DMARC record was found. Certificate transparency logs (crt.sh) disclosed four subdomains, including sim-lab01 and dev-api, which should not appear in public certificate logs.</w:t>
      </w:r>
    </w:p>
    <w:p>
      <w:pPr>
        <w:keepNext/>
        <w:spacing w:before="120" w:after="60" w:line="253" w:lineRule="exact"/>
      </w:pPr>
      <w:r>
        <w:rPr>
          <w:rFonts w:ascii="Calibri" w:hAnsi="Calibri"/>
          <w:b/>
          <w:i w:val="0"/>
          <w:sz w:val="22"/>
        </w:rPr>
        <w:t>3.4  Attack Surface Summary</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r>
              <w:rPr>
                <w:rFonts w:ascii="Calibri" w:hAnsi="Calibri"/>
                <w:b/>
                <w:i w:val="0"/>
                <w:sz w:val="20"/>
              </w:rPr>
              <w:t>Finding</w:t>
            </w:r>
          </w:p>
        </w:tc>
        <w:tc>
          <w:tcPr>
            <w:tcW w:type="dxa" w:w="2835"/>
          </w:tcPr>
          <w:p>
            <w:r>
              <w:rPr>
                <w:rFonts w:ascii="Calibri" w:hAnsi="Calibri"/>
                <w:b/>
                <w:i w:val="0"/>
                <w:sz w:val="20"/>
              </w:rPr>
              <w:t>Adversarial value</w:t>
            </w:r>
          </w:p>
        </w:tc>
        <w:tc>
          <w:tcPr>
            <w:tcW w:type="dxa" w:w="3855"/>
          </w:tcPr>
          <w:p>
            <w:r>
              <w:rPr>
                <w:rFonts w:ascii="Calibri" w:hAnsi="Calibri"/>
                <w:b/>
                <w:i w:val="0"/>
                <w:sz w:val="20"/>
              </w:rPr>
              <w:t>Remediation</w:t>
            </w:r>
          </w:p>
        </w:tc>
      </w:tr>
      <w:tr>
        <w:tc>
          <w:tcPr>
            <w:tcW w:type="dxa" w:w="2551"/>
          </w:tcPr>
          <w:p>
            <w:r>
              <w:rPr>
                <w:rFonts w:ascii="Calibri" w:hAnsi="Calibri"/>
                <w:b w:val="0"/>
                <w:i w:val="0"/>
                <w:sz w:val="20"/>
              </w:rPr>
              <w:t>Leaked subnet + hostname (GitHub)</w:t>
            </w:r>
          </w:p>
        </w:tc>
        <w:tc>
          <w:tcPr>
            <w:tcW w:type="dxa" w:w="2835"/>
          </w:tcPr>
          <w:p>
            <w:r>
              <w:rPr>
                <w:rFonts w:ascii="Calibri" w:hAnsi="Calibri"/>
                <w:b w:val="0"/>
                <w:i w:val="0"/>
                <w:sz w:val="20"/>
              </w:rPr>
              <w:t>Internal recon without network contact</w:t>
            </w:r>
          </w:p>
        </w:tc>
        <w:tc>
          <w:tcPr>
            <w:tcW w:type="dxa" w:w="3855"/>
          </w:tcPr>
          <w:p>
            <w:r>
              <w:rPr>
                <w:rFonts w:ascii="Calibri" w:hAnsi="Calibri"/>
                <w:b w:val="0"/>
                <w:i w:val="0"/>
                <w:sz w:val="20"/>
              </w:rPr>
              <w:t>Secrets scanning pre-commit hook (gitleaks)</w:t>
            </w:r>
          </w:p>
        </w:tc>
      </w:tr>
      <w:tr>
        <w:tc>
          <w:tcPr>
            <w:tcW w:type="dxa" w:w="2551"/>
          </w:tcPr>
          <w:p>
            <w:r>
              <w:rPr>
                <w:rFonts w:ascii="Calibri" w:hAnsi="Calibri"/>
                <w:b w:val="0"/>
                <w:i w:val="0"/>
                <w:sz w:val="20"/>
              </w:rPr>
              <w:t>No DMARC / SPF softfail</w:t>
            </w:r>
          </w:p>
        </w:tc>
        <w:tc>
          <w:tcPr>
            <w:tcW w:type="dxa" w:w="2835"/>
          </w:tcPr>
          <w:p>
            <w:r>
              <w:rPr>
                <w:rFonts w:ascii="Calibri" w:hAnsi="Calibri"/>
                <w:b w:val="0"/>
                <w:i w:val="0"/>
                <w:sz w:val="20"/>
              </w:rPr>
              <w:t>Spoofed-sender phishing at scale</w:t>
            </w:r>
          </w:p>
        </w:tc>
        <w:tc>
          <w:tcPr>
            <w:tcW w:type="dxa" w:w="3855"/>
          </w:tcPr>
          <w:p>
            <w:r>
              <w:rPr>
                <w:rFonts w:ascii="Calibri" w:hAnsi="Calibri"/>
                <w:b w:val="0"/>
                <w:i w:val="0"/>
                <w:sz w:val="20"/>
              </w:rPr>
              <w:t>Add DMARC p=reject; harden SPF to -all</w:t>
            </w:r>
          </w:p>
        </w:tc>
      </w:tr>
      <w:tr>
        <w:tc>
          <w:tcPr>
            <w:tcW w:type="dxa" w:w="2551"/>
          </w:tcPr>
          <w:p>
            <w:r>
              <w:rPr>
                <w:rFonts w:ascii="Calibri" w:hAnsi="Calibri"/>
                <w:b w:val="0"/>
                <w:i w:val="0"/>
                <w:sz w:val="20"/>
              </w:rPr>
              <w:t>GitLab internet-exposed</w:t>
            </w:r>
          </w:p>
        </w:tc>
        <w:tc>
          <w:tcPr>
            <w:tcW w:type="dxa" w:w="2835"/>
          </w:tcPr>
          <w:p>
            <w:r>
              <w:rPr>
                <w:rFonts w:ascii="Calibri" w:hAnsi="Calibri"/>
                <w:b w:val="0"/>
                <w:i w:val="0"/>
                <w:sz w:val="20"/>
              </w:rPr>
              <w:t>Unauthenticated code access</w:t>
            </w:r>
          </w:p>
        </w:tc>
        <w:tc>
          <w:tcPr>
            <w:tcW w:type="dxa" w:w="3855"/>
          </w:tcPr>
          <w:p>
            <w:r>
              <w:rPr>
                <w:rFonts w:ascii="Calibri" w:hAnsi="Calibri"/>
                <w:b w:val="0"/>
                <w:i w:val="0"/>
                <w:sz w:val="20"/>
              </w:rPr>
              <w:t>Move behind VPN or IP allowlist</w:t>
            </w:r>
          </w:p>
        </w:tc>
      </w:tr>
      <w:tr>
        <w:tc>
          <w:tcPr>
            <w:tcW w:type="dxa" w:w="2551"/>
          </w:tcPr>
          <w:p>
            <w:r>
              <w:rPr>
                <w:rFonts w:ascii="Calibri" w:hAnsi="Calibri"/>
                <w:b w:val="0"/>
                <w:i w:val="0"/>
                <w:sz w:val="20"/>
              </w:rPr>
              <w:t>VPN version disclosed (Wayback)</w:t>
            </w:r>
          </w:p>
        </w:tc>
        <w:tc>
          <w:tcPr>
            <w:tcW w:type="dxa" w:w="2835"/>
          </w:tcPr>
          <w:p>
            <w:r>
              <w:rPr>
                <w:rFonts w:ascii="Calibri" w:hAnsi="Calibri"/>
                <w:b w:val="0"/>
                <w:i w:val="0"/>
                <w:sz w:val="20"/>
              </w:rPr>
              <w:t>CVE-targeted exploit</w:t>
            </w:r>
          </w:p>
        </w:tc>
        <w:tc>
          <w:tcPr>
            <w:tcW w:type="dxa" w:w="3855"/>
          </w:tcPr>
          <w:p>
            <w:r>
              <w:rPr>
                <w:rFonts w:ascii="Calibri" w:hAnsi="Calibri"/>
                <w:b w:val="0"/>
                <w:i w:val="0"/>
                <w:sz w:val="20"/>
              </w:rPr>
              <w:t>Strip version strings from all public content</w:t>
            </w:r>
          </w:p>
        </w:tc>
      </w:tr>
      <w:tr>
        <w:tc>
          <w:tcPr>
            <w:tcW w:type="dxa" w:w="2551"/>
          </w:tcPr>
          <w:p>
            <w:r>
              <w:rPr>
                <w:rFonts w:ascii="Calibri" w:hAnsi="Calibri"/>
                <w:b w:val="0"/>
                <w:i w:val="0"/>
                <w:sz w:val="20"/>
              </w:rPr>
              <w:t>Researcher named on patents</w:t>
            </w:r>
          </w:p>
        </w:tc>
        <w:tc>
          <w:tcPr>
            <w:tcW w:type="dxa" w:w="2835"/>
          </w:tcPr>
          <w:p>
            <w:r>
              <w:rPr>
                <w:rFonts w:ascii="Calibri" w:hAnsi="Calibri"/>
                <w:b w:val="0"/>
                <w:i w:val="0"/>
                <w:sz w:val="20"/>
              </w:rPr>
              <w:t>Targeted spear-phishing pretext</w:t>
            </w:r>
          </w:p>
        </w:tc>
        <w:tc>
          <w:tcPr>
            <w:tcW w:type="dxa" w:w="3855"/>
          </w:tcPr>
          <w:p>
            <w:r>
              <w:rPr>
                <w:rFonts w:ascii="Calibri" w:hAnsi="Calibri"/>
                <w:b w:val="0"/>
                <w:i w:val="0"/>
                <w:sz w:val="20"/>
              </w:rPr>
              <w:t>Omit internal project names from public bios</w:t>
            </w:r>
          </w:p>
        </w:tc>
      </w:tr>
    </w:tbl>
    <w:p/>
    <w:p>
      <w:pPr>
        <w:keepNext/>
        <w:spacing w:before="200" w:after="60" w:line="299" w:lineRule="exact"/>
        <w:pBdr>
          <w:bottom w:val="single" w:sz="4" w:space="2" w:color="000000"/>
        </w:pBdr>
      </w:pPr>
      <w:r>
        <w:rPr>
          <w:rFonts w:ascii="Calibri" w:hAnsi="Calibri"/>
          <w:b/>
          <w:i w:val="0"/>
          <w:sz w:val="26"/>
        </w:rPr>
        <w:t>4  Analysis</w:t>
      </w:r>
    </w:p>
    <w:p>
      <w:pPr>
        <w:keepNext/>
        <w:spacing w:before="120" w:after="60" w:line="253" w:lineRule="exact"/>
      </w:pPr>
      <w:r>
        <w:rPr>
          <w:rFonts w:ascii="Calibri" w:hAnsi="Calibri"/>
          <w:b/>
          <w:i w:val="0"/>
          <w:sz w:val="22"/>
        </w:rPr>
        <w:t>4.1  AeroTech Case Study Discussion Questions</w:t>
      </w:r>
    </w:p>
    <w:p>
      <w:pPr>
        <w:spacing w:before="0" w:after="120" w:line="253" w:lineRule="exact"/>
      </w:pPr>
      <w:r>
        <w:rPr>
          <w:rFonts w:ascii="Calibri" w:hAnsi="Calibri"/>
          <w:b/>
          <w:i w:val="0"/>
          <w:sz w:val="22"/>
        </w:rPr>
        <w:t xml:space="preserve">Q1 — Best disruption point.  </w:t>
      </w:r>
      <w:r>
        <w:rPr>
          <w:rFonts w:ascii="Calibri" w:hAnsi="Calibri"/>
          <w:b w:val="0"/>
          <w:i w:val="0"/>
          <w:sz w:val="22"/>
        </w:rPr>
        <w:t>Phase 2 (Initial Access via spear-phishing) is the single highest-leverage intervention point. Before the PDF exploit executes, the attacker has no foothold and no intelligence about internal systems beyond what passive OSINT provided. Blocking delivery — through email sandboxing, mandatory patch cycles for document viewers, and phishing simulation training — collapses the entire chain. At every subsequent phase the adversary already has a foothold, and defence becomes progressively more expensive and less certain.</w:t>
      </w:r>
    </w:p>
    <w:p>
      <w:pPr>
        <w:spacing w:before="0" w:after="120" w:line="253" w:lineRule="exact"/>
      </w:pPr>
      <w:r>
        <w:rPr>
          <w:rFonts w:ascii="Calibri" w:hAnsi="Calibri"/>
          <w:b/>
          <w:i w:val="0"/>
          <w:sz w:val="22"/>
        </w:rPr>
        <w:t xml:space="preserve">Q2 — Least privilege and Phase 3.  </w:t>
      </w:r>
      <w:r>
        <w:rPr>
          <w:rFonts w:ascii="Calibri" w:hAnsi="Calibri"/>
          <w:b w:val="0"/>
          <w:i w:val="0"/>
          <w:sz w:val="22"/>
        </w:rPr>
        <w:t>The lateral movement in Phase 3 succeeded because shared service accounts had broad access across network segments. If the procurement workstation had been separated from the R&amp;D file server by a firewall requiring explicit authorisation — enforcing the least-privilege principle examined in Week 2 — the attacker would have stalled at the first segment boundary. The blast radius of the initial compromise would have been limited to a single low-value host even after successful initial access.</w:t>
      </w:r>
    </w:p>
    <w:p>
      <w:pPr>
        <w:spacing w:before="0" w:after="160" w:line="253" w:lineRule="exact"/>
      </w:pPr>
      <w:r>
        <w:rPr>
          <w:rFonts w:ascii="Calibri" w:hAnsi="Calibri"/>
          <w:b/>
          <w:i w:val="0"/>
          <w:sz w:val="22"/>
        </w:rPr>
        <w:t xml:space="preserve">Q3 — Human behaviour across all phases.  </w:t>
      </w:r>
      <w:r>
        <w:rPr>
          <w:rFonts w:ascii="Calibri" w:hAnsi="Calibri"/>
          <w:b w:val="0"/>
          <w:i w:val="0"/>
          <w:sz w:val="22"/>
        </w:rPr>
        <w:t>No phase was purely technical. Phase 1: a junior engineer committed secrets to a public repository. Phase 2: a researcher opened an attachment without verifying the sender domain. Phase 3: administrators shared service accounts for convenience. Phase 5: detection relied on a single analyst reviewing historical logs during a manual audit. Technology failed at every step because it was misconfigured or absent — the root cause in each case was a human decision.</w:t>
      </w:r>
    </w:p>
    <w:p>
      <w:pPr>
        <w:keepNext/>
        <w:spacing w:before="120" w:after="60" w:line="253" w:lineRule="exact"/>
      </w:pPr>
      <w:r>
        <w:rPr>
          <w:rFonts w:ascii="Calibri" w:hAnsi="Calibri"/>
          <w:b/>
          <w:i w:val="0"/>
          <w:sz w:val="22"/>
        </w:rPr>
        <w:t>4.2  DLP Policy Requirements</w:t>
      </w:r>
    </w:p>
    <w:p>
      <w:pPr>
        <w:keepNext w:val="0"/>
        <w:spacing w:before="0" w:after="120" w:line="253" w:lineRule="exact"/>
      </w:pPr>
      <w:r>
        <w:rPr>
          <w:rFonts w:ascii="Calibri" w:hAnsi="Calibri"/>
          <w:b w:val="0"/>
          <w:i w:val="0"/>
          <w:sz w:val="22"/>
        </w:rPr>
        <w:t>A DLP policy addressing the identified risks needs three layers. At the endpoint: block bulk copy of files tagged Confidential or R&amp;D to removable media or personal cloud storage. At the network boundary: alert on outbound transfers exceeding a volume threshold to cloud domains not on an approved list; inspect TLS for anomalous certificate chains. At the repository: pre-receive hooks rejecting commits matching patterns for IP ranges, hostnames, or secret tokens.</w:t>
      </w:r>
    </w:p>
    <w:p>
      <w:pPr>
        <w:keepNext/>
        <w:spacing w:before="120" w:after="60" w:line="253" w:lineRule="exact"/>
      </w:pPr>
      <w:r>
        <w:rPr>
          <w:rFonts w:ascii="Calibri" w:hAnsi="Calibri"/>
          <w:b/>
          <w:i w:val="0"/>
          <w:sz w:val="22"/>
        </w:rPr>
        <w:t>4.3  Highest Impact-to-Cost Defensive Control</w:t>
      </w:r>
    </w:p>
    <w:p>
      <w:pPr>
        <w:keepNext w:val="0"/>
        <w:spacing w:before="0" w:after="200" w:line="253" w:lineRule="exact"/>
      </w:pPr>
      <w:r>
        <w:rPr>
          <w:rFonts w:ascii="Calibri" w:hAnsi="Calibri"/>
          <w:b w:val="0"/>
          <w:i w:val="0"/>
          <w:sz w:val="22"/>
        </w:rPr>
        <w:t>Across all findings, secrets scanning in the CI/CD pipeline has the highest impact-to-cost ratio. A pre-commit hook running gitleaks costs near zero to deploy, requires no ongoing licensing, and would have prevented the single most actionable finding in this investigation — the leaked subnet and hostname — before it ever reached a public repository. Every other finding derived part of its value from that one commit.</w:t>
      </w:r>
    </w:p>
    <w:p>
      <w:pPr>
        <w:keepNext/>
        <w:spacing w:before="200" w:after="60" w:line="299" w:lineRule="exact"/>
        <w:pBdr>
          <w:bottom w:val="single" w:sz="4" w:space="2" w:color="000000"/>
        </w:pBdr>
      </w:pPr>
      <w:r>
        <w:rPr>
          <w:rFonts w:ascii="Calibri" w:hAnsi="Calibri"/>
          <w:b/>
          <w:i w:val="0"/>
          <w:sz w:val="26"/>
        </w:rPr>
        <w:t>Conclusion</w:t>
      </w:r>
    </w:p>
    <w:p>
      <w:pPr>
        <w:keepNext w:val="0"/>
        <w:spacing w:before="0" w:after="120" w:line="253" w:lineRule="exact"/>
      </w:pPr>
      <w:r>
        <w:rPr>
          <w:rFonts w:ascii="Calibri" w:hAnsi="Calibri"/>
          <w:b w:val="0"/>
          <w:i w:val="0"/>
          <w:sz w:val="22"/>
        </w:rPr>
        <w:t>This module demonstrated that the most dangerous phase of an espionage campaign requires no hacking at all: passive OSINT alone produced five high-value findings against a fictional target, including internal network topology, CVE-targetable software versions, and direct candidate identities for spear-phishing. The AeroTech case study showed that human decisions created every exploitable gap, and that the highest-leverage defensive investment is therefore in people and process, not exclusively in technology.</w:t>
      </w:r>
    </w:p>
    <w:p>
      <w:pPr>
        <w:keepNext w:val="0"/>
        <w:spacing w:before="0" w:after="200" w:line="253" w:lineRule="exact"/>
      </w:pPr>
      <w:r>
        <w:rPr>
          <w:rFonts w:ascii="Calibri" w:hAnsi="Calibri"/>
          <w:b w:val="0"/>
          <w:i w:val="0"/>
          <w:sz w:val="22"/>
        </w:rPr>
        <w:t>Looking ahead to network and operating-system security, industrial espionage makes clear why layered defence matters: an attacker who spends four weeks moving laterally undetected has effectively unlimited time to find and extract the crown jewels. The goal of layered defence is to ensure that no single failure — human or technical — is sufficient to reach them.</w:t>
      </w:r>
    </w:p>
    <w:p>
      <w:pPr>
        <w:keepNext/>
        <w:spacing w:before="200" w:after="60" w:line="299" w:lineRule="exact"/>
        <w:pBdr>
          <w:bottom w:val="single" w:sz="4" w:space="2" w:color="000000"/>
        </w:pBdr>
      </w:pPr>
      <w:r>
        <w:rPr>
          <w:rFonts w:ascii="Calibri" w:hAnsi="Calibri"/>
          <w:b/>
          <w:i w:val="0"/>
          <w:sz w:val="26"/>
        </w:rPr>
        <w:t>References</w:t>
      </w:r>
    </w:p>
    <w:p>
      <w:pPr>
        <w:spacing w:after="40" w:line="253" w:lineRule="exact"/>
        <w:ind w:left="454" w:hanging="454"/>
      </w:pPr>
      <w:r>
        <w:rPr>
          <w:rFonts w:ascii="Calibri" w:hAnsi="Calibri"/>
          <w:b/>
          <w:i w:val="0"/>
          <w:sz w:val="20"/>
        </w:rPr>
        <w:t xml:space="preserve">[1] </w:t>
      </w:r>
      <w:r>
        <w:rPr>
          <w:b w:val="0"/>
          <w:i w:val="0"/>
          <w:sz w:val="20"/>
        </w:rPr>
        <w:t xml:space="preserve">Center for Internet Security. (2024). </w:t>
      </w:r>
      <w:r>
        <w:rPr>
          <w:b w:val="0"/>
          <w:i/>
          <w:sz w:val="20"/>
        </w:rPr>
        <w:t>CIS Controls v8</w:t>
      </w:r>
      <w:r>
        <w:rPr>
          <w:b w:val="0"/>
          <w:i w:val="0"/>
          <w:color w:val="0056D2"/>
          <w:sz w:val="20"/>
        </w:rPr>
        <w:t>. https://www.cisecurity.org/controls</w:t>
      </w:r>
    </w:p>
    <w:p>
      <w:pPr>
        <w:spacing w:after="40" w:line="253" w:lineRule="exact"/>
        <w:ind w:left="454" w:hanging="454"/>
      </w:pPr>
      <w:r>
        <w:rPr>
          <w:rFonts w:ascii="Calibri" w:hAnsi="Calibri"/>
          <w:b/>
          <w:i w:val="0"/>
          <w:sz w:val="20"/>
        </w:rPr>
        <w:t xml:space="preserve">[2] </w:t>
      </w:r>
      <w:r>
        <w:rPr>
          <w:b w:val="0"/>
          <w:i w:val="0"/>
          <w:sz w:val="20"/>
        </w:rPr>
        <w:t xml:space="preserve">Council of Europe. (2001). </w:t>
      </w:r>
      <w:r>
        <w:rPr>
          <w:b w:val="0"/>
          <w:i/>
          <w:sz w:val="20"/>
        </w:rPr>
        <w:t>Budapest Convention on Cybercrime</w:t>
      </w:r>
      <w:r>
        <w:rPr>
          <w:b w:val="0"/>
          <w:i w:val="0"/>
          <w:color w:val="0056D2"/>
          <w:sz w:val="20"/>
        </w:rPr>
        <w:t>. https://www.coe.int/en/web/cybercrime/the-budapest-convention</w:t>
      </w:r>
    </w:p>
    <w:p>
      <w:pPr>
        <w:spacing w:after="40" w:line="253" w:lineRule="exact"/>
        <w:ind w:left="454" w:hanging="454"/>
      </w:pPr>
      <w:r>
        <w:rPr>
          <w:rFonts w:ascii="Calibri" w:hAnsi="Calibri"/>
          <w:b/>
          <w:i w:val="0"/>
          <w:sz w:val="20"/>
        </w:rPr>
        <w:t xml:space="preserve">[3] </w:t>
      </w:r>
      <w:r>
        <w:rPr>
          <w:b w:val="0"/>
          <w:i w:val="0"/>
          <w:sz w:val="20"/>
        </w:rPr>
        <w:t xml:space="preserve">European Parliament. (2016). </w:t>
      </w:r>
      <w:r>
        <w:rPr>
          <w:b w:val="0"/>
          <w:i/>
          <w:sz w:val="20"/>
        </w:rPr>
        <w:t>Directive 2016/943 on the protection of trade secrets</w:t>
      </w:r>
      <w:r>
        <w:rPr>
          <w:b w:val="0"/>
          <w:i w:val="0"/>
          <w:color w:val="0056D2"/>
          <w:sz w:val="20"/>
        </w:rPr>
        <w:t>. https://eur-lex.europa.eu</w:t>
      </w:r>
    </w:p>
    <w:p>
      <w:pPr>
        <w:spacing w:after="40" w:line="253" w:lineRule="exact"/>
        <w:ind w:left="454" w:hanging="454"/>
      </w:pPr>
      <w:r>
        <w:rPr>
          <w:rFonts w:ascii="Calibri" w:hAnsi="Calibri"/>
          <w:b/>
          <w:i w:val="0"/>
          <w:sz w:val="20"/>
        </w:rPr>
        <w:t xml:space="preserve">[4] </w:t>
      </w:r>
      <w:r>
        <w:rPr>
          <w:b w:val="0"/>
          <w:i w:val="0"/>
          <w:sz w:val="20"/>
        </w:rPr>
        <w:t xml:space="preserve">European Union Agency for Cybersecurity [ENISA]. (2024). </w:t>
      </w:r>
      <w:r>
        <w:rPr>
          <w:b w:val="0"/>
          <w:i/>
          <w:sz w:val="20"/>
        </w:rPr>
        <w:t>ENISA threat landscape 2024</w:t>
      </w:r>
      <w:r>
        <w:rPr>
          <w:b w:val="0"/>
          <w:i w:val="0"/>
          <w:color w:val="0056D2"/>
          <w:sz w:val="20"/>
        </w:rPr>
        <w:t>. https://www.enisa.europa.eu/publications/enisa-threat-landscape</w:t>
      </w:r>
    </w:p>
    <w:p>
      <w:pPr>
        <w:spacing w:after="40" w:line="253" w:lineRule="exact"/>
        <w:ind w:left="454" w:hanging="454"/>
      </w:pPr>
      <w:r>
        <w:rPr>
          <w:rFonts w:ascii="Calibri" w:hAnsi="Calibri"/>
          <w:b/>
          <w:i w:val="0"/>
          <w:sz w:val="20"/>
        </w:rPr>
        <w:t xml:space="preserve">[5] </w:t>
      </w:r>
      <w:r>
        <w:rPr>
          <w:b w:val="0"/>
          <w:i w:val="0"/>
          <w:sz w:val="20"/>
        </w:rPr>
        <w:t xml:space="preserve">Federal Bureau of Investigation. (2023). </w:t>
      </w:r>
      <w:r>
        <w:rPr>
          <w:b w:val="0"/>
          <w:i/>
          <w:sz w:val="20"/>
        </w:rPr>
        <w:t>Economic espionage</w:t>
      </w:r>
      <w:r>
        <w:rPr>
          <w:b w:val="0"/>
          <w:i w:val="0"/>
          <w:color w:val="0056D2"/>
          <w:sz w:val="20"/>
        </w:rPr>
        <w:t>. https://www.fbi.gov/investigate/counterintelligence/economic-espionage</w:t>
      </w:r>
    </w:p>
    <w:p>
      <w:pPr>
        <w:spacing w:after="40" w:line="253" w:lineRule="exact"/>
        <w:ind w:left="454" w:hanging="454"/>
      </w:pPr>
      <w:r>
        <w:rPr>
          <w:rFonts w:ascii="Calibri" w:hAnsi="Calibri"/>
          <w:b/>
          <w:i w:val="0"/>
          <w:sz w:val="20"/>
        </w:rPr>
        <w:t xml:space="preserve">[6] </w:t>
      </w:r>
      <w:r>
        <w:rPr>
          <w:b w:val="0"/>
          <w:i w:val="0"/>
          <w:sz w:val="20"/>
        </w:rPr>
        <w:t xml:space="preserve">IP Commission. (2017). </w:t>
      </w:r>
      <w:r>
        <w:rPr>
          <w:b w:val="0"/>
          <w:i/>
          <w:sz w:val="20"/>
        </w:rPr>
        <w:t>The theft of American intellectual property: Reassessments of the challenge and United States policy</w:t>
      </w:r>
      <w:r>
        <w:rPr>
          <w:b w:val="0"/>
          <w:i w:val="0"/>
          <w:color w:val="0056D2"/>
          <w:sz w:val="20"/>
        </w:rPr>
        <w:t>. https://www.ipcommission.org</w:t>
      </w:r>
    </w:p>
    <w:p>
      <w:pPr>
        <w:spacing w:after="40" w:line="253" w:lineRule="exact"/>
        <w:ind w:left="454" w:hanging="454"/>
      </w:pPr>
      <w:r>
        <w:rPr>
          <w:rFonts w:ascii="Calibri" w:hAnsi="Calibri"/>
          <w:b/>
          <w:i w:val="0"/>
          <w:sz w:val="20"/>
        </w:rPr>
        <w:t xml:space="preserve">[7] </w:t>
      </w:r>
      <w:r>
        <w:rPr>
          <w:b w:val="0"/>
          <w:i w:val="0"/>
          <w:sz w:val="20"/>
        </w:rPr>
        <w:t xml:space="preserve">Lockheed Martin. (2022). </w:t>
      </w:r>
      <w:r>
        <w:rPr>
          <w:b w:val="0"/>
          <w:i/>
          <w:sz w:val="20"/>
        </w:rPr>
        <w:t>Cyber kill chain</w:t>
      </w:r>
      <w:r>
        <w:rPr>
          <w:b w:val="0"/>
          <w:i w:val="0"/>
          <w:color w:val="0056D2"/>
          <w:sz w:val="20"/>
        </w:rPr>
        <w:t>. https://www.lockheedmartin.com/en-us/capabilities/cyber/cyber-kill-chain.html</w:t>
      </w:r>
    </w:p>
    <w:p>
      <w:pPr>
        <w:spacing w:after="40" w:line="253" w:lineRule="exact"/>
        <w:ind w:left="454" w:hanging="454"/>
      </w:pPr>
      <w:r>
        <w:rPr>
          <w:rFonts w:ascii="Calibri" w:hAnsi="Calibri"/>
          <w:b/>
          <w:i w:val="0"/>
          <w:sz w:val="20"/>
        </w:rPr>
        <w:t xml:space="preserve">[8] </w:t>
      </w:r>
      <w:r>
        <w:rPr>
          <w:b w:val="0"/>
          <w:i w:val="0"/>
          <w:sz w:val="20"/>
        </w:rPr>
        <w:t xml:space="preserve">MITRE Corporation. (2024). </w:t>
      </w:r>
      <w:r>
        <w:rPr>
          <w:b w:val="0"/>
          <w:i/>
          <w:sz w:val="20"/>
        </w:rPr>
        <w:t>ATT&amp;CK enterprise matrix v15</w:t>
      </w:r>
      <w:r>
        <w:rPr>
          <w:b w:val="0"/>
          <w:i w:val="0"/>
          <w:color w:val="0056D2"/>
          <w:sz w:val="20"/>
        </w:rPr>
        <w:t>. https://attack.mitre.org</w:t>
      </w:r>
    </w:p>
    <w:p>
      <w:pPr>
        <w:spacing w:after="40" w:line="253" w:lineRule="exact"/>
        <w:ind w:left="454" w:hanging="454"/>
      </w:pPr>
      <w:r>
        <w:rPr>
          <w:rFonts w:ascii="Calibri" w:hAnsi="Calibri"/>
          <w:b/>
          <w:i w:val="0"/>
          <w:sz w:val="20"/>
        </w:rPr>
        <w:t xml:space="preserve">[9] </w:t>
      </w:r>
      <w:r>
        <w:rPr>
          <w:b w:val="0"/>
          <w:i w:val="0"/>
          <w:sz w:val="20"/>
        </w:rPr>
        <w:t xml:space="preserve">National Institute of Standards and Technology [NIST]. (2018). </w:t>
      </w:r>
      <w:r>
        <w:rPr>
          <w:b w:val="0"/>
          <w:i/>
          <w:sz w:val="20"/>
        </w:rPr>
        <w:t>Framework for improving critical infrastructure cybersecurity</w:t>
      </w:r>
      <w:r>
        <w:rPr>
          <w:b w:val="0"/>
          <w:i w:val="0"/>
          <w:color w:val="0056D2"/>
          <w:sz w:val="20"/>
        </w:rPr>
        <w:t xml:space="preserve"> (v1.1). https://www.nist.gov/cyberframework</w:t>
      </w:r>
    </w:p>
    <w:p>
      <w:pPr>
        <w:spacing w:after="40" w:line="253" w:lineRule="exact"/>
        <w:ind w:left="454" w:hanging="454"/>
      </w:pPr>
      <w:r>
        <w:rPr>
          <w:rFonts w:ascii="Calibri" w:hAnsi="Calibri"/>
          <w:b/>
          <w:i w:val="0"/>
          <w:sz w:val="20"/>
        </w:rPr>
        <w:t xml:space="preserve">[10] </w:t>
      </w:r>
      <w:r>
        <w:rPr>
          <w:b w:val="0"/>
          <w:i w:val="0"/>
          <w:sz w:val="20"/>
        </w:rPr>
        <w:t xml:space="preserve">SANS Institute. (2024). </w:t>
      </w:r>
      <w:r>
        <w:rPr>
          <w:b w:val="0"/>
          <w:i/>
          <w:sz w:val="20"/>
        </w:rPr>
        <w:t>Reading room: Insider threat and data exfiltration</w:t>
      </w:r>
      <w:r>
        <w:rPr>
          <w:b w:val="0"/>
          <w:i w:val="0"/>
          <w:color w:val="0056D2"/>
          <w:sz w:val="20"/>
        </w:rPr>
        <w:t>. https://www.sans.org/reading-room/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