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36"/>
        </w:rPr>
        <w:t>Trabalho Prático 3 (TP3) - Arquitetura de Microsserviços e Mensageria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95959"/>
          <w:sz w:val="22"/>
        </w:rPr>
        <w:t>Engenharia Disciplinada de Software | Padrões de Comunicação, Brokers, Resiliência e Sagas</w:t>
      </w:r>
    </w:p>
    <w:p>
      <w:pPr>
        <w:spacing w:after="280"/>
        <w:pBdr>
          <w:bottom w:val="single" w:sz="12" w:space="1" w:color="1F4E79"/>
        </w:pBdr>
      </w:pP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os padrões de comunicação utilizados em uma arquitetura de microsserviços.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Em uma arquitetura monolítica, os componentes comunicam-se em memória por chamadas de métodos locais (in-process). Em microsserviços, como os serviços operam em processos e servidores fisicamente distintos, toda a comunicação é distribuída e ocorre através da rede (Inter-Process Communication - IPC).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Os padrões de comunicação estruturam-se em três dimensões fundamentais: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Dimensão Temporal (Síncrona vs. Assíncrona): </w:t>
      </w:r>
      <w:r>
        <w:rPr>
          <w:rFonts w:ascii="Calibri" w:hAnsi="Calibri"/>
          <w:b w:val="0"/>
          <w:i w:val="0"/>
          <w:color w:val="262626"/>
          <w:sz w:val="22"/>
        </w:rPr>
        <w:t>Na comunicação síncrona (Request/Response), o cliente envia uma solicitação e aguarda bloqueado o retorno da resposta antes de continuar seu fluxo (ex.: HTTP/REST, gRPC, GraphQL). Na comunicação assíncrona (Event-driven / Message-driven), o produtor posta uma mensagem ou evento na rede e retoma imediatamente sua execução sem esperar o processamento do consumidor.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Dimensão de Cardinalidade (Ponto a Ponto vs. Publicador/Assinante): </w:t>
      </w:r>
      <w:r>
        <w:rPr>
          <w:rFonts w:ascii="Calibri" w:hAnsi="Calibri"/>
          <w:b w:val="0"/>
          <w:i w:val="0"/>
          <w:color w:val="262626"/>
          <w:sz w:val="22"/>
        </w:rPr>
        <w:t>No padrão Ponto a Ponto (Point-to-Point / 1-to-1), a mensagem destina-se a exatamente um único consumidor específico (ex.: fila de tarefas). No padrão Publicador/Assinante (Publish/Subscribe / 1-to-Many), o produtor publica um evento em um tópico compartilhado e múltiplos microsserviços interessados recebem cópias e o processam paralelamente.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Dimensão Topológica (Comunicação Direta vs. Intermediada): </w:t>
      </w:r>
      <w:r>
        <w:rPr>
          <w:rFonts w:ascii="Calibri" w:hAnsi="Calibri"/>
          <w:b w:val="0"/>
          <w:i w:val="0"/>
          <w:color w:val="262626"/>
          <w:sz w:val="22"/>
        </w:rPr>
        <w:t>Na comunicação direta (Peer-to-Peer), os serviços conectam-se diretamente às portas e IPs dos pares através de Service Discovery. Na comunicação intermediada por Message Broker, os serviços não conhecem a localização física uns dos outros; todas as mensagens trafegam por um middleware central (ex.: Apache Kafka, RabbitMQ).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2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Qual a diferença entre a comunicação síncrona e a comunicação assíncrona em uma arquitetura de microsserviços?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 principal diferença reside no acoplamento temporal, de execução e de resiliência entre o serviço remetente (produtor) e o serviço destinatário (consumidor):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Bloqueio de Threads e Uso de Recursos: </w:t>
      </w:r>
      <w:r>
        <w:rPr>
          <w:rFonts w:ascii="Calibri" w:hAnsi="Calibri"/>
          <w:b w:val="0"/>
          <w:i w:val="0"/>
          <w:color w:val="262626"/>
          <w:sz w:val="22"/>
        </w:rPr>
        <w:t>Na comunicação síncrona, o remetente mantém sua thread bloqueada aguardando os dados atravessarem a rede, serem processados no destino e retornarem. Se o serviço destino estiver lento, as threads do remetente esgotam-se rapidamente (thread starvation). Na comunicação assíncrona, o remetente posta a mensagem no broker e libera a thread imediatamente para atender novos clientes.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Acoplamento Temporal e Disponibilidade: </w:t>
      </w:r>
      <w:r>
        <w:rPr>
          <w:rFonts w:ascii="Calibri" w:hAnsi="Calibri"/>
          <w:b w:val="0"/>
          <w:i w:val="0"/>
          <w:color w:val="262626"/>
          <w:sz w:val="22"/>
        </w:rPr>
        <w:t>A comunicação síncrona exige que emissor e receptor estejam 100% disponíveis no mesmo milissegundo. Se o receptor estiver reiniciando, a chamada falha de imediato. Na comunicação assíncrona, há desacoplamento temporal completo: se o consumidor estiver fora do ar, as mensagens aguardam no buffer persistente do broker e são processadas normalmente assim que ele retornar, sem perda de dados.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Propagação de Latência em Cascata: </w:t>
      </w:r>
      <w:r>
        <w:rPr>
          <w:rFonts w:ascii="Calibri" w:hAnsi="Calibri"/>
          <w:b w:val="0"/>
          <w:i w:val="0"/>
          <w:color w:val="262626"/>
          <w:sz w:val="22"/>
        </w:rPr>
        <w:t>No modelo síncrono, as latências de uma cadeia de 4 serviços somam-se diretamente no tempo de espera do usuário final. No modelo assíncrono, as etapas subsequentes ocorrem em paralelo em segundo plano.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Comparação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 Síncrona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 Assíncrona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Bloqueio de Threads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Sim (thread retida aguardando resposta)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Não (thread liberada imediatamente)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Acoplamento Temporal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Alto (ambos devem estar online juntos)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Baixo (desacoplamento total no tempo)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Protocolos Comuns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HTTP/REST, gRPC, GraphQL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AMQP, Kafka Protocol, MQTT, STOMP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Resiliência e Falhas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Frágil (sujeita a falhas em cascata)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Alta (mensagens ficam no buffer do broker)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Absorção de Picos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Pode sobrecarregar o receptor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Excelente (amortecimento / load leveling)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Complexidade Operacional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Simples de entender e rastrear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Maior (consistência eventual, tracing distribuído)</w:t>
            </w:r>
          </w:p>
        </w:tc>
      </w:tr>
    </w:tbl>
    <w:p>
      <w:pPr>
        <w:spacing w:after="120"/>
      </w:pP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3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Apresente um exemplo real da diferença da comunicação síncrona e assíncrona em uma arquitetura de microsserviços.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Um caso real exemplar é o fluxo de Finalização de Compra (Checkout) em uma plataforma de comércio eletrônico (E-commerce):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Cenário Síncrono (Anti-pattern quando usado em excesso): </w:t>
      </w:r>
      <w:r>
        <w:rPr>
          <w:rFonts w:ascii="Calibri" w:hAnsi="Calibri"/>
          <w:b w:val="0"/>
          <w:i w:val="0"/>
          <w:color w:val="262626"/>
          <w:sz w:val="22"/>
        </w:rPr>
        <w:t>O usuário clica em 'Finalizar Pedido'. O Serviço de Checkout executa chamadas HTTP sequenciais: (1) chama o Serviço de Pagamento (espera 1.2s); (2) chama o Serviço de Estoque para reservar itens (espera 0.8s); (3) chama o Serviço Fiscal para gerar Nota Fiscal na SEFAZ (espera 2.5s); (4) chama o Serviço de Notificação para enviar e-mail (espera 0.9s); (5) chama o Serviço de Logística para gerar frete (espera 1.5s). O usuário fica travado olhando uma barra de carregamento por quase 7 segundos. Se a SEFAZ estiver instável, toda a compra falha e o cliente cancela a compra.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Cenário Híbrido / Assíncrono com Mensageria (Recomendado): </w:t>
      </w:r>
      <w:r>
        <w:rPr>
          <w:rFonts w:ascii="Calibri" w:hAnsi="Calibri"/>
          <w:b w:val="0"/>
          <w:i w:val="0"/>
          <w:color w:val="262626"/>
          <w:sz w:val="22"/>
        </w:rPr>
        <w:t>O usuário clica em 'Finalizar Pedido'. O Serviço de Checkout processa de forma síncrona apenas o estritamente imediato: valida os dados e autoriza a cobrança no gateway de cartão (500ms). Ao receber a aprovação, o serviço grava o pedido no banco, publica o evento PedidoPagoEvent no Message Broker e devolve de imediato HTTP 200 OK 'Pedido confirmado!' ao usuário em menos de 1 segundo. De forma assíncrona e em paralelo, os microsserviços de Estoque, Fiscal, Notificação e Logística consom o evento do broker no seu próprio ritmo. Se o serviço fiscal demorar alguns segundos, o usuário não é afetado; a mensagem fica segura na fila até a emissão ser concluída.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4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os tipos de comunicação assíncrona em uma arquitetura de microsserviços.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 comunicação assíncrona subdivide-se em padrões distintos de acordo com a finalidade e a topologia dos dados: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One-Way Messaging (Fire-and-Forget / Enviar e Esquecer): </w:t>
      </w:r>
      <w:r>
        <w:rPr>
          <w:rFonts w:ascii="Calibri" w:hAnsi="Calibri"/>
          <w:b w:val="0"/>
          <w:i w:val="0"/>
          <w:color w:val="262626"/>
          <w:sz w:val="22"/>
        </w:rPr>
        <w:t>O produtor publica um comando ou registro em uma fila e continua seu processamento sem esperar nenhuma resposta posterior. Típico de logs de auditoria, envio de telemetria, indexação de busca ou webhooks.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Publish/Subscribe (Pub/Sub): </w:t>
      </w:r>
      <w:r>
        <w:rPr>
          <w:rFonts w:ascii="Calibri" w:hAnsi="Calibri"/>
          <w:b w:val="0"/>
          <w:i w:val="0"/>
          <w:color w:val="262626"/>
          <w:sz w:val="22"/>
        </w:rPr>
        <w:t>O emissor publica uma mensagem em um tópico sem conhecer a identidade ou a quantidade de destinatários. O broker entrega cópias independentes para todos os serviços que assinaram aquele tópico. Ideal para eventos de domínio de negócio onde múltiplos departamentos precisam reagir ao mesmo fato.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Request / Asynchronous Response: </w:t>
      </w:r>
      <w:r>
        <w:rPr>
          <w:rFonts w:ascii="Calibri" w:hAnsi="Calibri"/>
          <w:b w:val="0"/>
          <w:i w:val="0"/>
          <w:color w:val="262626"/>
          <w:sz w:val="22"/>
        </w:rPr>
        <w:t>O emissor necessita de uma resposta, mas sem bloquear a conexão. Ele envia a requisição com um CorrelationId e uma fila de retorno (ReplyTo). O consumidor processa e posta o resultado na fila ReplyTo. O emissor consome a resposta de forma assíncrona associando-a pelo CorrelationId.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4. Event-Carried State Transfer (ECST): </w:t>
      </w:r>
      <w:r>
        <w:rPr>
          <w:rFonts w:ascii="Calibri" w:hAnsi="Calibri"/>
          <w:b w:val="0"/>
          <w:i w:val="0"/>
          <w:color w:val="262626"/>
          <w:sz w:val="22"/>
        </w:rPr>
        <w:t>O produtor emite um evento que carrega consigo todos os dados completos do estado da entidade (payload rico). Os microsserviços consumidores atualizam suas réplicas locais de dados sem precisar consultar a API do produtor de volta, garantindo autonomia máxima.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5. Notification Events: </w:t>
      </w:r>
      <w:r>
        <w:rPr>
          <w:rFonts w:ascii="Calibri" w:hAnsi="Calibri"/>
          <w:b w:val="0"/>
          <w:i w:val="0"/>
          <w:color w:val="262626"/>
          <w:sz w:val="22"/>
        </w:rPr>
        <w:t>O evento carrega apenas um identificador conciso e o tipo de ocorrência (ex.: {'evento': 'PEDIDO_ATUALIZADO', 'id': '123'}). Se o consumidor precisar de dados detalhados, ele realiza uma consulta posterior à API do dono do dado.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5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a comunicação assíncrona em uma arquitetura de microsserviços utilizando o padrão de mensagens.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O Padrão de Mensagens (Messaging Pattern) estrutura a troca de dados entre microsserviços por meio de unidades de dados autocontidas denominadas Mensagens, transmitidas por canais virtuais.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Estrutura de uma Mensagem Autocontida: </w:t>
      </w:r>
      <w:r>
        <w:rPr>
          <w:rFonts w:ascii="Calibri" w:hAnsi="Calibri"/>
          <w:b w:val="0"/>
          <w:i w:val="0"/>
          <w:color w:val="262626"/>
          <w:sz w:val="22"/>
        </w:rPr>
        <w:t>Uma mensagem padrão é composta por duas seções essenciais: (1) Cabeçalho (Headers/Metadata): armazena identificadores únicos como MessageId (UUID), CorrelationId (para rastreamento distribuído entre serviços), Timestamp, RoutingKey e ContentType; (2) Corpo (Payload): contém os dados concretos do domínio serializados em formatos neutros (JSON, Protocol Buffers ou Apache Avro).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Desacoplamento de Plataforma e Contrato: </w:t>
      </w:r>
      <w:r>
        <w:rPr>
          <w:rFonts w:ascii="Calibri" w:hAnsi="Calibri"/>
          <w:b w:val="0"/>
          <w:i w:val="0"/>
          <w:color w:val="262626"/>
          <w:sz w:val="22"/>
        </w:rPr>
        <w:t>O produtor pode ser implementado em Go e o consumidor em Java. Eles não compartilham memória nem contratos de interfaces binárias; o único acoplamento existente é o esquema de dados acordado da mensagem.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Garantia de Persistência Temporária: </w:t>
      </w:r>
      <w:r>
        <w:rPr>
          <w:rFonts w:ascii="Calibri" w:hAnsi="Calibri"/>
          <w:b w:val="0"/>
          <w:i w:val="0"/>
          <w:color w:val="262626"/>
          <w:sz w:val="22"/>
        </w:rPr>
        <w:t>A mensagem permanece protegida no canal até que o destinatário correto esteja disponível para consumi-la, eliminando a perda de transações decorrente de oscilações de rede.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6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a comunicação assíncrona em uma arquitetura de microsserviços utilizando um message broker.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O Message Broker é um componente intermediário de infraestrutura (middleware) projetado especificamente para receber, armazenar em buffer, rotear e entregar mensagens entre microsserviços desacoplados.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Funcionamento Detalhado: </w:t>
      </w:r>
      <w:r>
        <w:rPr>
          <w:rFonts w:ascii="Calibri" w:hAnsi="Calibri"/>
          <w:b w:val="0"/>
          <w:i w:val="0"/>
          <w:color w:val="262626"/>
          <w:sz w:val="22"/>
        </w:rPr>
        <w:t>Em vez de serviços chamarem diretamente os endereços de rede dos pares, todas as mensagens são direcionadas ao broker. O broker gerencia Filas (Queues) para processamento ponto a ponto concorrente e Tópicos (Topics/Exchanges) para difusão Publish/Subscribe.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Mecanismos de Confiabilidade (ACK / NACK): </w:t>
      </w:r>
      <w:r>
        <w:rPr>
          <w:rFonts w:ascii="Calibri" w:hAnsi="Calibri"/>
          <w:b w:val="0"/>
          <w:i w:val="0"/>
          <w:color w:val="262626"/>
          <w:sz w:val="22"/>
        </w:rPr>
        <w:t>O broker só considera uma mensagem concluída quando o consumidor envia uma confirmação de sucesso (ACK - Acknowledgement). Se o consumidor sofrer uma queda ou timeout antes do ACK, o broker reatribui a mensagem a outro nó disponível (NACK).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Dead Letter Queues (DLQ): </w:t>
      </w:r>
      <w:r>
        <w:rPr>
          <w:rFonts w:ascii="Calibri" w:hAnsi="Calibri"/>
          <w:b w:val="0"/>
          <w:i w:val="0"/>
          <w:color w:val="262626"/>
          <w:sz w:val="22"/>
        </w:rPr>
        <w:t>Mensagens que causam falhas repetidas (poison pills) são automaticamente isoladas em uma fila de cartas mortas (DLQ), impedindo o travamento da fila principal e viabilizando auditoria e correção posterior.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7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Apresente as vantagens e desvantagens da comunicação assíncrona em uma arquitetura de microsserviços utilizando um message broker.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Principais Vantagens: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Desacoplamento Espacial e Temporal: </w:t>
      </w:r>
      <w:r>
        <w:rPr>
          <w:rFonts w:ascii="Calibri" w:hAnsi="Calibri"/>
          <w:b w:val="0"/>
          <w:i w:val="0"/>
          <w:color w:val="262626"/>
          <w:sz w:val="22"/>
        </w:rPr>
        <w:t>Produtores e consumidores operam sem conhecer a localização física uns dos outros e sem necessidade de estarem online simultaneamente.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Nivelamento de Carga (Load Leveling / Traffic Smoothing): </w:t>
      </w:r>
      <w:r>
        <w:rPr>
          <w:rFonts w:ascii="Calibri" w:hAnsi="Calibri"/>
          <w:b w:val="0"/>
          <w:i w:val="0"/>
          <w:color w:val="262626"/>
          <w:sz w:val="22"/>
        </w:rPr>
        <w:t>O broker atua como um amortecedor contra picos abruptos de tráfego, acumulando requisições no buffer para que os serviços processem no seu ritmo ideal sem sofrer sobrecarga (backpressure).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Alta Resiliência: </w:t>
      </w:r>
      <w:r>
        <w:rPr>
          <w:rFonts w:ascii="Calibri" w:hAnsi="Calibri"/>
          <w:b w:val="0"/>
          <w:i w:val="0"/>
          <w:color w:val="262626"/>
          <w:sz w:val="22"/>
        </w:rPr>
        <w:t>Falhas transitórias em microsserviços ou bancos não causam perda de dados nem interrupções no fluxo de entrada do cliente.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Escalabilidade Horizontal Independente: </w:t>
      </w:r>
      <w:r>
        <w:rPr>
          <w:rFonts w:ascii="Calibri" w:hAnsi="Calibri"/>
          <w:b w:val="0"/>
          <w:i w:val="0"/>
          <w:color w:val="262626"/>
          <w:sz w:val="22"/>
        </w:rPr>
        <w:t>Pode-se aumentar o poder de processamento de qualquer etapa apenas adicionando mais instâncias trabalhadoras na fila correspondente.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Principais Desvantagens: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Complexidade Operacional e de Infraestrutura: </w:t>
      </w:r>
      <w:r>
        <w:rPr>
          <w:rFonts w:ascii="Calibri" w:hAnsi="Calibri"/>
          <w:b w:val="0"/>
          <w:i w:val="0"/>
          <w:color w:val="262626"/>
          <w:sz w:val="22"/>
        </w:rPr>
        <w:t>Exige configuração, monitoramento de clusters de brokers, dimensionamento de partições, réplicas e storage.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Adoção Obrigatória de Consistência Eventual: </w:t>
      </w:r>
      <w:r>
        <w:rPr>
          <w:rFonts w:ascii="Calibri" w:hAnsi="Calibri"/>
          <w:b w:val="0"/>
          <w:i w:val="0"/>
          <w:color w:val="262626"/>
          <w:sz w:val="22"/>
        </w:rPr>
        <w:t>As alterações não se refletem instantaneamente em todos os serviços; há um intervalo temporal onde leituras em diferentes serviços podem divergir temporariamente.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Dificuldade de Depuração e Observabilidade: </w:t>
      </w:r>
      <w:r>
        <w:rPr>
          <w:rFonts w:ascii="Calibri" w:hAnsi="Calibri"/>
          <w:b w:val="0"/>
          <w:i w:val="0"/>
          <w:color w:val="262626"/>
          <w:sz w:val="22"/>
        </w:rPr>
        <w:t>Rastrear fluxos distribuídos por múltiplos tópicos assíncronos requer soluções complexas de Tracing Distribuído (OpenTelemetry/Jaeger) e Correlation IDs.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Risco de Mensagens Duplicadas e Reordenação: </w:t>
      </w:r>
      <w:r>
        <w:rPr>
          <w:rFonts w:ascii="Calibri" w:hAnsi="Calibri"/>
          <w:b w:val="0"/>
          <w:i w:val="0"/>
          <w:color w:val="262626"/>
          <w:sz w:val="22"/>
        </w:rPr>
        <w:t>Requer lógica de idempotência em todos os consumidores para prevenir efeitos colaterais repetidos gerados por reentregas.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8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Dê exemplos de, pelo menos, três message brokers de código aberto. Explique o funcionamento e as vantagens de um deles.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Três Exemplos de Message Brokers Open Source: </w:t>
      </w:r>
      <w:r>
        <w:rPr>
          <w:rFonts w:ascii="Calibri" w:hAnsi="Calibri"/>
          <w:b w:val="0"/>
          <w:i w:val="0"/>
          <w:color w:val="262626"/>
          <w:sz w:val="22"/>
        </w:rPr>
        <w:t>1. Apache Kafka; 2. RabbitMQ; 3. Apache Pulsar (ou Apache ActiveMQ).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Detalhamento Aprofundado: Apache Kafka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Funcionamento do Apache Kafka: </w:t>
      </w:r>
      <w:r>
        <w:rPr>
          <w:rFonts w:ascii="Calibri" w:hAnsi="Calibri"/>
          <w:b w:val="0"/>
          <w:i w:val="0"/>
          <w:color w:val="262626"/>
          <w:sz w:val="22"/>
        </w:rPr>
        <w:t>O Kafka baseia-se no conceito de Commit Log Imutável Distribuído. As mensagens são salvas em arquivos de log em disco de forma sequencial (append-only). O fluxo é organizado em Tópicos, divididos em Partições distribuídas pelos servidores (Brokers) do cluster. Cada mensagem em uma partição recebe um identificador sequencial crescente chamado Offset. O modelo de consumo é baseado em Pull: os consumidores (Consumer Groups) realizam leituras no seu próprio ritmo e guardam a posição do ponteiro do offset que já processaram. As mensagens não são apagadas após o consumo, permanecendo no log por um tempo de retenção configurável (ex.: 7 dias).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Principais Vantagens do Apache Kafka: </w:t>
      </w:r>
      <w:r>
        <w:rPr>
          <w:rFonts w:ascii="Calibri" w:hAnsi="Calibri"/>
          <w:b w:val="0"/>
          <w:i w:val="0"/>
          <w:color w:val="262626"/>
          <w:sz w:val="22"/>
        </w:rPr>
        <w:t>1. Altíssimo Throughput: processa milhões de mensagens por segundo com latência de milissegundos graças a I/O sequencial em disco, page cache e zero-copy (sendfile); 2. Replay de Histórico (Time-Travel): permite que novos microsserviços redefinam seu offset e processem novamente todo o histórico passado; 3. Ordenação Estrita Garantida por Partição; 4. Escalabilidade Horizontal Nativa distribuída entre nós do cluster.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9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Dê um exemplo de message broker oferecido por um provedor de nuvem. Explique o seu funcionamento e suas vantagens.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Exemplo em Nuvem: AWS SQS (Simple Queue Service) e AWS SNS (Simple Notification Service) na Amazon Web Services (AWS)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Funcionamento do Padrão AWS SNS + SQS Fan-Out: </w:t>
      </w:r>
      <w:r>
        <w:rPr>
          <w:rFonts w:ascii="Calibri" w:hAnsi="Calibri"/>
          <w:b w:val="0"/>
          <w:i w:val="0"/>
          <w:color w:val="262626"/>
          <w:sz w:val="22"/>
        </w:rPr>
        <w:t>O AWS SNS atua como o publicador de tópicos Publish/Subscribe. Quando um microsserviço publica um evento no tópico SNS, o serviço replica instantaneamente a mensagem para múltiplas filas AWS SQS inscritas. Cada microsserviço consumidor possui sua própria fila SQS durável. O consumidor busca as mensagens via Long Polling. Durante o processamento, a mensagem entra em estado de Visibility Timeout (fica temporariamente invisível para outros). Se o consumidor processar com sucesso, ele envia o comando DeleteMessage. Se o nó falhar, o tempo expira e a mensagem volta a ficar visível na fila para reprocessamento.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Principais Vantagens do AWS SQS/SNS: </w:t>
      </w:r>
      <w:r>
        <w:rPr>
          <w:rFonts w:ascii="Calibri" w:hAnsi="Calibri"/>
          <w:b w:val="0"/>
          <w:i w:val="0"/>
          <w:color w:val="262626"/>
          <w:sz w:val="22"/>
        </w:rPr>
        <w:t>1. 100% Serverless e Gerenciado: zero gerenciamento de instâncias EC2, patches, partições manuais ou clusters; 2. Escalabilidade Infinita Automática: escala de zero a centenas de milhares de mensagens por segundo sob demanda; 3. Alta Disponibilidade Multi-AZ: replicação nativa e durabilidade extrema em múltiplos data centers independentes; 4. Custo Pay-As-You-Go: cobrança estrita por volume de requisições, com tier gratuito perpétuo de 1 milhão de requisições mensais; 5. Integração Nativa: conecta-se perfeitamente com AWS Lambda, IAM e CloudWatch.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10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Quais os desafios e as soluções para o processamento concorrente de mensagens para garantir a ordenação das mensagens?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Desafios da Concorrência na Ordenação: </w:t>
      </w:r>
      <w:r>
        <w:rPr>
          <w:rFonts w:ascii="Calibri" w:hAnsi="Calibri"/>
          <w:b w:val="0"/>
          <w:i w:val="0"/>
          <w:color w:val="262626"/>
          <w:sz w:val="22"/>
        </w:rPr>
        <w:t>Em microsserviços escalados horizontalmente, múltiplos nós consumidores processam mensagens em paralelo. Como a latência de rede e o tempo de execução variam, uma mensagem postada depois (ex.: PedidoCancelado) pode ser concluída antes da mensagem original (ex.: PedidoCriado). Isso acarreta estados inconsistentes no banco de dados e violações de regras de negócio.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Soluções Arquiteturais: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Particionamento Determinístico por Chave de Negócio (Partition Key / Sharding): </w:t>
      </w:r>
      <w:r>
        <w:rPr>
          <w:rFonts w:ascii="Calibri" w:hAnsi="Calibri"/>
          <w:b w:val="0"/>
          <w:i w:val="0"/>
          <w:color w:val="262626"/>
          <w:sz w:val="22"/>
        </w:rPr>
        <w:t>O produtor anexa uma Partition Key à mensagem (ex.: orderId ou customerId). O broker aplica uma função hash determinística: Partição = hash(PartitionKey) % total_particoes. Todas as mensagens referentes àquela mesma entidade cairão obrigatoriamente na mesma partição física. Como cada partição é processada por apenas um consumidor ativo por vez, a ordenação estrita é garantida para aquela entidade, enquanto outras entidades continuam sendo processadas concorrentemente em outras partições.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Versionamento Lógico de Estados: </w:t>
      </w:r>
      <w:r>
        <w:rPr>
          <w:rFonts w:ascii="Calibri" w:hAnsi="Calibri"/>
          <w:b w:val="0"/>
          <w:i w:val="0"/>
          <w:color w:val="262626"/>
          <w:sz w:val="22"/>
        </w:rPr>
        <w:t>As mensagens transmitem números de sequência monotônicos (version=1, version=2...). O consumidor só aplica alterações se a versão recebida for exatamente o sucessor do estado gravado no banco; mensagens fora de ordem aguardam em staging.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Filas FIFO Dedicadas (Single Active Consumer): </w:t>
      </w:r>
      <w:r>
        <w:rPr>
          <w:rFonts w:ascii="Calibri" w:hAnsi="Calibri"/>
          <w:b w:val="0"/>
          <w:i w:val="0"/>
          <w:color w:val="262626"/>
          <w:sz w:val="22"/>
        </w:rPr>
        <w:t>Utilização de filas estritas FIFO com nó exclusivo de consumo (como AWS SQS FIFO ou Single Active Consumer no RabbitMQ).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11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Quais os desafios e as soluções para o processamento concorrente de mensagens para o tratamento de mensagens duplicadas?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Desafios das Mensagens Duplicadas: </w:t>
      </w:r>
      <w:r>
        <w:rPr>
          <w:rFonts w:ascii="Calibri" w:hAnsi="Calibri"/>
          <w:b w:val="0"/>
          <w:i w:val="0"/>
          <w:color w:val="262626"/>
          <w:sz w:val="22"/>
        </w:rPr>
        <w:t>A maioria dos message brokers adota a garantia de entrega At-Least-Once (pelo menos uma vez). Se o consumidor processar com sucesso a mensagem mas a rede falhar milissegundos antes do envio do ACK ao broker, o broker assume falha e reentrega a mensagem. Sem proteção, ocorrem efeitos colaterais duplicados graves: cobranças duplas no cartão, baixas múltiplas de estoque ou envio repetido de e-mails.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Soluções Arquiteturais: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Padrão Consumidor Idempotente (Idempotent Consumer Pattern): </w:t>
      </w:r>
      <w:r>
        <w:rPr>
          <w:rFonts w:ascii="Calibri" w:hAnsi="Calibri"/>
          <w:b w:val="0"/>
          <w:i w:val="0"/>
          <w:color w:val="262626"/>
          <w:sz w:val="22"/>
        </w:rPr>
        <w:t>Toda mensagem carrega um MessageId (UUID) universalmente único. O consumidor armazena os IDs das mensagens finalizadas em uma tabela de deduplicação (tb_processed_messages) com restrição UNIQUE / PRIMARY KEY. Caso receba uma mensagem com ID já registrado, ele descarta o processamento de imediato e emite o ACK.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Operações de Negócio Comutativas / Finais: </w:t>
      </w:r>
      <w:r>
        <w:rPr>
          <w:rFonts w:ascii="Calibri" w:hAnsi="Calibri"/>
          <w:b w:val="0"/>
          <w:i w:val="0"/>
          <w:color w:val="262626"/>
          <w:sz w:val="22"/>
        </w:rPr>
        <w:t>Modelar operações de atualização baseadas em estado final (ex.: SET status = 'PAGO') em vez de incrementos delta.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Bloqueio Otimista com Coluna de Versão (@Version): </w:t>
      </w:r>
      <w:r>
        <w:rPr>
          <w:rFonts w:ascii="Calibri" w:hAnsi="Calibri"/>
          <w:b w:val="0"/>
          <w:i w:val="0"/>
          <w:color w:val="262626"/>
          <w:sz w:val="22"/>
        </w:rPr>
        <w:t>Rejeita alterações de mensagens duplicadas cuja versão seja menor ou igual à já persistida no banco.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// Exemplo de Implementação do Padrão Idempotent Consumer em Java: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package br.edu.infnet.messaging.idempotency;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public class IdempotentConsumerService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private final Set&lt;UUID&gt; processedMessageStore = Collections.synchronizedSet(new HashSet&lt;&gt;());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public boolean processMessage(UUID messageId, String messageType, String payload)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// 1. Verificação prévia: a mensagem já foi processada?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if (processedMessageStore.contains(messageId))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System.out.println("[IDEMPOTÊNCIA] Mensagem duplicada ignorada: " + messageId);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return false; // Descarte seguro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// 2. Executa a lógica de negócio e registra o ID na mesma transação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executeBusinessLogic(payload);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processedMessageStore.add(messageId);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return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613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_idempotent_consu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1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9"/>
        </w:rPr>
        <w:t>Figura 1: Print de tela da IDE com o código de IdempotentConsumerService.java</w:t>
      </w: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TP3/src/main/java/br/edu/infnet/messaging/idempotency/IdempotentConsumerService.java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12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Quais os desafios e as soluções para o tratamento de transações de mensagens em bancos de dados em uma arquitetura de microsserviços?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O Desafio do Dual-Write Problem: </w:t>
      </w:r>
      <w:r>
        <w:rPr>
          <w:rFonts w:ascii="Calibri" w:hAnsi="Calibri"/>
          <w:b w:val="0"/>
          <w:i w:val="0"/>
          <w:color w:val="262626"/>
          <w:sz w:val="22"/>
        </w:rPr>
        <w:t>Quando um microsserviço precisa atualizar o banco de dados local e enviar um evento ao Message Broker, essas duas operações não compartilham uma transação atômica ACID. Se comitar no banco primeiro e o broker cair, o evento é perdido para sempre. Se publicar no broker primeiro e o commit no banco falhar, outros microsserviços reagirão a um pedido fantasma. Protocolos de transação distribuída como 2PC (Two-Phase Commit / XA) são lentos, bloqueantes e não suportados por brokers modernos.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A Solução: O Padrão Transactional Outbox (Outbox Pattern): </w:t>
      </w:r>
      <w:r>
        <w:rPr>
          <w:rFonts w:ascii="Calibri" w:hAnsi="Calibri"/>
          <w:b w:val="0"/>
          <w:i w:val="0"/>
          <w:color w:val="262626"/>
          <w:sz w:val="22"/>
        </w:rPr>
        <w:t>O serviço cria uma tabela tb_outbox no mesmo banco relacional. Dentro da MESMA transação ACID local, ele salva a entidade de negócio e insere o evento na tb_outbox. Ambas as gravações concluem juntas de forma atômica. Um processo desacoplado em segundo plano (Outbox Poller ou ferramenta de CDC como Debezium lendo o Write-Ahead Log do banco) lê as mensagens da tb_outbox e as publica com total confiabilidade no Message Broker.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// Exemplo de Implementação do Transactional Outbox Pattern em Java: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package br.edu.infnet.messaging.outbox;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public class OrderOutboxService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public void createOrder(UUID orderId, UUID customerId, BigDecimal amount)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// Início da Transação Local ACID (ex.: @Transactional no Spring)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// 1. Grava a entidade de negócio na tabela tb_pedidos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orderTable.add("ORDER[id=" + orderId + ", total=" + amount + "]");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// 2. Grava o evento na tabela tb_outbox DENTRO DA MESMA TRANSAÇÃO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OutboxMessage msg = new OutboxMessage("Order", orderId, "OrderCreated", "{...}");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outboxTable.add(msg);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// Commit atômico no banco de dados (Elimina o Dual-Write Problem!)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} catch (Exception ex)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// Rollback atômico garantido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throw ex;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8885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_transactional_out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8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9"/>
        </w:rPr>
        <w:t>Figura 2: Print de tela da IDE com o código de OrderOutboxService.java (Transactional Outbox)</w:t>
      </w: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TP3/src/main/java/br/edu/infnet/messaging/outbox/OrderOutboxService.java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13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Quais os problemas relacionados ao uso de banco de dados em uma arquitetura de microsserviços assíncronos?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color w:val="262626"/>
          <w:sz w:val="22"/>
        </w:rPr>
        <w:t>A adoção do padrão Database-per-Service em arquiteturas assíncronas gera desafios estruturais de banco de dados: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1. Ausência de Transações ACID Globais: </w:t>
      </w:r>
      <w:r>
        <w:rPr>
          <w:rFonts w:ascii="Calibri" w:hAnsi="Calibri"/>
          <w:b w:val="0"/>
          <w:i w:val="0"/>
          <w:color w:val="262626"/>
          <w:sz w:val="22"/>
        </w:rPr>
        <w:t>Não é possível executar um BEGIN TRANSACTION abrangendo múltiplos microsserviços heterogêneos.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2. Inconsistência Temporária e Lag de Leitura (Read-Your-Own-Writes): </w:t>
      </w:r>
      <w:r>
        <w:rPr>
          <w:rFonts w:ascii="Calibri" w:hAnsi="Calibri"/>
          <w:b w:val="0"/>
          <w:i w:val="0"/>
          <w:color w:val="262626"/>
          <w:sz w:val="22"/>
        </w:rPr>
        <w:t>Como as mensagens levam tempo para serem consumidas e projetadas nos bancos de destino, o usuário pode cadastrar um registro e não vê-lo de imediato na listagem seguinte.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3. Impossibilidade de JOINs Distribuídos: </w:t>
      </w:r>
      <w:r>
        <w:rPr>
          <w:rFonts w:ascii="Calibri" w:hAnsi="Calibri"/>
          <w:b w:val="0"/>
          <w:i w:val="0"/>
          <w:color w:val="262626"/>
          <w:sz w:val="22"/>
        </w:rPr>
        <w:t>Consultas complexas que uniam 4 tabelas no monólito agora exigem padrões como API Composition ou CQRS (Command Query Responsibility Segregation) com bancos de leitura desnormalizados.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4. Falhas Parciais sem Rollback Nativo: </w:t>
      </w:r>
      <w:r>
        <w:rPr>
          <w:rFonts w:ascii="Calibri" w:hAnsi="Calibri"/>
          <w:b w:val="0"/>
          <w:i w:val="0"/>
          <w:color w:val="262626"/>
          <w:sz w:val="22"/>
        </w:rPr>
        <w:t>Se a 4ª etapa de um fluxo assíncrono falhar, as etapas anteriores já foram confirmadas no banco, exigindo transações compensatórias para restaurar o estado.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5. Sincronização e Versionamento de Esquemas: </w:t>
      </w:r>
      <w:r>
        <w:rPr>
          <w:rFonts w:ascii="Calibri" w:hAnsi="Calibri"/>
          <w:b w:val="0"/>
          <w:i w:val="0"/>
          <w:color w:val="262626"/>
          <w:sz w:val="22"/>
        </w:rPr>
        <w:t>Alterações de colunas no banco afetam os schemas dos eventos, exigindo governança com Schema Registries.</w:t>
      </w:r>
    </w:p>
    <w:p>
      <w:pPr>
        <w:keepNext/>
        <w:spacing w:before="280" w:after="60"/>
      </w:pPr>
      <w:r>
        <w:rPr>
          <w:rFonts w:ascii="Calibri" w:hAnsi="Calibri"/>
          <w:b/>
          <w:i w:val="0"/>
          <w:color w:val="1F4E79"/>
          <w:sz w:val="26"/>
        </w:rPr>
        <w:t>Questão 14</w:t>
      </w:r>
    </w:p>
    <w:p>
      <w:pPr>
        <w:keepNext/>
        <w:spacing w:after="120"/>
        <w:ind w:left="288"/>
      </w:pPr>
      <w:r>
        <w:rPr>
          <w:rFonts w:ascii="Calibri" w:hAnsi="Calibri"/>
          <w:b/>
          <w:i w:val="0"/>
          <w:color w:val="2E75B6"/>
          <w:sz w:val="22"/>
        </w:rPr>
        <w:t xml:space="preserve">Enunciado: </w:t>
      </w:r>
      <w:r>
        <w:rPr>
          <w:rFonts w:ascii="Calibri" w:hAnsi="Calibri"/>
          <w:b w:val="0"/>
          <w:i/>
          <w:color w:val="2E75B6"/>
          <w:sz w:val="22"/>
        </w:rPr>
        <w:t>Explique o gerenciamento de transações utilizando o padrão Sagas para manter a consistência dos dados em uma arquitetura de microsserviços assíncronos.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1F4E79"/>
          <w:sz w:val="22"/>
        </w:rPr>
        <w:t>Resposta: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Conceito Fundamental do Padrão Sagas: </w:t>
      </w:r>
      <w:r>
        <w:rPr>
          <w:rFonts w:ascii="Calibri" w:hAnsi="Calibri"/>
          <w:b w:val="0"/>
          <w:i w:val="0"/>
          <w:color w:val="262626"/>
          <w:sz w:val="22"/>
        </w:rPr>
        <w:t>Uma Saga é uma sequência ordenada de transações locais distribuídas. Cada etapa atualiza os dados no banco de um microsserviço e emite uma mensagem que aciona a etapa seguinte, substituindo transações distribuídas 2PC.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Transações Compensatórias (Rollback Semântico): </w:t>
      </w:r>
      <w:r>
        <w:rPr>
          <w:rFonts w:ascii="Calibri" w:hAnsi="Calibri"/>
          <w:b w:val="0"/>
          <w:i w:val="0"/>
          <w:color w:val="262626"/>
          <w:sz w:val="22"/>
        </w:rPr>
        <w:t>Como cada transação local já realizou o commit físico no seu banco, se alguma etapa posterior falhar, a Saga executa transações compensatórias em ordem estritamente reversa (LIFO) para desfazer semanticamente os efeitos anteriores (ex.: estornar a reserva de estoque se o pagamento for rejeitado).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>Abordagens de Implementação:</w:t>
      </w:r>
      <w:r>
        <w:rPr>
          <w:rFonts w:ascii="Calibri" w:hAnsi="Calibri"/>
          <w:b w:val="0"/>
          <w:i w:val="0"/>
          <w:color w:val="262626"/>
          <w:sz w:val="22"/>
        </w:rPr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Saga por Coreografia: </w:t>
      </w:r>
      <w:r>
        <w:rPr>
          <w:rFonts w:ascii="Calibri" w:hAnsi="Calibri"/>
          <w:b w:val="0"/>
          <w:i w:val="0"/>
          <w:color w:val="262626"/>
          <w:sz w:val="22"/>
        </w:rPr>
        <w:t>Descentralizada. Os serviços reagem autonomamente aos eventos uns dos outros. Adequada para fluxos simples de poucas etapas.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62626"/>
          <w:sz w:val="22"/>
        </w:rPr>
        <w:t xml:space="preserve">• Saga por Orquestração: </w:t>
      </w:r>
      <w:r>
        <w:rPr>
          <w:rFonts w:ascii="Calibri" w:hAnsi="Calibri"/>
          <w:b w:val="0"/>
          <w:i w:val="0"/>
          <w:color w:val="262626"/>
          <w:sz w:val="22"/>
        </w:rPr>
        <w:t>Centralizada. Um serviço Orquestrador (máquina de estados) coordena explicitamente as etapas, chamando comandos assíncronos e gerenciando a esteira de compensação em caso de erro.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8" w:space="0" w:color="1F4E7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// Exemplo de Orquestrador de Saga com Transações Compensatórias em Java: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package br.edu.infnet.messaging.saga;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public class OrderSagaOrchestrator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private final List&lt;SagaStep&gt; steps = new ArrayList&lt;&gt;();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public boolean executeSaga()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Deque&lt;SagaStep&gt; executedSteps = new ArrayDeque&lt;&gt;();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for (SagaStep step : steps)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if (step.execute())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    executedSteps.push(step);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    // Em caso de falha, aciona compensações em ordem reversa (LIFO)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    rollback(executedSteps);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    return false;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return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private void rollback(Deque&lt;SagaStep&gt; executedSteps)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while (!executedSteps.isEmpty())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    executedSteps.pop().compensate(); // Desfaz semanticamente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212529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8422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_saga_orchestr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2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95959"/>
          <w:sz w:val="19"/>
        </w:rPr>
        <w:t>Figura 3: Print de tela da IDE com o código de OrderSagaOrchestrator.java (Padrão Sagas)</w:t>
      </w:r>
    </w:p>
    <w:p>
      <w:pPr>
        <w:spacing w:before="60" w:after="160"/>
        <w:ind w:left="288"/>
      </w:pPr>
      <w:r>
        <w:rPr>
          <w:rFonts w:ascii="Calibri" w:hAnsi="Calibri"/>
          <w:b/>
          <w:i w:val="0"/>
          <w:color w:val="595959"/>
          <w:sz w:val="20"/>
        </w:rPr>
        <w:t xml:space="preserve">Referência / Código-Fonte: </w:t>
      </w:r>
      <w:r>
        <w:rPr>
          <w:rFonts w:ascii="Calibri" w:hAnsi="Calibri"/>
          <w:b w:val="0"/>
          <w:i/>
          <w:color w:val="595959"/>
          <w:sz w:val="20"/>
        </w:rPr>
        <w:t>TP3/src/main/java/br/edu/infnet/messaging/saga/OrderSagaOrchestrator.java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