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111111"/>
          <w:sz w:val="56"/>
        </w:rPr>
        <w:t>Path Forger</w:t>
      </w:r>
    </w:p>
    <w:p>
      <w:pPr>
        <w:spacing w:after="280"/>
      </w:pPr>
      <w:r>
        <w:rPr>
          <w:rFonts w:ascii="Calibri" w:hAnsi="Calibri"/>
          <w:color w:val="565D66"/>
          <w:sz w:val="30"/>
        </w:rPr>
        <w:t>Project Introduction and Overview</w:t>
      </w:r>
    </w:p>
    <w:p>
      <w:pPr>
        <w:spacing w:after="280"/>
      </w:pPr>
      <w:r>
        <w:rPr>
          <w:rFonts w:ascii="Calibri" w:hAnsi="Calibri"/>
          <w:b/>
          <w:color w:val="3D8DFF"/>
          <w:sz w:val="19"/>
        </w:rPr>
        <w:t>Marcus Vu  |  Duhvuz  |  Final demo: Friday, August 28, 2026, 1:00 PM Pacific / 4:00 PM Eastern</w:t>
      </w:r>
    </w:p>
    <w:p>
      <w:pPr>
        <w:spacing w:before="120" w:after="200"/>
        <w:ind w:left="115" w:right="115"/>
        <w:shd w:fill="EAF5FB"/>
        <w:pBdr>
          <w:top w:val="single" w:sz="6" w:color="B8BCC4" w:space="5"/>
          <w:left w:val="single" w:sz="6" w:color="B8BCC4" w:space="5"/>
          <w:bottom w:val="single" w:sz="6" w:color="B8BCC4" w:space="5"/>
          <w:right w:val="single" w:sz="6" w:color="B8BCC4" w:space="5"/>
        </w:pBdr>
      </w:pPr>
      <w:r>
        <w:rPr>
          <w:rFonts w:ascii="Calibri" w:hAnsi="Calibri"/>
          <w:b/>
          <w:color w:val="3D8DFF"/>
        </w:rPr>
        <w:t xml:space="preserve">In one sentence: </w:t>
      </w:r>
      <w:r>
        <w:rPr>
          <w:rFonts w:ascii="Calibri" w:hAnsi="Calibri"/>
        </w:rPr>
        <w:t>Path Forger turns resumes, transcripts, project notes, or guided student answers into an evidence-grounded career plan that users can inspect, edit, and act on.</w:t>
      </w:r>
    </w:p>
    <w:p>
      <w:pPr>
        <w:pStyle w:val="Heading1"/>
      </w:pPr>
      <w:r>
        <w:t>The problem</w:t>
      </w:r>
    </w:p>
    <w:p>
      <w:r>
        <w:t>Career guidance is easy to generate but difficult to trust. Background information is often scattered, goals are vague, and generic AI advice rarely shows which facts support a recommendation or what evidence a user should build next. Students, especially K-12 learners, may not have a traditional resume at all.</w:t>
      </w:r>
    </w:p>
    <w:p>
      <w:pPr>
        <w:pStyle w:val="Heading1"/>
      </w:pPr>
      <w:r>
        <w:t>The solution</w:t>
      </w:r>
    </w:p>
    <w:p>
      <w:r>
        <w:t>Path Forger creates a structured, reviewable profile before it recommends anything. The user confirms a career goal, the application gathers role evidence and calculates gaps, projects, and next actions, and a reasoner synthesizes the final plan. Warnings, evidence, provider details, latency, fallback events, and routing metadata remain visible instead of being hidden behind a single answer.</w:t>
      </w:r>
    </w:p>
    <w:p>
      <w:pPr>
        <w:pStyle w:val="Heading1"/>
      </w:pPr>
      <w:r>
        <w:t>Who it serves</w:t>
      </w:r>
    </w:p>
    <w:p>
      <w:pPr>
        <w:pStyle w:val="ListBullet"/>
      </w:pPr>
      <w:r>
        <w:rPr>
          <w:rFonts w:ascii="Calibri" w:hAnsi="Calibri"/>
        </w:rPr>
        <w:t>Students and early-career users who need help turning scattered experiences into a practical direction.</w:t>
      </w:r>
    </w:p>
    <w:p>
      <w:pPr>
        <w:pStyle w:val="ListBullet"/>
      </w:pPr>
      <w:r>
        <w:rPr>
          <w:rFonts w:ascii="Calibri" w:hAnsi="Calibri"/>
        </w:rPr>
        <w:t>K-12 learners, parents, counselors, and teachers who need school-friendly exploration without requiring a resume.</w:t>
      </w:r>
    </w:p>
    <w:p>
      <w:pPr>
        <w:pStyle w:val="ListBullet"/>
      </w:pPr>
      <w:r>
        <w:rPr>
          <w:rFonts w:ascii="Calibri" w:hAnsi="Calibri"/>
        </w:rPr>
        <w:t>Career changers who want role-specific skill gaps, portfolio projects, and prioritized next actions.</w:t>
      </w:r>
    </w:p>
    <w:p>
      <w:pPr>
        <w:pStyle w:val="Heading1"/>
      </w:pPr>
      <w:r>
        <w:t>What the current application demonstrates</w:t>
      </w:r>
    </w:p>
    <w:p>
      <w:pPr>
        <w:pStyle w:val="ListBullet"/>
      </w:pPr>
      <w:r>
        <w:rPr>
          <w:rFonts w:ascii="Calibri" w:hAnsi="Calibri"/>
        </w:rPr>
        <w:t>A focused page-based workflow: Overview, Student, Background, Profile, Goal, Results, and Review.</w:t>
      </w:r>
    </w:p>
    <w:p>
      <w:pPr>
        <w:pStyle w:val="ListBullet"/>
      </w:pPr>
      <w:r>
        <w:rPr>
          <w:rFonts w:ascii="Calibri" w:hAnsi="Calibri"/>
        </w:rPr>
        <w:t>Document or guided intake, editable profile extraction, sector/role/specialization selection, and a dedicated results page.</w:t>
      </w:r>
    </w:p>
    <w:p>
      <w:pPr>
        <w:pStyle w:val="ListBullet"/>
      </w:pPr>
      <w:r>
        <w:rPr>
          <w:rFonts w:ascii="Calibri" w:hAnsi="Calibri"/>
        </w:rPr>
        <w:t>Recommended paths, strengths, ranked gaps, projects, next actions, supporting evidence, caveats, warnings, and trace details.</w:t>
      </w:r>
    </w:p>
    <w:p>
      <w:pPr>
        <w:pStyle w:val="ListBullet"/>
      </w:pPr>
      <w:r>
        <w:rPr>
          <w:rFonts w:ascii="Calibri" w:hAnsi="Calibri"/>
        </w:rPr>
        <w:t>Hosted Gemini/OpenAI modes, local Qwen and HTTP-service contracts, hybrid fallbacks, and a deterministic offline demo mode.</w:t>
      </w:r>
    </w:p>
    <w:p>
      <w:r>
        <w:br w:type="page"/>
      </w:r>
    </w:p>
    <w:p>
      <w:pPr>
        <w:pStyle w:val="Heading1"/>
      </w:pPr>
      <w:r>
        <w:t>How it works</w:t>
      </w:r>
    </w:p>
    <w:p>
      <w:pPr>
        <w:spacing w:after="120"/>
      </w:pPr>
      <w:r>
        <w:rPr>
          <w:rFonts w:ascii="Calibri" w:hAnsi="Calibri"/>
          <w:b/>
          <w:color w:val="0F766E"/>
        </w:rPr>
        <w:t xml:space="preserve">1. Intake and extraction: </w:t>
      </w:r>
      <w:r>
        <w:rPr>
          <w:rFonts w:ascii="Calibri" w:hAnsi="Calibri"/>
          <w:color w:val="111111"/>
        </w:rPr>
        <w:t>A BackgroundExtractor converts documents, pasted notes, guided answers, or K-12 context into a typed profile with evidence spans, confidence, and warnings.</w:t>
      </w:r>
    </w:p>
    <w:p>
      <w:pPr>
        <w:spacing w:after="120"/>
      </w:pPr>
      <w:r>
        <w:rPr>
          <w:rFonts w:ascii="Calibri" w:hAnsi="Calibri"/>
          <w:b/>
          <w:color w:val="0F766E"/>
        </w:rPr>
        <w:t xml:space="preserve">2. Deterministic analysis: </w:t>
      </w:r>
      <w:r>
        <w:rPr>
          <w:rFonts w:ascii="Calibri" w:hAnsi="Calibri"/>
          <w:color w:val="111111"/>
        </w:rPr>
        <w:t>Local tools gather role evidence, analyze fit and skill gaps, recommend portfolio projects, and rank next actions.</w:t>
      </w:r>
    </w:p>
    <w:p>
      <w:pPr>
        <w:spacing w:after="120"/>
      </w:pPr>
      <w:r>
        <w:rPr>
          <w:rFonts w:ascii="Calibri" w:hAnsi="Calibri"/>
          <w:b/>
          <w:color w:val="0F766E"/>
        </w:rPr>
        <w:t xml:space="preserve">3. Reasoning and verification: </w:t>
      </w:r>
      <w:r>
        <w:rPr>
          <w:rFonts w:ascii="Calibri" w:hAnsi="Calibri"/>
          <w:color w:val="111111"/>
        </w:rPr>
        <w:t>A CareerReasoner produces schema-bound plan data, while verification keeps unsupported claims, caveats, warnings, and trace fields visible.</w:t>
      </w:r>
    </w:p>
    <w:p>
      <w:pPr>
        <w:spacing w:after="120"/>
      </w:pPr>
      <w:r>
        <w:rPr>
          <w:rFonts w:ascii="Calibri" w:hAnsi="Calibri"/>
          <w:b/>
          <w:color w:val="0F766E"/>
        </w:rPr>
        <w:t xml:space="preserve">4. Review and feedback: </w:t>
      </w:r>
      <w:r>
        <w:rPr>
          <w:rFonts w:ascii="Calibri" w:hAnsi="Calibri"/>
          <w:color w:val="111111"/>
        </w:rPr>
        <w:t>The user inspects the plan on a dedicated Results page and can leave a browser-saved review for product improvement.</w:t>
      </w:r>
    </w:p>
    <w:p>
      <w:pPr>
        <w:pStyle w:val="Heading1"/>
      </w:pPr>
      <w:r>
        <w:t>Technical design and AI usage</w:t>
      </w:r>
    </w:p>
    <w:p>
      <w:r>
        <w:t>The React/Vite frontend calls a FastAPI backend with SQLite persistence. The agent orchestration depends on the BackgroundExtractor and CareerReasoner protocols rather than model-specific internals. Gemini, OpenAI, Qwen, a partner local HTTP model service, and the fake provider return compatible Pydantic structures, which keeps the core workflow testable and provider-neutral.</w:t>
      </w:r>
    </w:p>
    <w:p>
      <w:pPr>
        <w:pStyle w:val="ListBullet"/>
      </w:pPr>
      <w:r>
        <w:rPr>
          <w:rFonts w:ascii="Calibri" w:hAnsi="Calibri"/>
        </w:rPr>
        <w:t>Claude Code supported architecture planning and design/code review.</w:t>
      </w:r>
    </w:p>
    <w:p>
      <w:pPr>
        <w:pStyle w:val="ListBullet"/>
      </w:pPr>
      <w:r>
        <w:rPr>
          <w:rFonts w:ascii="Calibri" w:hAnsi="Calibri"/>
        </w:rPr>
        <w:t>OpenAI Codex supported focused implementation, debugging, tests, and documentation.</w:t>
      </w:r>
    </w:p>
    <w:p>
      <w:pPr>
        <w:pStyle w:val="ListBullet"/>
      </w:pPr>
      <w:r>
        <w:rPr>
          <w:rFonts w:ascii="Calibri" w:hAnsi="Calibri"/>
        </w:rPr>
        <w:t>Human review controlled product decisions, accepted changes, and determined what shipped.</w:t>
      </w:r>
    </w:p>
    <w:p>
      <w:pPr>
        <w:pStyle w:val="Heading1"/>
      </w:pPr>
      <w:r>
        <w:t>Validation and responsible use</w:t>
      </w:r>
    </w:p>
    <w:p>
      <w:r>
        <w:t>Backend tests cover schemas, deterministic tools, provider boundaries, fallbacks, verifier behavior, and API flow. The committed fake-provider evaluation uses five synthetic personas; each recorded run is schema-valid and includes six evidence citations, while the ambiguous case intentionally produces a verifier warning. These results validate the workflow and trace behavior, not real-world model accuracy.</w:t>
      </w:r>
    </w:p>
    <w:p>
      <w:pPr>
        <w:pStyle w:val="Heading1"/>
      </w:pPr>
      <w:r>
        <w:t>Current limitations and next steps</w:t>
      </w:r>
    </w:p>
    <w:p>
      <w:pPr>
        <w:pStyle w:val="ListBullet"/>
      </w:pPr>
      <w:r>
        <w:rPr>
          <w:rFonts w:ascii="Calibri" w:hAnsi="Calibri"/>
        </w:rPr>
        <w:t>The deterministic demo is designed for repeatability, not production-quality reasoning.</w:t>
      </w:r>
    </w:p>
    <w:p>
      <w:pPr>
        <w:pStyle w:val="ListBullet"/>
      </w:pPr>
      <w:r>
        <w:rPr>
          <w:rFonts w:ascii="Calibri" w:hAnsi="Calibri"/>
        </w:rPr>
        <w:t>Hosted evidence grounding and local-model performance depend on provider configuration and hardware.</w:t>
      </w:r>
    </w:p>
    <w:p>
      <w:pPr>
        <w:pStyle w:val="ListBullet"/>
      </w:pPr>
      <w:r>
        <w:rPr>
          <w:rFonts w:ascii="Calibri" w:hAnsi="Calibri"/>
        </w:rPr>
        <w:t>Next steps include user accounts and consent controls, saved plan versions, stronger labor-market evidence, privacy hardening, and outcome-based user studies.</w:t>
      </w:r>
    </w:p>
    <w:p>
      <w:pPr>
        <w:spacing w:before="120" w:after="200"/>
        <w:ind w:left="115" w:right="115"/>
        <w:shd w:fill="E9F7F4"/>
        <w:pBdr>
          <w:top w:val="single" w:sz="6" w:color="B8BCC4" w:space="5"/>
          <w:left w:val="single" w:sz="6" w:color="B8BCC4" w:space="5"/>
          <w:bottom w:val="single" w:sz="6" w:color="B8BCC4" w:space="5"/>
          <w:right w:val="single" w:sz="6" w:color="B8BCC4" w:space="5"/>
        </w:pBdr>
      </w:pPr>
      <w:r>
        <w:rPr>
          <w:rFonts w:ascii="Calibri" w:hAnsi="Calibri"/>
          <w:b/>
          <w:color w:val="0F766E"/>
        </w:rPr>
        <w:t xml:space="preserve">Demo focus: </w:t>
      </w:r>
      <w:r>
        <w:rPr>
          <w:rFonts w:ascii="Calibri" w:hAnsi="Calibri"/>
        </w:rPr>
        <w:t>In about five minutes, the demo will show the complete journey from student/background context to an editable profile, a selected goal, an evidence-grounded plan, visible trace information, and a feedback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65D6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65D66"/>
        <w:sz w:val="17"/>
      </w:rPr>
      <w:t>PATH FORGER  |  PROJECT INTRODUCTION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ind w:left="540" w:hanging="271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9" w:lineRule="auto"/>
      <w:ind w:left="540" w:hanging="271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