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780"/>
        <w:tblW w:w="11340.0" w:type="dxa"/>
        <w:jc w:val="left"/>
        <w:tblLayout w:type="fixed"/>
        <w:tblLook w:val="0400"/>
      </w:tblPr>
      <w:tblGrid>
        <w:gridCol w:w="5144"/>
        <w:gridCol w:w="6196"/>
        <w:tblGridChange w:id="0">
          <w:tblGrid>
            <w:gridCol w:w="5144"/>
            <w:gridCol w:w="6196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Literature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Factors affecting the development of adverse drug reactions (Review article)</w:t>
              </w:r>
            </w:hyperlink>
            <w:r w:rsidDel="00000000" w:rsidR="00000000" w:rsidRPr="00000000">
              <w:rPr>
                <w:color w:val="0563c1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(Alomar, 2013)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Gives an overview of what adverse drug reactions are, and what factors cause them. This first introduces drug interactions.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XSMILES: interactive visualization for molecules, SMILES and XAI attribution scores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(Heberle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et al.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2023)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Proposes XSMILES, an interactive visualization technique, to explore substructure importance for property prediction.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Application of artificial intelligence and machine learning in early detection of adverse drug reactions (ADRs) and drug-induced toxicity</w:t>
              </w:r>
            </w:hyperlink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(Yang and Kar, 2023)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Provides a recent review of the current state of ADR prediction as a field. Also provides a useful history of ADR’s. A lack of interpretability/explainability in deep learning methods is highlighted. 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hyperlink r:id="rId10">
              <w:r w:rsidDel="00000000" w:rsidR="00000000" w:rsidRPr="00000000">
                <w:rPr>
                  <w:color w:val="0070c0"/>
                  <w:u w:val="single"/>
                  <w:rtl w:val="0"/>
                </w:rPr>
                <w:t xml:space="preserve">DDI-GCN: Drug-drug interaction prediction via explainable graph convolutional networks</w:t>
              </w:r>
            </w:hyperlink>
            <w:r w:rsidDel="00000000" w:rsidR="00000000" w:rsidRPr="00000000">
              <w:rPr>
                <w:color w:val="0070c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(Zhong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et al.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2023)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Suggests a Graph Convolutional Neural Network approach to DDI, with visualisation for substructure importance, all presented in a GUI.</w:t>
            </w:r>
          </w:p>
        </w:tc>
      </w:tr>
    </w:tbl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DDI Prediction Dissertation Poster – Related Work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Alomar, M.J. (2013) ‘Factors affecting the development of adverse drug reactions (Review article)’,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 Pharmaceutical Journal : SPJ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22(2), pp. 83–94. Available at: https://doi.org/10.1016/j.jsps.2013.02.003.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Heberle, H.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(2023) ‘XSMILES: interactive visualization for molecules, SMILES and XAI attribution scores’,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of Cheminformatics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15(1), p. 2. Available at: https://doi.org/10.1186/s13321-022-00673-w.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Yang, S. and Kar, S. (2023) ‘Application of artificial intelligence and machine learning in early detection of adverse drug reactions (ADRs) and drug-induced toxicity’,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 Intelligence Chemistry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1(2), p. 18. Available at: https://doi.org/10.1016/j.aichem.2023.100011.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Zhong, Y.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(2023) ‘DDI-GCN: Drug-drug interaction prediction via explainable graph convolutional networks’,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 Intelligence in Medicine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144, p. 9. Available at: https://doi.org/10.1016/j.artmed.2023.102640.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E61F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E61FD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627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627B5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 w:val="1"/>
    <w:rsid w:val="00175142"/>
    <w:pPr>
      <w:spacing w:after="24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ciencedirect.com/science/article/abs/pii/S0933365723001549" TargetMode="External"/><Relationship Id="rId9" Type="http://schemas.openxmlformats.org/officeDocument/2006/relationships/hyperlink" Target="https://www.sciencedirect.com/science/article/pii/S294974772300011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ncbi.nlm.nih.gov/pmc/articles/PMC3950535/#:~:text=Pharmacological%2C%20immunological%2C%20and%20genetic%20factors,pharmacodynamic%20abnormalities%2C%20and%20drug%20interactions" TargetMode="External"/><Relationship Id="rId8" Type="http://schemas.openxmlformats.org/officeDocument/2006/relationships/hyperlink" Target="https://jcheminf.biomedcentral.com/articles/10.1186/s13321-022-00673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hv8sPFFuJ8baFeF7QsJmnZPKyg==">CgMxLjA4AHIhMWNGVmlQb01WZzZpdlNvVDZfUVcyakh1eFhrRE9YWl9h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2024-01-03T11:28:00Z</dcterms:created>
  <dc:creator>Marcus Abraham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id="PS9QcCXD"/&gt;&lt;style id="http://www.zotero.org/styles/harvard-university-of-gloucestershire" hasBibliography="1" bibliographyStyleHasBeenSet="1"/&gt;&lt;prefs&gt;&lt;pref name="fieldType" value="Field"/&gt;&lt;/prefs</vt:lpwstr>
  </property>
  <property fmtid="{D5CDD505-2E9C-101B-9397-08002B2CF9AE}" pid="3" name="ZOTERO_PREF_2">
    <vt:lpwstr>&gt;&lt;/data&gt;</vt:lpwstr>
  </property>
  <property fmtid="{D5CDD505-2E9C-101B-9397-08002B2CF9AE}" pid="4" name="ZOTERO_PREF_1">
    <vt:lpwstr>&lt;data data-version="3" zotero-version="6.0.30"&gt;&lt;session id="PS9QcCXD"/&gt;&lt;style id="http://www.zotero.org/styles/harvard-university-of-gloucestershire" hasBibliography="1" bibliographyStyleHasBeenSet="1"/&gt;&lt;prefs&gt;&lt;pref name="fieldType" value="Field"/&gt;&lt;/prefs</vt:lpwstr>
  </property>
  <property fmtid="{D5CDD505-2E9C-101B-9397-08002B2CF9AE}" pid="5" name="ZOTERO_PREF_2">
    <vt:lpwstr>&gt;&lt;/data&gt;</vt:lpwstr>
  </property>
</Properties>
</file>