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after="240"/>
        <w:jc w:val="center"/>
      </w:pPr>
      <w:r>
        <w:rPr>
          <w:rFonts w:ascii="Times New Roman" w:hAnsi="Times New Roman" w:eastAsia="黑体"/>
          <w:b/>
          <w:color w:val="1F4E79"/>
          <w:sz w:val="44"/>
        </w:rPr>
        <w:t>研究计划书</w:t>
      </w:r>
    </w:p>
    <w:p>
      <w:pPr>
        <w:pStyle w:val="Subtitle"/>
        <w:spacing w:after="120"/>
        <w:jc w:val="center"/>
      </w:pPr>
      <w:r>
        <w:rPr>
          <w:rFonts w:ascii="Times New Roman" w:hAnsi="Times New Roman" w:eastAsia="宋体"/>
          <w:i/>
          <w:color w:val="606060"/>
          <w:sz w:val="22"/>
        </w:rPr>
        <w:t>题目：基于少量校准方向测量的阵列流形修正及 DOA 估计方法研究</w:t>
      </w:r>
    </w:p>
    <w:p>
      <w:pPr>
        <w:spacing w:before="360" w:after="80"/>
        <w:jc w:val="center"/>
      </w:pPr>
      <w:r>
        <w:rPr>
          <w:rFonts w:ascii="Times New Roman" w:hAnsi="Times New Roman" w:eastAsia="宋体"/>
          <w:b/>
          <w:sz w:val="22"/>
        </w:rPr>
        <w:t>研究定位：</w:t>
      </w:r>
      <w:r>
        <w:rPr>
          <w:rFonts w:ascii="Times New Roman" w:hAnsi="Times New Roman" w:eastAsia="宋体"/>
          <w:sz w:val="22"/>
        </w:rPr>
        <w:t xml:space="preserve"> 以现实校准样本稀缺为核心约束，以 HFSS 作为可控验证平台，研究少量方向测量条件下的真实阵列流形重构与 DOA 性能恢复方法。</w:t>
      </w:r>
    </w:p>
    <w:p>
      <w:pPr>
        <w:pStyle w:val="Callout"/>
        <w:spacing w:before="480" w:after="360"/>
        <w:jc w:val="center"/>
      </w:pPr>
      <w:r>
        <w:rPr>
          <w:rFonts w:ascii="Times New Roman" w:hAnsi="Times New Roman" w:eastAsia="宋体"/>
          <w:i/>
          <w:sz w:val="22"/>
        </w:rPr>
        <w:t>说明：本计划书将 HFSS 定位为方法验证工具，而非面向现实部署的预训练来源。</w:t>
      </w:r>
    </w:p>
    <w:p>
      <w:r>
        <w:br w:type="page"/>
      </w:r>
    </w:p>
    <w:p>
      <w:pPr>
        <w:pStyle w:val="Heading1"/>
        <w:spacing w:before="0" w:after="120" w:line="324" w:lineRule="auto"/>
        <w:ind w:firstLine="420"/>
      </w:pPr>
      <w:r>
        <w:rPr>
          <w:rFonts w:ascii="Times New Roman" w:hAnsi="Times New Roman" w:eastAsia="宋体"/>
          <w:sz w:val="22"/>
        </w:rPr>
        <w:t>摘要</w:t>
      </w:r>
    </w:p>
    <w:p>
      <w:pPr>
        <w:spacing w:before="0" w:after="120" w:line="324" w:lineRule="auto"/>
        <w:ind w:firstLine="420"/>
      </w:pPr>
      <w:r>
        <w:rPr>
          <w:rFonts w:ascii="Times New Roman" w:hAnsi="Times New Roman" w:eastAsia="宋体"/>
          <w:sz w:val="22"/>
        </w:rPr>
        <w:t>针对传统 DOA 算法依赖理想阵列流形而在真实阵列条件下易出现模型失配的问题，本研究拟围绕“少量校准方向测量条件下的真实阵列流形修正”展开。工程实践中，真实阵列往往受到互耦、方向图畸变、馈电不一致、加工误差以及安装环境散射等因素影响，导致实际流形与理想流形之间存在显著偏差，进而引起谱峰偏移、分辨力下降以及高信噪比下的误差地板。与仿真角度资源相对充足不同，现实校准实验的真正瓶颈在于已知方向测量样本稀缺、成本较高。因此，本研究不将 HFSS 用作现实系统的预训练源，而是将其作为可控验证平台，验证在仅有少量校准样本的条件下，是否能够通过物理引导的低维修正模型，从理想流形出发重构可用于 DOA 估计的真实阵列流形。方法上，拟采用“理想流形加角度相关残差修正”的建模框架，优先研究相位主导修正策略，并在未参与校准的方向上考察流形重构误差、MUSIC 伪谱质量及 RMSE 改善效果。</w:t>
      </w:r>
    </w:p>
    <w:p>
      <w:pPr>
        <w:pStyle w:val="Heading1"/>
        <w:spacing w:before="0" w:after="120" w:line="324" w:lineRule="auto"/>
        <w:ind w:firstLine="420"/>
      </w:pPr>
      <w:r>
        <w:rPr>
          <w:rFonts w:ascii="Times New Roman" w:hAnsi="Times New Roman" w:eastAsia="宋体"/>
          <w:sz w:val="22"/>
        </w:rPr>
        <w:t>一、研究背景与问题提出</w:t>
      </w:r>
    </w:p>
    <w:p>
      <w:pPr>
        <w:spacing w:before="0" w:after="120" w:line="324" w:lineRule="auto"/>
        <w:ind w:firstLine="420"/>
      </w:pPr>
      <w:r>
        <w:rPr>
          <w:rFonts w:ascii="Times New Roman" w:hAnsi="Times New Roman" w:eastAsia="宋体"/>
          <w:sz w:val="22"/>
        </w:rPr>
        <w:t>方向到达估计是阵列信号处理中的基础问题，其核心前提之一是阵列流形已知且模型准确。对于均匀线阵，常用理想导向矢量通常仅由阵列几何关系决定，默认阵元完全一致、互耦可忽略、方向图理想且馈电链路无失配。</w:t>
      </w:r>
    </w:p>
    <w:p>
      <w:pPr>
        <w:spacing w:before="0" w:after="120" w:line="324" w:lineRule="auto"/>
        <w:ind w:firstLine="420"/>
      </w:pPr>
      <w:r>
        <w:rPr>
          <w:rFonts w:ascii="Times New Roman" w:hAnsi="Times New Roman" w:eastAsia="宋体"/>
          <w:sz w:val="22"/>
        </w:rPr>
        <w:t>然而在真实工程条件下，阵列流形往往难以与理想模型保持一致。阵元互耦会改变端口幅相响应，有限尺寸天线与有限接地结构会引入方向图畸变，馈线和加工误差会导致附加相位偏差，平台散射与安装环境也会进一步改变阵列对入射波的响应特征。</w:t>
      </w:r>
    </w:p>
    <w:p>
      <w:pPr>
        <w:spacing w:before="0" w:after="120" w:line="324" w:lineRule="auto"/>
        <w:ind w:firstLine="420"/>
      </w:pPr>
      <w:r>
        <w:rPr>
          <w:rFonts w:ascii="Times New Roman" w:hAnsi="Times New Roman" w:eastAsia="宋体"/>
          <w:sz w:val="22"/>
        </w:rPr>
        <w:t>当实际流形与理想流形不一致时，基于理想流形构造的 MUSIC、MVDR 或 ESPRIT 等方法将不可避免地承受模型失配误差。此类误差通常表现为谱峰偏移、主瓣展宽、副瓣抬升以及高信噪比下 RMSE 不再继续下降的误差地板。</w:t>
      </w:r>
    </w:p>
    <w:p>
      <w:pPr>
        <w:spacing w:before="0" w:after="120" w:line="324" w:lineRule="auto"/>
        <w:ind w:firstLine="420"/>
      </w:pPr>
      <w:r>
        <w:rPr>
          <w:rFonts w:ascii="Times New Roman" w:hAnsi="Times New Roman" w:eastAsia="宋体"/>
          <w:sz w:val="22"/>
        </w:rPr>
        <w:t>因此，如何在有限校准代价下获得更接近真实阵列的流形模型，已成为高精度 DOA 工程实现中不可回避的问题。</w:t>
      </w:r>
    </w:p>
    <w:p>
      <w:pPr>
        <w:pStyle w:val="Heading1"/>
        <w:spacing w:before="0" w:after="120" w:line="324" w:lineRule="auto"/>
        <w:ind w:firstLine="420"/>
      </w:pPr>
      <w:r>
        <w:rPr>
          <w:rFonts w:ascii="Times New Roman" w:hAnsi="Times New Roman" w:eastAsia="宋体"/>
          <w:sz w:val="22"/>
        </w:rPr>
        <w:t>二、现实约束与研究问题界定</w:t>
      </w:r>
    </w:p>
    <w:p>
      <w:pPr>
        <w:spacing w:before="0" w:after="120" w:line="324" w:lineRule="auto"/>
        <w:ind w:firstLine="420"/>
      </w:pPr>
      <w:r>
        <w:rPr>
          <w:rFonts w:ascii="Times New Roman" w:hAnsi="Times New Roman" w:eastAsia="宋体"/>
          <w:sz w:val="22"/>
        </w:rPr>
        <w:t>本研究认为，真正稀缺的不是仿真角度，而是现实世界中可获取的已知方向校准测量。对于 HFSS 而言，研究者通常能够在较低边际成本下扫描较多入射角度，从而获得近似完整的阵列流形库；但在真实实验中，每增加一个已知方向校准点，往往都意味着额外的搭台、定位、测量与环境控制成本。</w:t>
      </w:r>
    </w:p>
    <w:p>
      <w:pPr>
        <w:spacing w:before="0" w:after="120" w:line="324" w:lineRule="auto"/>
        <w:ind w:firstLine="420"/>
      </w:pPr>
      <w:r>
        <w:rPr>
          <w:rFonts w:ascii="Times New Roman" w:hAnsi="Times New Roman" w:eastAsia="宋体"/>
          <w:sz w:val="22"/>
        </w:rPr>
        <w:t>因此，本课题的核心问题并非“如何利用少量 HFSS 角度数据预训练现实系统”，而应严格表述为：如何仅依赖少量已知方向的校准测量样本，对理想阵列流形进行修正，并进一步重构可用于未知方向 DOA 估计的真实阵列流形模型。</w:t>
      </w:r>
    </w:p>
    <w:p>
      <w:pPr>
        <w:spacing w:before="0" w:after="120" w:line="324" w:lineRule="auto"/>
        <w:ind w:firstLine="420"/>
      </w:pPr>
      <w:r>
        <w:rPr>
          <w:rFonts w:ascii="Times New Roman" w:hAnsi="Times New Roman" w:eastAsia="宋体"/>
          <w:sz w:val="22"/>
        </w:rPr>
        <w:t>在这一框架下，HFSS 的角色是可控验证平台：它提供较高可信度的真实阵列响应真值，从而使研究者能够在不进行大规模实测的前提下，对拟议算法的训练测试划分、泛化能力和性能上限进行系统验证。换言之，仿真与现实共享同一套算法框架，但不共享所谓预训练参数直接迁移的前提。</w:t>
      </w:r>
    </w:p>
    <w:p>
      <w:pPr>
        <w:pStyle w:val="Heading1"/>
        <w:spacing w:before="0" w:after="120" w:line="324" w:lineRule="auto"/>
        <w:ind w:firstLine="420"/>
      </w:pPr>
      <w:r>
        <w:rPr>
          <w:rFonts w:ascii="Times New Roman" w:hAnsi="Times New Roman" w:eastAsia="宋体"/>
          <w:sz w:val="22"/>
        </w:rPr>
        <w:t>三、问题成因与工程后果</w:t>
      </w:r>
    </w:p>
    <w:tbl>
      <w:tblPr>
        <w:tblW w:type="auto" w:w="0"/>
        <w:jc w:val="center"/>
        <w:tblLayout w:type="fixed"/>
        <w:tblLook w:firstColumn="1" w:firstRow="1" w:lastColumn="0" w:lastRow="0" w:noHBand="0" w:noVBand="1" w:val="04A0"/>
      </w:tblPr>
      <w:tblGrid>
        <w:gridCol w:w="2268"/>
        <w:gridCol w:w="3685"/>
        <w:gridCol w:w="3118"/>
      </w:tblGrid>
      <w:tr>
        <w:tc>
          <w:tcPr>
            <w:tcW w:type="dxa" w:w="3173"/>
            <w:vAlign w:val="center"/>
            <w:shd w:fill="D9EAF7"/>
          </w:tcPr>
          <w:p>
            <w:pPr>
              <w:spacing w:before="40" w:after="40" w:line="276" w:lineRule="auto"/>
              <w:jc w:val="center"/>
            </w:pPr>
            <w:r/>
            <w:r>
              <w:rPr>
                <w:rFonts w:ascii="Times New Roman" w:hAnsi="Times New Roman" w:eastAsia="宋体"/>
                <w:b/>
                <w:sz w:val="21"/>
              </w:rPr>
              <w:t>成因</w:t>
            </w:r>
          </w:p>
        </w:tc>
        <w:tc>
          <w:tcPr>
            <w:tcW w:type="dxa" w:w="3173"/>
            <w:vAlign w:val="center"/>
            <w:shd w:fill="D9EAF7"/>
          </w:tcPr>
          <w:p>
            <w:pPr>
              <w:spacing w:before="40" w:after="40" w:line="276" w:lineRule="auto"/>
              <w:jc w:val="center"/>
            </w:pPr>
            <w:r/>
            <w:r>
              <w:rPr>
                <w:rFonts w:ascii="Times New Roman" w:hAnsi="Times New Roman" w:eastAsia="宋体"/>
                <w:b/>
                <w:sz w:val="21"/>
              </w:rPr>
              <w:t>具体表现</w:t>
            </w:r>
          </w:p>
        </w:tc>
        <w:tc>
          <w:tcPr>
            <w:tcW w:type="dxa" w:w="3173"/>
            <w:vAlign w:val="center"/>
            <w:shd w:fill="D9EAF7"/>
          </w:tcPr>
          <w:p>
            <w:pPr>
              <w:spacing w:before="40" w:after="40" w:line="276" w:lineRule="auto"/>
              <w:jc w:val="center"/>
            </w:pPr>
            <w:r/>
            <w:r>
              <w:rPr>
                <w:rFonts w:ascii="Times New Roman" w:hAnsi="Times New Roman" w:eastAsia="宋体"/>
                <w:b/>
                <w:sz w:val="21"/>
              </w:rPr>
              <w:t>对 DOA 的影响</w:t>
            </w:r>
          </w:p>
        </w:tc>
      </w:tr>
      <w:tr>
        <w:tc>
          <w:tcPr>
            <w:tcW w:type="dxa" w:w="2268"/>
            <w:vAlign w:val="center"/>
          </w:tcPr>
          <w:p>
            <w:pPr>
              <w:spacing w:before="40" w:after="40" w:line="276" w:lineRule="auto"/>
              <w:jc w:val="left"/>
            </w:pPr>
            <w:r/>
            <w:r>
              <w:rPr>
                <w:rFonts w:ascii="Times New Roman" w:hAnsi="Times New Roman" w:eastAsia="宋体"/>
                <w:b w:val="0"/>
                <w:sz w:val="20"/>
              </w:rPr>
              <w:t>阵元互耦</w:t>
            </w:r>
          </w:p>
        </w:tc>
        <w:tc>
          <w:tcPr>
            <w:tcW w:type="dxa" w:w="3685"/>
            <w:vAlign w:val="center"/>
          </w:tcPr>
          <w:p>
            <w:pPr>
              <w:spacing w:before="40" w:after="40" w:line="276" w:lineRule="auto"/>
              <w:jc w:val="left"/>
            </w:pPr>
            <w:r/>
            <w:r>
              <w:rPr>
                <w:rFonts w:ascii="Times New Roman" w:hAnsi="Times New Roman" w:eastAsia="宋体"/>
                <w:b w:val="0"/>
                <w:sz w:val="20"/>
              </w:rPr>
              <w:t>阵元之间的电磁耦合改变端口电压的幅度与相位关系，使实际导向矢量偏离理想独立阵元模型。</w:t>
            </w:r>
          </w:p>
        </w:tc>
        <w:tc>
          <w:tcPr>
            <w:tcW w:type="dxa" w:w="3118"/>
            <w:vAlign w:val="center"/>
          </w:tcPr>
          <w:p>
            <w:pPr>
              <w:spacing w:before="40" w:after="40" w:line="276" w:lineRule="auto"/>
              <w:jc w:val="left"/>
            </w:pPr>
            <w:r/>
            <w:r>
              <w:rPr>
                <w:rFonts w:ascii="Times New Roman" w:hAnsi="Times New Roman" w:eastAsia="宋体"/>
                <w:b w:val="0"/>
                <w:sz w:val="20"/>
              </w:rPr>
              <w:t>引起模型失配，导致谱峰偏移、分辨力下降。</w:t>
            </w:r>
          </w:p>
        </w:tc>
      </w:tr>
      <w:tr>
        <w:tc>
          <w:tcPr>
            <w:tcW w:type="dxa" w:w="2268"/>
            <w:vAlign w:val="center"/>
          </w:tcPr>
          <w:p>
            <w:pPr>
              <w:spacing w:before="40" w:after="40" w:line="276" w:lineRule="auto"/>
              <w:jc w:val="left"/>
            </w:pPr>
            <w:r/>
            <w:r>
              <w:rPr>
                <w:rFonts w:ascii="Times New Roman" w:hAnsi="Times New Roman" w:eastAsia="宋体"/>
                <w:b w:val="0"/>
                <w:sz w:val="20"/>
              </w:rPr>
              <w:t>方向图非理想</w:t>
            </w:r>
          </w:p>
        </w:tc>
        <w:tc>
          <w:tcPr>
            <w:tcW w:type="dxa" w:w="3685"/>
            <w:vAlign w:val="center"/>
          </w:tcPr>
          <w:p>
            <w:pPr>
              <w:spacing w:before="40" w:after="40" w:line="276" w:lineRule="auto"/>
              <w:jc w:val="left"/>
            </w:pPr>
            <w:r/>
            <w:r>
              <w:rPr>
                <w:rFonts w:ascii="Times New Roman" w:hAnsi="Times New Roman" w:eastAsia="宋体"/>
                <w:b w:val="0"/>
                <w:sz w:val="20"/>
              </w:rPr>
              <w:t>真实天线单元对不同入射方向的响应并非理想几何相位关系，尤其在边缘角度更明显。</w:t>
            </w:r>
          </w:p>
        </w:tc>
        <w:tc>
          <w:tcPr>
            <w:tcW w:type="dxa" w:w="3118"/>
            <w:vAlign w:val="center"/>
          </w:tcPr>
          <w:p>
            <w:pPr>
              <w:spacing w:before="40" w:after="40" w:line="276" w:lineRule="auto"/>
              <w:jc w:val="left"/>
            </w:pPr>
            <w:r/>
            <w:r>
              <w:rPr>
                <w:rFonts w:ascii="Times New Roman" w:hAnsi="Times New Roman" w:eastAsia="宋体"/>
                <w:b w:val="0"/>
                <w:sz w:val="20"/>
              </w:rPr>
              <w:t>使伪谱主瓣展宽，导致角度偏差增大。</w:t>
            </w:r>
          </w:p>
        </w:tc>
      </w:tr>
      <w:tr>
        <w:tc>
          <w:tcPr>
            <w:tcW w:type="dxa" w:w="2268"/>
            <w:vAlign w:val="center"/>
          </w:tcPr>
          <w:p>
            <w:pPr>
              <w:spacing w:before="40" w:after="40" w:line="276" w:lineRule="auto"/>
              <w:jc w:val="left"/>
            </w:pPr>
            <w:r/>
            <w:r>
              <w:rPr>
                <w:rFonts w:ascii="Times New Roman" w:hAnsi="Times New Roman" w:eastAsia="宋体"/>
                <w:b w:val="0"/>
                <w:sz w:val="20"/>
              </w:rPr>
              <w:t>馈电与加工误差</w:t>
            </w:r>
          </w:p>
        </w:tc>
        <w:tc>
          <w:tcPr>
            <w:tcW w:type="dxa" w:w="3685"/>
            <w:vAlign w:val="center"/>
          </w:tcPr>
          <w:p>
            <w:pPr>
              <w:spacing w:before="40" w:after="40" w:line="276" w:lineRule="auto"/>
              <w:jc w:val="left"/>
            </w:pPr>
            <w:r/>
            <w:r>
              <w:rPr>
                <w:rFonts w:ascii="Times New Roman" w:hAnsi="Times New Roman" w:eastAsia="宋体"/>
                <w:b w:val="0"/>
                <w:sz w:val="20"/>
              </w:rPr>
              <w:t>馈线长度误差、连接器不一致、介质参数偏差与制造公差引入附加相位和增益差异。</w:t>
            </w:r>
          </w:p>
        </w:tc>
        <w:tc>
          <w:tcPr>
            <w:tcW w:type="dxa" w:w="3118"/>
            <w:vAlign w:val="center"/>
          </w:tcPr>
          <w:p>
            <w:pPr>
              <w:spacing w:before="40" w:after="40" w:line="276" w:lineRule="auto"/>
              <w:jc w:val="left"/>
            </w:pPr>
            <w:r/>
            <w:r>
              <w:rPr>
                <w:rFonts w:ascii="Times New Roman" w:hAnsi="Times New Roman" w:eastAsia="宋体"/>
                <w:b w:val="0"/>
                <w:sz w:val="20"/>
              </w:rPr>
              <w:t>在高信噪比下形成系统性误差地板。</w:t>
            </w:r>
          </w:p>
        </w:tc>
      </w:tr>
      <w:tr>
        <w:tc>
          <w:tcPr>
            <w:tcW w:type="dxa" w:w="2268"/>
            <w:vAlign w:val="center"/>
          </w:tcPr>
          <w:p>
            <w:pPr>
              <w:spacing w:before="40" w:after="40" w:line="276" w:lineRule="auto"/>
              <w:jc w:val="left"/>
            </w:pPr>
            <w:r/>
            <w:r>
              <w:rPr>
                <w:rFonts w:ascii="Times New Roman" w:hAnsi="Times New Roman" w:eastAsia="宋体"/>
                <w:b w:val="0"/>
                <w:sz w:val="20"/>
              </w:rPr>
              <w:t>安装环境散射</w:t>
            </w:r>
          </w:p>
        </w:tc>
        <w:tc>
          <w:tcPr>
            <w:tcW w:type="dxa" w:w="3685"/>
            <w:vAlign w:val="center"/>
          </w:tcPr>
          <w:p>
            <w:pPr>
              <w:spacing w:before="40" w:after="40" w:line="276" w:lineRule="auto"/>
              <w:jc w:val="left"/>
            </w:pPr>
            <w:r/>
            <w:r>
              <w:rPr>
                <w:rFonts w:ascii="Times New Roman" w:hAnsi="Times New Roman" w:eastAsia="宋体"/>
                <w:b w:val="0"/>
                <w:sz w:val="20"/>
              </w:rPr>
              <w:t>阵列与载体、支架、邻近金属结构之间的电磁相互作用改变等效流形。</w:t>
            </w:r>
          </w:p>
        </w:tc>
        <w:tc>
          <w:tcPr>
            <w:tcW w:type="dxa" w:w="3118"/>
            <w:vAlign w:val="center"/>
          </w:tcPr>
          <w:p>
            <w:pPr>
              <w:spacing w:before="40" w:after="40" w:line="276" w:lineRule="auto"/>
              <w:jc w:val="left"/>
            </w:pPr>
            <w:r/>
            <w:r>
              <w:rPr>
                <w:rFonts w:ascii="Times New Roman" w:hAnsi="Times New Roman" w:eastAsia="宋体"/>
                <w:b w:val="0"/>
                <w:sz w:val="20"/>
              </w:rPr>
              <w:t>使理想流形失效，降低算法工程可迁移性。</w:t>
            </w:r>
          </w:p>
        </w:tc>
      </w:tr>
    </w:tbl>
    <w:p>
      <w:pPr>
        <w:spacing w:before="0" w:after="120" w:line="324" w:lineRule="auto"/>
        <w:ind w:firstLine="420"/>
      </w:pPr>
      <w:r>
        <w:rPr>
          <w:rFonts w:ascii="Times New Roman" w:hAnsi="Times New Roman" w:eastAsia="宋体"/>
          <w:sz w:val="22"/>
        </w:rPr>
        <w:t>基于上述分析，可以将本研究所要解决的工程后果概括为三点：其一，理想流形失配会降低经典高分辨 DOA 方法的有效性；其二，失配误差在高信噪比条件下不再被噪声掩盖，反而成为主导误差源；其三，若缺乏低成本校准方法，真实阵列的高精度 DOA 应用将难以落地。</w:t>
      </w:r>
    </w:p>
    <w:p>
      <w:pPr>
        <w:pStyle w:val="Heading1"/>
        <w:spacing w:before="0" w:after="120" w:line="324" w:lineRule="auto"/>
        <w:ind w:firstLine="420"/>
      </w:pPr>
      <w:r>
        <w:rPr>
          <w:rFonts w:ascii="Times New Roman" w:hAnsi="Times New Roman" w:eastAsia="宋体"/>
          <w:sz w:val="22"/>
        </w:rPr>
        <w:t>四、研究目标与核心命题</w:t>
      </w:r>
    </w:p>
    <w:p>
      <w:pPr>
        <w:spacing w:before="0" w:after="120" w:line="324" w:lineRule="auto"/>
        <w:ind w:firstLine="420"/>
      </w:pPr>
      <w:r>
        <w:rPr>
          <w:rFonts w:ascii="Times New Roman" w:hAnsi="Times New Roman" w:eastAsia="宋体"/>
          <w:sz w:val="22"/>
        </w:rPr>
        <w:t>本研究的总目标是：在仅有少量已知方向校准测量样本的条件下，构建一种从理想阵列流形出发的低维修正模型，使其能够在未校准方向上逼近真实阵列流形，并显著改善 DOA 估计性能。</w:t>
      </w:r>
    </w:p>
    <w:p>
      <w:pPr>
        <w:spacing w:before="0" w:after="120" w:line="324" w:lineRule="auto"/>
        <w:ind w:firstLine="420"/>
      </w:pPr>
      <w:r>
        <w:rPr>
          <w:rFonts w:ascii="Times New Roman" w:hAnsi="Times New Roman" w:eastAsia="宋体"/>
          <w:sz w:val="22"/>
        </w:rPr>
        <w:t>据此，核心研究命题可表述为：对于给定阵列，在训练阶段仅使用少量方向校准样本，在测试阶段面向未见方向，能否通过具备物理约束的残差建模方式，将理想流形修正为接近真实阵列流形的可用模型。</w:t>
      </w:r>
    </w:p>
    <w:p>
      <w:pPr>
        <w:spacing w:before="0" w:after="120" w:line="324" w:lineRule="auto"/>
        <w:ind w:firstLine="420"/>
      </w:pPr>
      <w:r>
        <w:rPr>
          <w:rFonts w:ascii="Times New Roman" w:hAnsi="Times New Roman" w:eastAsia="宋体"/>
          <w:sz w:val="22"/>
        </w:rPr>
        <w:t>具体分目标包括：一是识别流形失配的主导成分，尤其分析相位残差与幅度残差的相对作用；二是构建适用于少量样本情形的低维残差拟合模型；三是验证修正流形在未见方向上的泛化能力；四是将所构建的修正流形用于 MUSIC 基线算法，并评估其对伪谱形态与 RMSE 的改善效果。</w:t>
      </w:r>
    </w:p>
    <w:tbl>
      <w:tblPr>
        <w:tblW w:type="auto" w:w="0"/>
        <w:jc w:val="center"/>
        <w:tblLayout w:type="fixed"/>
        <w:tblLook w:firstColumn="1" w:firstRow="1" w:lastColumn="0" w:lastRow="0" w:noHBand="0" w:noVBand="1" w:val="04A0"/>
      </w:tblPr>
      <w:tblGrid>
        <w:gridCol w:w="9354"/>
      </w:tblGrid>
      <w:tr>
        <w:tc>
          <w:tcPr>
            <w:tcW w:type="dxa" w:w="9519"/>
            <w:shd w:fill="F3F8FC"/>
            <w:vAlign w:val="center"/>
          </w:tcPr>
          <w:p>
            <w:pPr>
              <w:spacing w:before="40" w:after="40" w:line="276" w:lineRule="auto"/>
              <w:jc w:val="left"/>
            </w:pPr>
            <w:r/>
            <w:r>
              <w:rPr>
                <w:rFonts w:ascii="Times New Roman" w:hAnsi="Times New Roman" w:eastAsia="宋体"/>
                <w:b/>
                <w:sz w:val="21"/>
              </w:rPr>
              <w:t>核心研究命题：如何仅利用少量已知方向校准样本，对理想阵列流形进行物理可解释的低维修正，并重构可用于未知方向 DOA 估计的真实阵列流形。</w:t>
            </w:r>
          </w:p>
        </w:tc>
      </w:tr>
    </w:tbl>
    <w:p/>
    <w:p>
      <w:pPr>
        <w:pStyle w:val="Heading1"/>
        <w:spacing w:before="0" w:after="120" w:line="324" w:lineRule="auto"/>
        <w:ind w:firstLine="420"/>
      </w:pPr>
      <w:r>
        <w:rPr>
          <w:rFonts w:ascii="Times New Roman" w:hAnsi="Times New Roman" w:eastAsia="宋体"/>
          <w:sz w:val="22"/>
        </w:rPr>
        <w:t>五、拟采用的解决方法</w:t>
      </w:r>
    </w:p>
    <w:p>
      <w:pPr>
        <w:spacing w:before="0" w:after="120" w:line="324" w:lineRule="auto"/>
        <w:ind w:firstLine="420"/>
      </w:pPr>
      <w:r>
        <w:rPr>
          <w:rFonts w:ascii="Times New Roman" w:hAnsi="Times New Roman" w:eastAsia="宋体"/>
          <w:sz w:val="22"/>
        </w:rPr>
        <w:t>方法上，本研究不直接将少量校准样本作为查找表插值对象，而是采用“理想流形加残差修正”的建模思路。设理想流形为 a_ideal(theta)，真实流形为 a_real(theta)，则修正模型写为 a_hat(theta) = q(theta) odot a_ideal(theta)，其中 q(theta) 表示角度相关修正项。</w:t>
      </w:r>
    </w:p>
    <w:p>
      <w:pPr>
        <w:spacing w:before="0" w:after="120" w:line="324" w:lineRule="auto"/>
        <w:ind w:firstLine="420"/>
      </w:pPr>
      <w:r>
        <w:rPr>
          <w:rFonts w:ascii="Times New Roman" w:hAnsi="Times New Roman" w:eastAsia="宋体"/>
          <w:sz w:val="22"/>
        </w:rPr>
        <w:t>结合前期分析结果，研究第一阶段优先采用相位主导修正模型，即将主要误差归结为各阵元相对于理想流形的相位残差，并在必要时再扩展到幅相联合修正。为提高模型稳定性，拟采用 u = sin(theta) 作为自变量，以低阶多项式或 Chebyshev 基函数展开各阵元残差项，从而在少量校准样本条件下维持模型平滑性与可解释性。</w:t>
      </w:r>
    </w:p>
    <w:p>
      <w:pPr>
        <w:spacing w:before="0" w:after="120" w:line="324" w:lineRule="auto"/>
        <w:ind w:firstLine="420"/>
      </w:pPr>
      <w:r>
        <w:rPr>
          <w:rFonts w:ascii="Times New Roman" w:hAnsi="Times New Roman" w:eastAsia="宋体"/>
          <w:sz w:val="22"/>
        </w:rPr>
        <w:t>在算法流程上，首先对测得的阵列响应进行参考端口去公共相位与列归一化处理，以消除整体增益和全局相位带来的非关键差异；随后计算真实流形相对于理想流形的逐阵元残差，并在少量校准角度上拟合角度相关残差函数；最后由该残差函数生成修正流形，并在未校准方向上进行 DOA 估计。</w:t>
      </w:r>
    </w:p>
    <w:p>
      <w:pPr>
        <w:spacing w:before="0" w:after="120" w:line="324" w:lineRule="auto"/>
        <w:ind w:firstLine="420"/>
      </w:pPr>
      <w:r>
        <w:rPr>
          <w:rFonts w:ascii="Times New Roman" w:hAnsi="Times New Roman" w:eastAsia="宋体"/>
          <w:sz w:val="22"/>
        </w:rPr>
        <w:t>在验证框架上，HFSS 数据仅承担可控真值作用。即：在算法设计阶段，使用完整 HFSS 流形作为评价标准，并人为抽取少量方向作为可获得校准样本，其余方向作为未知测试方向，从而检验算法对未见角度的泛化能力。这一流程与未来真实实验完全同构，只是数据来源由 HFSS 替代了实际测量。</w:t>
      </w:r>
    </w:p>
    <w:p>
      <w:pPr>
        <w:pStyle w:val="Heading1"/>
        <w:spacing w:before="0" w:after="120" w:line="324" w:lineRule="auto"/>
        <w:ind w:firstLine="420"/>
      </w:pPr>
      <w:r>
        <w:rPr>
          <w:rFonts w:ascii="Times New Roman" w:hAnsi="Times New Roman" w:eastAsia="宋体"/>
          <w:sz w:val="22"/>
        </w:rPr>
        <w:t>六、技术路线与实施步骤</w:t>
      </w:r>
    </w:p>
    <w:tbl>
      <w:tblPr>
        <w:tblW w:type="auto" w:w="0"/>
        <w:jc w:val="center"/>
        <w:tblLayout w:type="fixed"/>
        <w:tblLook w:firstColumn="1" w:firstRow="1" w:lastColumn="0" w:lastRow="0" w:noHBand="0" w:noVBand="1" w:val="04A0"/>
      </w:tblPr>
      <w:tblGrid>
        <w:gridCol w:w="964"/>
        <w:gridCol w:w="2324"/>
        <w:gridCol w:w="3742"/>
        <w:gridCol w:w="2268"/>
      </w:tblGrid>
      <w:tr>
        <w:tc>
          <w:tcPr>
            <w:tcW w:type="dxa" w:w="2380"/>
            <w:vAlign w:val="center"/>
            <w:shd w:fill="D9EAF7"/>
          </w:tcPr>
          <w:p>
            <w:pPr>
              <w:spacing w:before="40" w:after="40" w:line="276" w:lineRule="auto"/>
              <w:jc w:val="center"/>
            </w:pPr>
            <w:r/>
            <w:r>
              <w:rPr>
                <w:rFonts w:ascii="Times New Roman" w:hAnsi="Times New Roman" w:eastAsia="宋体"/>
                <w:b/>
                <w:sz w:val="21"/>
              </w:rPr>
              <w:t>阶段</w:t>
            </w:r>
          </w:p>
        </w:tc>
        <w:tc>
          <w:tcPr>
            <w:tcW w:type="dxa" w:w="2380"/>
            <w:vAlign w:val="center"/>
            <w:shd w:fill="D9EAF7"/>
          </w:tcPr>
          <w:p>
            <w:pPr>
              <w:spacing w:before="40" w:after="40" w:line="276" w:lineRule="auto"/>
              <w:jc w:val="center"/>
            </w:pPr>
            <w:r/>
            <w:r>
              <w:rPr>
                <w:rFonts w:ascii="Times New Roman" w:hAnsi="Times New Roman" w:eastAsia="宋体"/>
                <w:b/>
                <w:sz w:val="21"/>
              </w:rPr>
              <w:t>工作模块</w:t>
            </w:r>
          </w:p>
        </w:tc>
        <w:tc>
          <w:tcPr>
            <w:tcW w:type="dxa" w:w="2380"/>
            <w:vAlign w:val="center"/>
            <w:shd w:fill="D9EAF7"/>
          </w:tcPr>
          <w:p>
            <w:pPr>
              <w:spacing w:before="40" w:after="40" w:line="276" w:lineRule="auto"/>
              <w:jc w:val="center"/>
            </w:pPr>
            <w:r/>
            <w:r>
              <w:rPr>
                <w:rFonts w:ascii="Times New Roman" w:hAnsi="Times New Roman" w:eastAsia="宋体"/>
                <w:b/>
                <w:sz w:val="21"/>
              </w:rPr>
              <w:t>主要内容</w:t>
            </w:r>
          </w:p>
        </w:tc>
        <w:tc>
          <w:tcPr>
            <w:tcW w:type="dxa" w:w="2380"/>
            <w:vAlign w:val="center"/>
            <w:shd w:fill="D9EAF7"/>
          </w:tcPr>
          <w:p>
            <w:pPr>
              <w:spacing w:before="40" w:after="40" w:line="276" w:lineRule="auto"/>
              <w:jc w:val="center"/>
            </w:pPr>
            <w:r/>
            <w:r>
              <w:rPr>
                <w:rFonts w:ascii="Times New Roman" w:hAnsi="Times New Roman" w:eastAsia="宋体"/>
                <w:b/>
                <w:sz w:val="21"/>
              </w:rPr>
              <w:t>预期输出</w:t>
            </w:r>
          </w:p>
        </w:tc>
      </w:tr>
      <w:tr>
        <w:tc>
          <w:tcPr>
            <w:tcW w:type="dxa" w:w="964"/>
            <w:vAlign w:val="center"/>
          </w:tcPr>
          <w:p>
            <w:pPr>
              <w:spacing w:before="40" w:after="40" w:line="276" w:lineRule="auto"/>
              <w:jc w:val="center"/>
            </w:pPr>
            <w:r/>
            <w:r>
              <w:rPr>
                <w:rFonts w:ascii="Times New Roman" w:hAnsi="Times New Roman" w:eastAsia="宋体"/>
                <w:b w:val="0"/>
                <w:sz w:val="21"/>
              </w:rPr>
              <w:t>1</w:t>
            </w:r>
          </w:p>
        </w:tc>
        <w:tc>
          <w:tcPr>
            <w:tcW w:type="dxa" w:w="2324"/>
            <w:vAlign w:val="center"/>
          </w:tcPr>
          <w:p>
            <w:pPr>
              <w:spacing w:before="40" w:after="40" w:line="276" w:lineRule="auto"/>
              <w:jc w:val="left"/>
            </w:pPr>
            <w:r/>
            <w:r>
              <w:rPr>
                <w:rFonts w:ascii="Times New Roman" w:hAnsi="Times New Roman" w:eastAsia="宋体"/>
                <w:b/>
                <w:sz w:val="20"/>
              </w:rPr>
              <w:t>失配机理分析</w:t>
            </w:r>
          </w:p>
        </w:tc>
        <w:tc>
          <w:tcPr>
            <w:tcW w:type="dxa" w:w="3742"/>
            <w:vAlign w:val="center"/>
          </w:tcPr>
          <w:p>
            <w:pPr>
              <w:spacing w:before="40" w:after="40" w:line="276" w:lineRule="auto"/>
              <w:jc w:val="left"/>
            </w:pPr>
            <w:r/>
            <w:r>
              <w:rPr>
                <w:rFonts w:ascii="Times New Roman" w:hAnsi="Times New Roman" w:eastAsia="宋体"/>
                <w:b w:val="0"/>
                <w:sz w:val="20"/>
              </w:rPr>
              <w:t>建立理想流形与 HFSS 流形的对比程序，量化相似度、相位误差、幅度误差与基线 MUSIC 性能退化。</w:t>
            </w:r>
          </w:p>
        </w:tc>
        <w:tc>
          <w:tcPr>
            <w:tcW w:type="dxa" w:w="2268"/>
            <w:vAlign w:val="center"/>
          </w:tcPr>
          <w:p>
            <w:pPr>
              <w:spacing w:before="40" w:after="40" w:line="276" w:lineRule="auto"/>
              <w:jc w:val="left"/>
            </w:pPr>
            <w:r/>
            <w:r>
              <w:rPr>
                <w:rFonts w:ascii="Times New Roman" w:hAnsi="Times New Roman" w:eastAsia="宋体"/>
                <w:b w:val="0"/>
                <w:sz w:val="20"/>
              </w:rPr>
              <w:t>问题成立性结论；误差主导因素分析</w:t>
            </w:r>
          </w:p>
        </w:tc>
      </w:tr>
      <w:tr>
        <w:tc>
          <w:tcPr>
            <w:tcW w:type="dxa" w:w="964"/>
            <w:vAlign w:val="center"/>
          </w:tcPr>
          <w:p>
            <w:pPr>
              <w:spacing w:before="40" w:after="40" w:line="276" w:lineRule="auto"/>
              <w:jc w:val="center"/>
            </w:pPr>
            <w:r/>
            <w:r>
              <w:rPr>
                <w:rFonts w:ascii="Times New Roman" w:hAnsi="Times New Roman" w:eastAsia="宋体"/>
                <w:b w:val="0"/>
                <w:sz w:val="21"/>
              </w:rPr>
              <w:t>2</w:t>
            </w:r>
          </w:p>
        </w:tc>
        <w:tc>
          <w:tcPr>
            <w:tcW w:type="dxa" w:w="2324"/>
            <w:vAlign w:val="center"/>
          </w:tcPr>
          <w:p>
            <w:pPr>
              <w:spacing w:before="40" w:after="40" w:line="276" w:lineRule="auto"/>
              <w:jc w:val="left"/>
            </w:pPr>
            <w:r/>
            <w:r>
              <w:rPr>
                <w:rFonts w:ascii="Times New Roman" w:hAnsi="Times New Roman" w:eastAsia="宋体"/>
                <w:b/>
                <w:sz w:val="20"/>
              </w:rPr>
              <w:t>少样本校准建模</w:t>
            </w:r>
          </w:p>
        </w:tc>
        <w:tc>
          <w:tcPr>
            <w:tcW w:type="dxa" w:w="3742"/>
            <w:vAlign w:val="center"/>
          </w:tcPr>
          <w:p>
            <w:pPr>
              <w:spacing w:before="40" w:after="40" w:line="276" w:lineRule="auto"/>
              <w:jc w:val="left"/>
            </w:pPr>
            <w:r/>
            <w:r>
              <w:rPr>
                <w:rFonts w:ascii="Times New Roman" w:hAnsi="Times New Roman" w:eastAsia="宋体"/>
                <w:b w:val="0"/>
                <w:sz w:val="20"/>
              </w:rPr>
              <w:t>选取少量方向作为校准样本，构造残差项并建立相位主导的低维拟合模型。</w:t>
            </w:r>
          </w:p>
        </w:tc>
        <w:tc>
          <w:tcPr>
            <w:tcW w:type="dxa" w:w="2268"/>
            <w:vAlign w:val="center"/>
          </w:tcPr>
          <w:p>
            <w:pPr>
              <w:spacing w:before="40" w:after="40" w:line="276" w:lineRule="auto"/>
              <w:jc w:val="left"/>
            </w:pPr>
            <w:r/>
            <w:r>
              <w:rPr>
                <w:rFonts w:ascii="Times New Roman" w:hAnsi="Times New Roman" w:eastAsia="宋体"/>
                <w:b w:val="0"/>
                <w:sz w:val="20"/>
              </w:rPr>
              <w:t>校正公式；参数估计方法</w:t>
            </w:r>
          </w:p>
        </w:tc>
      </w:tr>
      <w:tr>
        <w:tc>
          <w:tcPr>
            <w:tcW w:type="dxa" w:w="964"/>
            <w:vAlign w:val="center"/>
          </w:tcPr>
          <w:p>
            <w:pPr>
              <w:spacing w:before="40" w:after="40" w:line="276" w:lineRule="auto"/>
              <w:jc w:val="center"/>
            </w:pPr>
            <w:r/>
            <w:r>
              <w:rPr>
                <w:rFonts w:ascii="Times New Roman" w:hAnsi="Times New Roman" w:eastAsia="宋体"/>
                <w:b w:val="0"/>
                <w:sz w:val="21"/>
              </w:rPr>
              <w:t>3</w:t>
            </w:r>
          </w:p>
        </w:tc>
        <w:tc>
          <w:tcPr>
            <w:tcW w:type="dxa" w:w="2324"/>
            <w:vAlign w:val="center"/>
          </w:tcPr>
          <w:p>
            <w:pPr>
              <w:spacing w:before="40" w:after="40" w:line="276" w:lineRule="auto"/>
              <w:jc w:val="left"/>
            </w:pPr>
            <w:r/>
            <w:r>
              <w:rPr>
                <w:rFonts w:ascii="Times New Roman" w:hAnsi="Times New Roman" w:eastAsia="宋体"/>
                <w:b/>
                <w:sz w:val="20"/>
              </w:rPr>
              <w:t>未见方向泛化验证</w:t>
            </w:r>
          </w:p>
        </w:tc>
        <w:tc>
          <w:tcPr>
            <w:tcW w:type="dxa" w:w="3742"/>
            <w:vAlign w:val="center"/>
          </w:tcPr>
          <w:p>
            <w:pPr>
              <w:spacing w:before="40" w:after="40" w:line="276" w:lineRule="auto"/>
              <w:jc w:val="left"/>
            </w:pPr>
            <w:r/>
            <w:r>
              <w:rPr>
                <w:rFonts w:ascii="Times New Roman" w:hAnsi="Times New Roman" w:eastAsia="宋体"/>
                <w:b w:val="0"/>
                <w:sz w:val="20"/>
              </w:rPr>
              <w:t>在未参与拟合的角度上评估修正流形误差与 DOA 表现，比较理想流形、修正流形与完整 HFSS 流形。</w:t>
            </w:r>
          </w:p>
        </w:tc>
        <w:tc>
          <w:tcPr>
            <w:tcW w:type="dxa" w:w="2268"/>
            <w:vAlign w:val="center"/>
          </w:tcPr>
          <w:p>
            <w:pPr>
              <w:spacing w:before="40" w:after="40" w:line="276" w:lineRule="auto"/>
              <w:jc w:val="left"/>
            </w:pPr>
            <w:r/>
            <w:r>
              <w:rPr>
                <w:rFonts w:ascii="Times New Roman" w:hAnsi="Times New Roman" w:eastAsia="宋体"/>
                <w:b w:val="0"/>
                <w:sz w:val="20"/>
              </w:rPr>
              <w:t>泛化能力结论；性能差距分析</w:t>
            </w:r>
          </w:p>
        </w:tc>
      </w:tr>
      <w:tr>
        <w:tc>
          <w:tcPr>
            <w:tcW w:type="dxa" w:w="964"/>
            <w:vAlign w:val="center"/>
          </w:tcPr>
          <w:p>
            <w:pPr>
              <w:spacing w:before="40" w:after="40" w:line="276" w:lineRule="auto"/>
              <w:jc w:val="center"/>
            </w:pPr>
            <w:r/>
            <w:r>
              <w:rPr>
                <w:rFonts w:ascii="Times New Roman" w:hAnsi="Times New Roman" w:eastAsia="宋体"/>
                <w:b w:val="0"/>
                <w:sz w:val="21"/>
              </w:rPr>
              <w:t>4</w:t>
            </w:r>
          </w:p>
        </w:tc>
        <w:tc>
          <w:tcPr>
            <w:tcW w:type="dxa" w:w="2324"/>
            <w:vAlign w:val="center"/>
          </w:tcPr>
          <w:p>
            <w:pPr>
              <w:spacing w:before="40" w:after="40" w:line="276" w:lineRule="auto"/>
              <w:jc w:val="left"/>
            </w:pPr>
            <w:r/>
            <w:r>
              <w:rPr>
                <w:rFonts w:ascii="Times New Roman" w:hAnsi="Times New Roman" w:eastAsia="宋体"/>
                <w:b/>
                <w:sz w:val="20"/>
              </w:rPr>
              <w:t>参数敏感性实验</w:t>
            </w:r>
          </w:p>
        </w:tc>
        <w:tc>
          <w:tcPr>
            <w:tcW w:type="dxa" w:w="3742"/>
            <w:vAlign w:val="center"/>
          </w:tcPr>
          <w:p>
            <w:pPr>
              <w:spacing w:before="40" w:after="40" w:line="276" w:lineRule="auto"/>
              <w:jc w:val="left"/>
            </w:pPr>
            <w:r/>
            <w:r>
              <w:rPr>
                <w:rFonts w:ascii="Times New Roman" w:hAnsi="Times New Roman" w:eastAsia="宋体"/>
                <w:b w:val="0"/>
                <w:sz w:val="20"/>
              </w:rPr>
              <w:t>考察校准样本数量、样本分布、拟合阶数和信噪比及快拍数对性能的影响。</w:t>
            </w:r>
          </w:p>
        </w:tc>
        <w:tc>
          <w:tcPr>
            <w:tcW w:type="dxa" w:w="2268"/>
            <w:vAlign w:val="center"/>
          </w:tcPr>
          <w:p>
            <w:pPr>
              <w:spacing w:before="40" w:after="40" w:line="276" w:lineRule="auto"/>
              <w:jc w:val="left"/>
            </w:pPr>
            <w:r/>
            <w:r>
              <w:rPr>
                <w:rFonts w:ascii="Times New Roman" w:hAnsi="Times New Roman" w:eastAsia="宋体"/>
                <w:b w:val="0"/>
                <w:sz w:val="20"/>
              </w:rPr>
              <w:t>参数配置建议；适用范围</w:t>
            </w:r>
          </w:p>
        </w:tc>
      </w:tr>
      <w:tr>
        <w:tc>
          <w:tcPr>
            <w:tcW w:type="dxa" w:w="964"/>
            <w:vAlign w:val="center"/>
          </w:tcPr>
          <w:p>
            <w:pPr>
              <w:spacing w:before="40" w:after="40" w:line="276" w:lineRule="auto"/>
              <w:jc w:val="center"/>
            </w:pPr>
            <w:r/>
            <w:r>
              <w:rPr>
                <w:rFonts w:ascii="Times New Roman" w:hAnsi="Times New Roman" w:eastAsia="宋体"/>
                <w:b w:val="0"/>
                <w:sz w:val="21"/>
              </w:rPr>
              <w:t>5</w:t>
            </w:r>
          </w:p>
        </w:tc>
        <w:tc>
          <w:tcPr>
            <w:tcW w:type="dxa" w:w="2324"/>
            <w:vAlign w:val="center"/>
          </w:tcPr>
          <w:p>
            <w:pPr>
              <w:spacing w:before="40" w:after="40" w:line="276" w:lineRule="auto"/>
              <w:jc w:val="left"/>
            </w:pPr>
            <w:r/>
            <w:r>
              <w:rPr>
                <w:rFonts w:ascii="Times New Roman" w:hAnsi="Times New Roman" w:eastAsia="宋体"/>
                <w:b/>
                <w:sz w:val="20"/>
              </w:rPr>
              <w:t>后续扩展预留</w:t>
            </w:r>
          </w:p>
        </w:tc>
        <w:tc>
          <w:tcPr>
            <w:tcW w:type="dxa" w:w="3742"/>
            <w:vAlign w:val="center"/>
          </w:tcPr>
          <w:p>
            <w:pPr>
              <w:spacing w:before="40" w:after="40" w:line="276" w:lineRule="auto"/>
              <w:jc w:val="left"/>
            </w:pPr>
            <w:r/>
            <w:r>
              <w:rPr>
                <w:rFonts w:ascii="Times New Roman" w:hAnsi="Times New Roman" w:eastAsia="宋体"/>
                <w:b w:val="0"/>
                <w:sz w:val="20"/>
              </w:rPr>
              <w:t>根据阶段性结果决定是否扩展到幅相联合修正、相干源场景或二维阵列。</w:t>
            </w:r>
          </w:p>
        </w:tc>
        <w:tc>
          <w:tcPr>
            <w:tcW w:type="dxa" w:w="2268"/>
            <w:vAlign w:val="center"/>
          </w:tcPr>
          <w:p>
            <w:pPr>
              <w:spacing w:before="40" w:after="40" w:line="276" w:lineRule="auto"/>
              <w:jc w:val="left"/>
            </w:pPr>
            <w:r/>
            <w:r>
              <w:rPr>
                <w:rFonts w:ascii="Times New Roman" w:hAnsi="Times New Roman" w:eastAsia="宋体"/>
                <w:b w:val="0"/>
                <w:sz w:val="20"/>
              </w:rPr>
              <w:t>后续论文扩展方向</w:t>
            </w:r>
          </w:p>
        </w:tc>
      </w:tr>
    </w:tbl>
    <w:p>
      <w:pPr>
        <w:pStyle w:val="Heading1"/>
        <w:spacing w:before="0" w:after="120" w:line="324" w:lineRule="auto"/>
        <w:ind w:firstLine="420"/>
      </w:pPr>
      <w:r>
        <w:rPr>
          <w:rFonts w:ascii="Times New Roman" w:hAnsi="Times New Roman" w:eastAsia="宋体"/>
          <w:sz w:val="22"/>
        </w:rPr>
        <w:t>七、研究规划与时间安排</w:t>
      </w:r>
    </w:p>
    <w:p>
      <w:pPr>
        <w:spacing w:before="0" w:after="120" w:line="324" w:lineRule="auto"/>
        <w:ind w:firstLine="420"/>
      </w:pPr>
      <w:r>
        <w:rPr>
          <w:rFonts w:ascii="Times New Roman" w:hAnsi="Times New Roman" w:eastAsia="宋体"/>
          <w:sz w:val="22"/>
        </w:rPr>
        <w:t>研究规划按照“问题确认、模型建立、泛化验证、结果扩展”的逻辑推进。建议的阶段安排如下。</w:t>
      </w:r>
    </w:p>
    <w:tbl>
      <w:tblPr>
        <w:tblW w:type="auto" w:w="0"/>
        <w:jc w:val="center"/>
        <w:tblLayout w:type="fixed"/>
        <w:tblLook w:firstColumn="1" w:firstRow="1" w:lastColumn="0" w:lastRow="0" w:noHBand="0" w:noVBand="1" w:val="04A0"/>
      </w:tblPr>
      <w:tblGrid>
        <w:gridCol w:w="1701"/>
        <w:gridCol w:w="4195"/>
        <w:gridCol w:w="3402"/>
      </w:tblGrid>
      <w:tr>
        <w:tc>
          <w:tcPr>
            <w:tcW w:type="dxa" w:w="3173"/>
            <w:vAlign w:val="center"/>
            <w:shd w:fill="D9EAF7"/>
          </w:tcPr>
          <w:p>
            <w:pPr>
              <w:spacing w:before="40" w:after="40" w:line="276" w:lineRule="auto"/>
              <w:jc w:val="center"/>
            </w:pPr>
            <w:r/>
            <w:r>
              <w:rPr>
                <w:rFonts w:ascii="Times New Roman" w:hAnsi="Times New Roman" w:eastAsia="宋体"/>
                <w:b/>
                <w:sz w:val="21"/>
              </w:rPr>
              <w:t>阶段</w:t>
            </w:r>
          </w:p>
        </w:tc>
        <w:tc>
          <w:tcPr>
            <w:tcW w:type="dxa" w:w="3173"/>
            <w:vAlign w:val="center"/>
            <w:shd w:fill="D9EAF7"/>
          </w:tcPr>
          <w:p>
            <w:pPr>
              <w:spacing w:before="40" w:after="40" w:line="276" w:lineRule="auto"/>
              <w:jc w:val="center"/>
            </w:pPr>
            <w:r/>
            <w:r>
              <w:rPr>
                <w:rFonts w:ascii="Times New Roman" w:hAnsi="Times New Roman" w:eastAsia="宋体"/>
                <w:b/>
                <w:sz w:val="21"/>
              </w:rPr>
              <w:t>时间与任务</w:t>
            </w:r>
          </w:p>
        </w:tc>
        <w:tc>
          <w:tcPr>
            <w:tcW w:type="dxa" w:w="3173"/>
            <w:vAlign w:val="center"/>
            <w:shd w:fill="D9EAF7"/>
          </w:tcPr>
          <w:p>
            <w:pPr>
              <w:spacing w:before="40" w:after="40" w:line="276" w:lineRule="auto"/>
              <w:jc w:val="center"/>
            </w:pPr>
            <w:r/>
            <w:r>
              <w:rPr>
                <w:rFonts w:ascii="Times New Roman" w:hAnsi="Times New Roman" w:eastAsia="宋体"/>
                <w:b/>
                <w:sz w:val="21"/>
              </w:rPr>
              <w:t>阶段目标</w:t>
            </w:r>
          </w:p>
        </w:tc>
      </w:tr>
      <w:tr>
        <w:tc>
          <w:tcPr>
            <w:tcW w:type="dxa" w:w="1701"/>
            <w:vAlign w:val="center"/>
          </w:tcPr>
          <w:p>
            <w:pPr>
              <w:spacing w:before="40" w:after="40" w:line="276" w:lineRule="auto"/>
              <w:jc w:val="left"/>
            </w:pPr>
            <w:r/>
            <w:r>
              <w:rPr>
                <w:rFonts w:ascii="Times New Roman" w:hAnsi="Times New Roman" w:eastAsia="宋体"/>
                <w:b w:val="0"/>
                <w:sz w:val="20"/>
              </w:rPr>
              <w:t>阶段一</w:t>
            </w:r>
          </w:p>
        </w:tc>
        <w:tc>
          <w:tcPr>
            <w:tcW w:type="dxa" w:w="4195"/>
            <w:vAlign w:val="center"/>
          </w:tcPr>
          <w:p>
            <w:pPr>
              <w:spacing w:before="40" w:after="40" w:line="276" w:lineRule="auto"/>
              <w:jc w:val="left"/>
            </w:pPr>
            <w:r/>
            <w:r>
              <w:rPr>
                <w:rFonts w:ascii="Times New Roman" w:hAnsi="Times New Roman" w:eastAsia="宋体"/>
                <w:b w:val="0"/>
                <w:sz w:val="20"/>
              </w:rPr>
              <w:t>完成 HFSS 数据整理、理想流形构造、失配指标与基线 MUSIC 对比。</w:t>
            </w:r>
          </w:p>
        </w:tc>
        <w:tc>
          <w:tcPr>
            <w:tcW w:type="dxa" w:w="3402"/>
            <w:vAlign w:val="center"/>
          </w:tcPr>
          <w:p>
            <w:pPr>
              <w:spacing w:before="40" w:after="40" w:line="276" w:lineRule="auto"/>
              <w:jc w:val="left"/>
            </w:pPr>
            <w:r/>
            <w:r>
              <w:rPr>
                <w:rFonts w:ascii="Times New Roman" w:hAnsi="Times New Roman" w:eastAsia="宋体"/>
                <w:b w:val="0"/>
                <w:sz w:val="20"/>
              </w:rPr>
              <w:t>明确问题存在性，形成开题依据。</w:t>
            </w:r>
          </w:p>
        </w:tc>
      </w:tr>
      <w:tr>
        <w:tc>
          <w:tcPr>
            <w:tcW w:type="dxa" w:w="1701"/>
            <w:vAlign w:val="center"/>
          </w:tcPr>
          <w:p>
            <w:pPr>
              <w:spacing w:before="40" w:after="40" w:line="276" w:lineRule="auto"/>
              <w:jc w:val="left"/>
            </w:pPr>
            <w:r/>
            <w:r>
              <w:rPr>
                <w:rFonts w:ascii="Times New Roman" w:hAnsi="Times New Roman" w:eastAsia="宋体"/>
                <w:b w:val="0"/>
                <w:sz w:val="20"/>
              </w:rPr>
              <w:t>阶段二</w:t>
            </w:r>
          </w:p>
        </w:tc>
        <w:tc>
          <w:tcPr>
            <w:tcW w:type="dxa" w:w="4195"/>
            <w:vAlign w:val="center"/>
          </w:tcPr>
          <w:p>
            <w:pPr>
              <w:spacing w:before="40" w:after="40" w:line="276" w:lineRule="auto"/>
              <w:jc w:val="left"/>
            </w:pPr>
            <w:r/>
            <w:r>
              <w:rPr>
                <w:rFonts w:ascii="Times New Roman" w:hAnsi="Times New Roman" w:eastAsia="宋体"/>
                <w:b w:val="0"/>
                <w:sz w:val="20"/>
              </w:rPr>
              <w:t>完成少量方向样本抽取策略设计，构建相位残差拟合模型并实现修正流形生成程序。</w:t>
            </w:r>
          </w:p>
        </w:tc>
        <w:tc>
          <w:tcPr>
            <w:tcW w:type="dxa" w:w="3402"/>
            <w:vAlign w:val="center"/>
          </w:tcPr>
          <w:p>
            <w:pPr>
              <w:spacing w:before="40" w:after="40" w:line="276" w:lineRule="auto"/>
              <w:jc w:val="left"/>
            </w:pPr>
            <w:r/>
            <w:r>
              <w:rPr>
                <w:rFonts w:ascii="Times New Roman" w:hAnsi="Times New Roman" w:eastAsia="宋体"/>
                <w:b w:val="0"/>
                <w:sz w:val="20"/>
              </w:rPr>
              <w:t>形成核心方法原型。</w:t>
            </w:r>
          </w:p>
        </w:tc>
      </w:tr>
      <w:tr>
        <w:tc>
          <w:tcPr>
            <w:tcW w:type="dxa" w:w="1701"/>
            <w:vAlign w:val="center"/>
          </w:tcPr>
          <w:p>
            <w:pPr>
              <w:spacing w:before="40" w:after="40" w:line="276" w:lineRule="auto"/>
              <w:jc w:val="left"/>
            </w:pPr>
            <w:r/>
            <w:r>
              <w:rPr>
                <w:rFonts w:ascii="Times New Roman" w:hAnsi="Times New Roman" w:eastAsia="宋体"/>
                <w:b w:val="0"/>
                <w:sz w:val="20"/>
              </w:rPr>
              <w:t>阶段三</w:t>
            </w:r>
          </w:p>
        </w:tc>
        <w:tc>
          <w:tcPr>
            <w:tcW w:type="dxa" w:w="4195"/>
            <w:vAlign w:val="center"/>
          </w:tcPr>
          <w:p>
            <w:pPr>
              <w:spacing w:before="40" w:after="40" w:line="276" w:lineRule="auto"/>
              <w:jc w:val="left"/>
            </w:pPr>
            <w:r/>
            <w:r>
              <w:rPr>
                <w:rFonts w:ascii="Times New Roman" w:hAnsi="Times New Roman" w:eastAsia="宋体"/>
                <w:b w:val="0"/>
                <w:sz w:val="20"/>
              </w:rPr>
              <w:t>完成未见方向上的泛化测试以及 DOA 伪谱与 RMSE 对比。</w:t>
            </w:r>
          </w:p>
        </w:tc>
        <w:tc>
          <w:tcPr>
            <w:tcW w:type="dxa" w:w="3402"/>
            <w:vAlign w:val="center"/>
          </w:tcPr>
          <w:p>
            <w:pPr>
              <w:spacing w:before="40" w:after="40" w:line="276" w:lineRule="auto"/>
              <w:jc w:val="left"/>
            </w:pPr>
            <w:r/>
            <w:r>
              <w:rPr>
                <w:rFonts w:ascii="Times New Roman" w:hAnsi="Times New Roman" w:eastAsia="宋体"/>
                <w:b w:val="0"/>
                <w:sz w:val="20"/>
              </w:rPr>
              <w:t>证明方法具备实际应用潜力。</w:t>
            </w:r>
          </w:p>
        </w:tc>
      </w:tr>
      <w:tr>
        <w:tc>
          <w:tcPr>
            <w:tcW w:type="dxa" w:w="1701"/>
            <w:vAlign w:val="center"/>
          </w:tcPr>
          <w:p>
            <w:pPr>
              <w:spacing w:before="40" w:after="40" w:line="276" w:lineRule="auto"/>
              <w:jc w:val="left"/>
            </w:pPr>
            <w:r/>
            <w:r>
              <w:rPr>
                <w:rFonts w:ascii="Times New Roman" w:hAnsi="Times New Roman" w:eastAsia="宋体"/>
                <w:b w:val="0"/>
                <w:sz w:val="20"/>
              </w:rPr>
              <w:t>阶段四</w:t>
            </w:r>
          </w:p>
        </w:tc>
        <w:tc>
          <w:tcPr>
            <w:tcW w:type="dxa" w:w="4195"/>
            <w:vAlign w:val="center"/>
          </w:tcPr>
          <w:p>
            <w:pPr>
              <w:spacing w:before="40" w:after="40" w:line="276" w:lineRule="auto"/>
              <w:jc w:val="left"/>
            </w:pPr>
            <w:r/>
            <w:r>
              <w:rPr>
                <w:rFonts w:ascii="Times New Roman" w:hAnsi="Times New Roman" w:eastAsia="宋体"/>
                <w:b w:val="0"/>
                <w:sz w:val="20"/>
              </w:rPr>
              <w:t>完成敏感性分析、图表整理与文稿撰写，视结果决定是否扩展至更复杂场景。</w:t>
            </w:r>
          </w:p>
        </w:tc>
        <w:tc>
          <w:tcPr>
            <w:tcW w:type="dxa" w:w="3402"/>
            <w:vAlign w:val="center"/>
          </w:tcPr>
          <w:p>
            <w:pPr>
              <w:spacing w:before="40" w:after="40" w:line="276" w:lineRule="auto"/>
              <w:jc w:val="left"/>
            </w:pPr>
            <w:r/>
            <w:r>
              <w:rPr>
                <w:rFonts w:ascii="Times New Roman" w:hAnsi="Times New Roman" w:eastAsia="宋体"/>
                <w:b w:val="0"/>
                <w:sz w:val="20"/>
              </w:rPr>
              <w:t>形成阶段性论文或报告成果。</w:t>
            </w:r>
          </w:p>
        </w:tc>
      </w:tr>
    </w:tbl>
    <w:p>
      <w:pPr>
        <w:pStyle w:val="Heading1"/>
        <w:spacing w:before="0" w:after="120" w:line="324" w:lineRule="auto"/>
        <w:ind w:firstLine="420"/>
      </w:pPr>
      <w:r>
        <w:rPr>
          <w:rFonts w:ascii="Times New Roman" w:hAnsi="Times New Roman" w:eastAsia="宋体"/>
          <w:sz w:val="22"/>
        </w:rPr>
        <w:t>八、预期成果与可能创新点</w:t>
      </w:r>
    </w:p>
    <w:p>
      <w:pPr>
        <w:spacing w:before="0" w:after="120" w:line="324" w:lineRule="auto"/>
        <w:ind w:firstLine="420"/>
      </w:pPr>
      <w:r>
        <w:rPr>
          <w:rFonts w:ascii="Times New Roman" w:hAnsi="Times New Roman" w:eastAsia="宋体"/>
          <w:sz w:val="22"/>
        </w:rPr>
        <w:t>预期成果之一是在理论与实验层面证明：在真实阵列条件下，理想流形失配会对高分辨 DOA 方法造成可观性能损失，而该损失并不能通过单纯提高信噪比完全消除。</w:t>
      </w:r>
    </w:p>
    <w:p>
      <w:pPr>
        <w:spacing w:before="0" w:after="120" w:line="324" w:lineRule="auto"/>
        <w:ind w:firstLine="420"/>
      </w:pPr>
      <w:r>
        <w:rPr>
          <w:rFonts w:ascii="Times New Roman" w:hAnsi="Times New Roman" w:eastAsia="宋体"/>
          <w:sz w:val="22"/>
        </w:rPr>
        <w:t>预期成果之二是提出一种适用于少量校准方向样本场景的低维修正框架，使修正流形在未见方向上能够明显优于理想流形，并尽可能逼近完整真实流形的性能上限。</w:t>
      </w:r>
    </w:p>
    <w:p>
      <w:pPr>
        <w:spacing w:before="0" w:after="120" w:line="324" w:lineRule="auto"/>
        <w:ind w:firstLine="420"/>
      </w:pPr>
      <w:r>
        <w:rPr>
          <w:rFonts w:ascii="Times New Roman" w:hAnsi="Times New Roman" w:eastAsia="宋体"/>
          <w:sz w:val="22"/>
        </w:rPr>
        <w:t>预期成果之三是形成一套可迁移至现实测量场景的算法流程，即：少量方向校准测量、残差建模、流形重构与 DOA 估计。该流程在仿真与现实之间共享同一方法论，而不依赖仿真预训练参数直接迁移。</w:t>
      </w:r>
    </w:p>
    <w:p>
      <w:pPr>
        <w:spacing w:before="0" w:after="120" w:line="324" w:lineRule="auto"/>
        <w:ind w:firstLine="420"/>
      </w:pPr>
      <w:r>
        <w:rPr>
          <w:rFonts w:ascii="Times New Roman" w:hAnsi="Times New Roman" w:eastAsia="宋体"/>
          <w:sz w:val="22"/>
        </w:rPr>
        <w:t>潜在创新点主要体现在三个方面：其一，以现实校准样本稀缺作为核心约束重新组织阵列流形修正问题；其二，采用物理引导的低维残差模型而非纯经验查表或纯黑箱插值；其三，在训练方向与测试方向严格分离的条件下验证修正流形的泛化能力。</w:t>
      </w:r>
    </w:p>
    <w:p>
      <w:pPr>
        <w:pStyle w:val="Heading1"/>
        <w:spacing w:before="0" w:after="120" w:line="324" w:lineRule="auto"/>
        <w:ind w:firstLine="420"/>
      </w:pPr>
      <w:r>
        <w:rPr>
          <w:rFonts w:ascii="Times New Roman" w:hAnsi="Times New Roman" w:eastAsia="宋体"/>
          <w:sz w:val="22"/>
        </w:rPr>
        <w:t>九、风险分析与应对措施</w:t>
      </w:r>
    </w:p>
    <w:p>
      <w:pPr>
        <w:spacing w:before="0" w:after="120" w:line="324" w:lineRule="auto"/>
        <w:ind w:firstLine="420"/>
      </w:pPr>
      <w:r>
        <w:rPr>
          <w:rFonts w:ascii="Times New Roman" w:hAnsi="Times New Roman" w:eastAsia="宋体"/>
          <w:sz w:val="22"/>
        </w:rPr>
        <w:t>若低阶相位模型不足以刻画全部失配，则需要进一步引入幅度修正项或采用分段拟合策略，以避免模型欠拟合。</w:t>
      </w:r>
    </w:p>
    <w:p>
      <w:pPr>
        <w:spacing w:before="0" w:after="120" w:line="324" w:lineRule="auto"/>
        <w:ind w:firstLine="420"/>
      </w:pPr>
      <w:r>
        <w:rPr>
          <w:rFonts w:ascii="Times New Roman" w:hAnsi="Times New Roman" w:eastAsia="宋体"/>
          <w:sz w:val="22"/>
        </w:rPr>
        <w:t>若少量校准样本分布不合理导致泛化能力不足，则应研究样本布局优化问题，例如使校准角度在角域内尽可能均匀覆盖，或在边缘区域适当加密。</w:t>
      </w:r>
    </w:p>
    <w:p>
      <w:pPr>
        <w:spacing w:before="0" w:after="120" w:line="324" w:lineRule="auto"/>
        <w:ind w:firstLine="420"/>
      </w:pPr>
      <w:r>
        <w:rPr>
          <w:rFonts w:ascii="Times New Roman" w:hAnsi="Times New Roman" w:eastAsia="宋体"/>
          <w:sz w:val="22"/>
        </w:rPr>
        <w:t>若一维均匀线阵场景中的性能提升有限，则可将方法推广至互耦和方向图畸变更明显的二维阵列或更复杂阵列平台，以增强方法优势的可观察性。</w:t>
      </w:r>
    </w:p>
    <w:p>
      <w:pPr>
        <w:spacing w:before="0" w:after="120" w:line="324" w:lineRule="auto"/>
        <w:ind w:firstLine="420"/>
      </w:pPr>
      <w:r>
        <w:rPr>
          <w:rFonts w:ascii="Times New Roman" w:hAnsi="Times New Roman" w:eastAsia="宋体"/>
          <w:sz w:val="22"/>
        </w:rPr>
        <w:t>若后续需面向相干源开展研究，则应将本课题所形成的流形修正方法作为前端模块，与空间平滑或协方差重构方法相结合。</w:t>
      </w:r>
    </w:p>
    <w:p>
      <w:pPr>
        <w:pStyle w:val="Heading1"/>
        <w:spacing w:before="0" w:after="120" w:line="324" w:lineRule="auto"/>
        <w:ind w:firstLine="420"/>
      </w:pPr>
      <w:r>
        <w:rPr>
          <w:rFonts w:ascii="Times New Roman" w:hAnsi="Times New Roman" w:eastAsia="宋体"/>
          <w:sz w:val="22"/>
        </w:rPr>
        <w:t>十、结语</w:t>
      </w:r>
    </w:p>
    <w:p>
      <w:pPr>
        <w:spacing w:before="0" w:after="120" w:line="324" w:lineRule="auto"/>
        <w:ind w:firstLine="420"/>
      </w:pPr>
      <w:r>
        <w:rPr>
          <w:rFonts w:ascii="Times New Roman" w:hAnsi="Times New Roman" w:eastAsia="宋体"/>
          <w:sz w:val="22"/>
        </w:rPr>
        <w:t>综上，本计划书提出的研究方向立足于现实阵列校准样本稀缺这一工程约束，试图在理想流形与真实流形之间建立一座可解释、可泛化、可低成本实施的修正桥梁。</w:t>
      </w:r>
    </w:p>
    <w:p>
      <w:pPr>
        <w:spacing w:before="0" w:after="120" w:line="324" w:lineRule="auto"/>
        <w:ind w:firstLine="420"/>
      </w:pPr>
      <w:r>
        <w:rPr>
          <w:rFonts w:ascii="Times New Roman" w:hAnsi="Times New Roman" w:eastAsia="宋体"/>
          <w:sz w:val="22"/>
        </w:rPr>
        <w:t>该方向的关键不在于利用 HFSS 代替现实世界完成预训练，而在于利用 HFSS 提供可控真值，先验证“少量校准样本重构真实流形”这一方法是否成立；一旦验证有效，该算法框架即可自然迁移至真实测量场景。</w:t>
      </w:r>
    </w:p>
    <w:p>
      <w:pPr>
        <w:spacing w:before="0" w:after="120" w:line="324" w:lineRule="auto"/>
        <w:ind w:firstLine="420"/>
      </w:pPr>
      <w:r>
        <w:rPr>
          <w:rFonts w:ascii="Times New Roman" w:hAnsi="Times New Roman" w:eastAsia="宋体"/>
          <w:sz w:val="22"/>
        </w:rPr>
        <w:t>因此，本研究既具有明确的问题指向，也具备较强的后续延展性，可作为后续开展阵列校准、鲁棒 DOA 估计乃至相干源场景研究的基础工作。</w:t>
      </w:r>
    </w:p>
    <w:sectPr w:rsidR="00FC693F" w:rsidRPr="0006063C" w:rsidSect="00034616">
      <w:pgSz w:w="12240" w:h="15840"/>
      <w:pgMar w:top="1247" w:right="130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34495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64646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Times New Roman" w:hAnsi="Times New Roman" w:eastAsia="宋体"/>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