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47875" cy="723900"/>
            <wp:effectExtent b="0" l="0" r="0" t="0"/>
            <wp:docPr descr="http://www.ifpb.edu.br/logo.png" id="2" name="image1.png"/>
            <a:graphic>
              <a:graphicData uri="http://schemas.openxmlformats.org/drawingml/2006/picture">
                <pic:pic>
                  <pic:nvPicPr>
                    <pic:cNvPr descr="http://www.ifpb.edu.br/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7" w:before="57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GOVERNO FEDERAL</w:t>
      </w:r>
    </w:p>
    <w:p w:rsidR="00000000" w:rsidDel="00000000" w:rsidP="00000000" w:rsidRDefault="00000000" w:rsidRPr="00000000" w14:paraId="00000004">
      <w:pPr>
        <w:spacing w:after="57" w:before="57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spacing w:after="57" w:before="57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EDUCAÇÃO, CIÊNCIA E TECNOLOGIA DA PARAÍBA</w:t>
      </w:r>
    </w:p>
    <w:p w:rsidR="00000000" w:rsidDel="00000000" w:rsidP="00000000" w:rsidRDefault="00000000" w:rsidRPr="00000000" w14:paraId="00000006">
      <w:pPr>
        <w:spacing w:after="57" w:before="57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CAMPINA GRANDE</w:t>
      </w:r>
    </w:p>
    <w:p w:rsidR="00000000" w:rsidDel="00000000" w:rsidP="00000000" w:rsidRDefault="00000000" w:rsidRPr="00000000" w14:paraId="00000007">
      <w:pPr>
        <w:spacing w:after="57" w:before="57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CURSO BACHARELADO EM ENGENHARIA DE COMPUTAÇÃO</w:t>
      </w:r>
    </w:p>
    <w:p w:rsidR="00000000" w:rsidDel="00000000" w:rsidP="00000000" w:rsidRDefault="00000000" w:rsidRPr="00000000" w14:paraId="00000008">
      <w:pPr>
        <w:spacing w:after="57" w:before="57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DISCIPLINA: PADRÕES DE PROJETOS</w:t>
      </w:r>
    </w:p>
    <w:p w:rsidR="00000000" w:rsidDel="00000000" w:rsidP="00000000" w:rsidRDefault="00000000" w:rsidRPr="00000000" w14:paraId="00000009">
      <w:pPr>
        <w:spacing w:after="57" w:before="57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PROFESSOR: KATYUSCO DE FARIAS SANTOS</w:t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Especificação do Sistema de Biblioteca Comunitária para os membros do IFPB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Vitor Araújo Miranda - 202221250027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Marcus Cauê de Farias Barbosa - 202321250026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Campina Grande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8" w:type="default"/>
          <w:pgSz w:h="16838" w:w="11906" w:orient="portrait"/>
          <w:pgMar w:bottom="1134" w:top="1701" w:left="1701" w:right="1134" w:header="709" w:footer="0"/>
          <w:pgNumType w:start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Junho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2025</w:t>
      </w:r>
    </w:p>
    <w:p w:rsidR="00000000" w:rsidDel="00000000" w:rsidP="00000000" w:rsidRDefault="00000000" w:rsidRPr="00000000" w14:paraId="0000002D">
      <w:pPr>
        <w:pStyle w:val="Heading1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– Descrição do sistema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computacional apelidado como “Biblioteca Comunitária” visa ser uma ferramenta para auxilia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no controle de empréstimos de livros feitos por membros do IFPB (sejam eles alunos, professores, servidores, etc.) que sejam integrantes da comunidade de troca de livros.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exemplares dos livros estarão presentes em estantes públicas e centralizadas, onde os membros da comunidade poderão fazer os empréstimos e devoluções. O software, por outro lado, será responsável por gerenciar as informações dessa comunidade do mundo real: dados sobre os livros, os exemplares e sobre os usuários da comunidade.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software será utilizado por pessoas cadastradas como administradores da comunidade (a princípio, qualquer membro da comunidade pode ser um administrador) que farão o cadastro, remoção e modificação das informações dos exemplares dos livros; e das pessoas que desejam participar da comunidade no sistema.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software também será utilizado pelos membros da comunidade para que eles consultem a disponibilidade dos livros, o acervo da comunidade, a quantidade de créditos que possuem, quais os livros cedidos por eles à comunidade, quais dentre os livros cedidos foram emprestados a outros membros da comunidade e entre outras coisas.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comunidade possui um sistema “monetário” cuja “moeda” (chamada “crédito”) é um valor numérico que representa a capacidade de um membro da comunidade de pegar livros do acervo. Ou seja, um membro só poderá pegar livros emprestados do acervo se ele tiver uma quantidade x de créditos e se não tiver estourado o limite máximo de livros emprestados. Sempre que um membro cede um livro à comunidade, ele ganha um crédito; e também ganha quando um outro membro pega um livro que ele cedeu. E um crédito é descontado quando o membro pega um livro emprestado ou quando atrasa a devolução de um livro.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– Requisitos Funcionais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425"/>
        <w:gridCol w:w="5625"/>
        <w:gridCol w:w="2595"/>
        <w:tblGridChange w:id="0">
          <w:tblGrid>
            <w:gridCol w:w="1425"/>
            <w:gridCol w:w="562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Cadastro de Livro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Modificação de Livro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Remoção de Livro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Cadastro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Modificação de Usuário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Remoção de Usuário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Definir um limite da quantidade de livros emprestados por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acervo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empréstimo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Devolver livro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Consultar histórico de empréstimos concluídos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Consultar histórico de empréstimos em andamento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Aplicar penalidades para empréstimos atrasados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perfil do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Notificar o usuário sobre a disponibilidade de um livro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Notificar o usuário sobre um livro cedido por ele que foi emprestado a outro membro da comunidade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Notificar usuário sobre o encerramento do prazo de devolução de um livro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Aumentar o crédito do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Descontar o crédito do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Doar um livro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d0ekgifp1pna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2yx2hbsparap" w:id="1"/>
      <w:bookmarkEnd w:id="1"/>
      <w:r w:rsidDel="00000000" w:rsidR="00000000" w:rsidRPr="00000000">
        <w:rPr>
          <w:rtl w:val="0"/>
        </w:rPr>
        <w:t xml:space="preserve">3 – Não-Funcionais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Layout w:type="fixed"/>
        <w:tblLook w:val="0000"/>
      </w:tblPr>
      <w:tblGrid>
        <w:gridCol w:w="1421"/>
        <w:gridCol w:w="4033"/>
        <w:gridCol w:w="4184"/>
        <w:tblGridChange w:id="0">
          <w:tblGrid>
            <w:gridCol w:w="1421"/>
            <w:gridCol w:w="4033"/>
            <w:gridCol w:w="41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Gráfica Desktop (Windows, Mac, Linux Debian Based)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Acesso à Internet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Gráfica para dispositivos móveis (Android e iOS)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Escalabilidade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Estar disponível nas lojas de aplicativos dos dispositivos móveis (Play Store e App Store)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pwkxin0d4c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767jqzj1b1oc" w:id="3"/>
      <w:bookmarkEnd w:id="3"/>
      <w:r w:rsidDel="00000000" w:rsidR="00000000" w:rsidRPr="00000000">
        <w:rPr>
          <w:rtl w:val="0"/>
        </w:rPr>
        <w:t xml:space="preserve">4 – Diagrama de Casos de Uso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742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8" w:w="11906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Liberation Serif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caso, o usuário pode ser tanto um administrador quanto um membro comum da comunidade.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