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8F3C13">
      <w:pPr>
        <w:widowControl/>
        <w:snapToGrid w:val="0"/>
        <w:spacing w:line="440" w:lineRule="exact"/>
        <w:rPr>
          <w:rFonts w:hint="eastAsia" w:ascii="黑体" w:hAnsi="黑体" w:eastAsia="黑体" w:cs="黑体"/>
          <w:bCs/>
          <w:kern w:val="0"/>
          <w:sz w:val="32"/>
          <w:szCs w:val="32"/>
        </w:rPr>
      </w:pPr>
    </w:p>
    <w:p w14:paraId="3500A5A1">
      <w:pPr>
        <w:widowControl/>
        <w:tabs>
          <w:tab w:val="left" w:pos="8280"/>
        </w:tabs>
        <w:spacing w:line="588" w:lineRule="exact"/>
        <w:ind w:right="26"/>
        <w:jc w:val="right"/>
        <w:rPr>
          <w:rFonts w:hint="eastAsia" w:ascii="仿宋_GB2312" w:hAnsi="宋体" w:eastAsia="仿宋_GB2312" w:cs="宋体"/>
          <w:bCs/>
          <w:color w:val="222222"/>
          <w:kern w:val="0"/>
          <w:sz w:val="28"/>
          <w:szCs w:val="28"/>
          <w:u w:val="single"/>
        </w:rPr>
      </w:pPr>
      <w:r>
        <w:rPr>
          <w:rFonts w:hint="eastAsia" w:ascii="黑体" w:hAnsi="宋体" w:eastAsia="黑体" w:cs="黑体"/>
          <w:bCs/>
          <w:color w:val="222222"/>
          <w:kern w:val="0"/>
          <w:szCs w:val="21"/>
          <w:lang w:bidi="ar"/>
        </w:rPr>
        <w:t>学号：</w:t>
      </w:r>
      <w:r>
        <w:rPr>
          <w:rFonts w:hint="eastAsia" w:ascii="黑体" w:hAnsi="宋体" w:eastAsia="黑体" w:cs="黑体"/>
          <w:bCs/>
          <w:color w:val="222222"/>
          <w:kern w:val="0"/>
          <w:szCs w:val="21"/>
          <w:u w:val="single"/>
          <w:lang w:bidi="ar"/>
        </w:rPr>
        <w:t>202209518</w:t>
      </w:r>
    </w:p>
    <w:p w14:paraId="74DEEDB9">
      <w:pPr>
        <w:widowControl/>
        <w:tabs>
          <w:tab w:val="left" w:pos="7920"/>
          <w:tab w:val="left" w:pos="8280"/>
        </w:tabs>
        <w:spacing w:line="588" w:lineRule="exact"/>
        <w:ind w:right="26"/>
        <w:jc w:val="right"/>
        <w:rPr>
          <w:rFonts w:hint="eastAsia" w:ascii="仿宋_GB2312" w:hAnsi="宋体" w:eastAsia="仿宋_GB2312" w:cs="宋体"/>
          <w:bCs/>
          <w:color w:val="222222"/>
          <w:kern w:val="0"/>
          <w:sz w:val="28"/>
          <w:szCs w:val="28"/>
          <w:u w:val="single"/>
        </w:rPr>
      </w:pPr>
      <w:r>
        <w:rPr>
          <w:rFonts w:hint="eastAsia" w:ascii="仿宋_GB2312" w:hAnsi="宋体" w:eastAsia="仿宋_GB2312" w:cs="宋体"/>
          <w:bCs/>
          <w:color w:val="222222"/>
          <w:kern w:val="0"/>
          <w:sz w:val="28"/>
          <w:szCs w:val="28"/>
          <w:lang w:bidi="ar"/>
        </w:rPr>
        <w:t xml:space="preserve">                                  </w:t>
      </w:r>
    </w:p>
    <w:p w14:paraId="2752C30D">
      <w:pPr>
        <w:widowControl/>
        <w:spacing w:line="640" w:lineRule="exact"/>
        <w:rPr>
          <w:rFonts w:hint="eastAsia" w:ascii="宋体" w:hAnsi="宋体" w:cs="宋体"/>
          <w:b/>
          <w:color w:val="222222"/>
          <w:kern w:val="0"/>
          <w:sz w:val="52"/>
          <w:szCs w:val="52"/>
          <w:lang w:bidi="ar"/>
        </w:rPr>
      </w:pPr>
      <w:r>
        <w:rPr>
          <w:rFonts w:hint="eastAsia" w:ascii="宋体" w:hAnsi="宋体" w:cs="宋体"/>
          <w:b/>
          <w:color w:val="222222"/>
          <w:kern w:val="0"/>
          <w:sz w:val="52"/>
          <w:szCs w:val="52"/>
          <w:lang w:bidi="ar"/>
        </w:rPr>
        <w:pict>
          <v:shape id="图片 4" o:spid="_x0000_s2137" o:spt="75" alt="mmexport1638838847074" type="#_x0000_t75" style="position:absolute;left:0pt;margin-left:42.6pt;margin-top:3.45pt;height:55.4pt;width:313.15pt;mso-wrap-distance-left:9pt;mso-wrap-distance-right:9pt;z-index:-251656192;mso-width-relative:page;mso-height-relative:page;" filled="f" o:preferrelative="t" stroked="f" coordsize="21600,21600" wrapcoords="21592 -2 0 0 0 21600 21592 21602 8 21602 21600 21600 21600 0 8 -2 21592 -2">
            <v:path/>
            <v:fill on="f" focussize="0,0"/>
            <v:stroke on="f" joinstyle="miter"/>
            <v:imagedata r:id="rId15" o:title="mmexport1638838847074"/>
            <o:lock v:ext="edit" aspectratio="t"/>
            <w10:wrap type="tight"/>
          </v:shape>
        </w:pict>
      </w:r>
    </w:p>
    <w:p w14:paraId="2D11927B">
      <w:pPr>
        <w:widowControl/>
        <w:spacing w:line="640" w:lineRule="exact"/>
        <w:rPr>
          <w:rFonts w:hint="eastAsia" w:ascii="宋体" w:hAnsi="宋体" w:cs="宋体"/>
          <w:b/>
          <w:color w:val="222222"/>
          <w:kern w:val="0"/>
          <w:sz w:val="52"/>
          <w:szCs w:val="52"/>
          <w:lang w:bidi="ar"/>
        </w:rPr>
      </w:pPr>
    </w:p>
    <w:p w14:paraId="162D3A79">
      <w:pPr>
        <w:widowControl/>
        <w:spacing w:line="640" w:lineRule="exact"/>
        <w:jc w:val="center"/>
        <w:rPr>
          <w:rFonts w:hint="eastAsia" w:ascii="宋体" w:hAnsi="宋体" w:cs="宋体"/>
          <w:b/>
          <w:color w:val="222222"/>
          <w:kern w:val="0"/>
          <w:sz w:val="52"/>
          <w:szCs w:val="52"/>
          <w:lang w:bidi="ar"/>
        </w:rPr>
      </w:pPr>
    </w:p>
    <w:p w14:paraId="6028F9DD">
      <w:pPr>
        <w:widowControl/>
        <w:spacing w:line="640" w:lineRule="exact"/>
        <w:jc w:val="center"/>
        <w:rPr>
          <w:rFonts w:hint="eastAsia" w:ascii="宋体" w:hAnsi="宋体" w:cs="宋体"/>
          <w:color w:val="222222"/>
          <w:kern w:val="0"/>
          <w:sz w:val="52"/>
          <w:szCs w:val="52"/>
        </w:rPr>
      </w:pPr>
      <w:r>
        <w:rPr>
          <w:rFonts w:hint="eastAsia" w:ascii="宋体" w:hAnsi="宋体" w:cs="宋体"/>
          <w:b/>
          <w:color w:val="222222"/>
          <w:kern w:val="0"/>
          <w:sz w:val="52"/>
          <w:szCs w:val="52"/>
          <w:lang w:bidi="ar"/>
        </w:rPr>
        <w:t>本科毕业论文</w:t>
      </w:r>
      <w:r>
        <w:rPr>
          <w:rFonts w:hint="eastAsia" w:ascii="宋体" w:hAnsi="宋体" w:cs="黑体"/>
          <w:b/>
          <w:color w:val="222222"/>
          <w:kern w:val="0"/>
          <w:sz w:val="52"/>
          <w:szCs w:val="52"/>
          <w:lang w:bidi="ar"/>
        </w:rPr>
        <w:t>（设计）</w:t>
      </w:r>
    </w:p>
    <w:p w14:paraId="1F067F2F">
      <w:pPr>
        <w:widowControl/>
        <w:spacing w:line="640" w:lineRule="exact"/>
        <w:jc w:val="center"/>
        <w:rPr>
          <w:rFonts w:hint="eastAsia" w:ascii="仿宋_GB2312" w:hAnsi="宋体" w:eastAsia="仿宋_GB2312" w:cs="仿宋_GB2312"/>
          <w:color w:val="FF0000"/>
          <w:szCs w:val="21"/>
        </w:rPr>
      </w:pPr>
    </w:p>
    <w:p w14:paraId="5749F721">
      <w:pPr>
        <w:widowControl/>
        <w:spacing w:line="640" w:lineRule="exact"/>
        <w:ind w:firstLine="0"/>
        <w:jc w:val="center"/>
        <w:rPr>
          <w:rFonts w:hint="eastAsia" w:eastAsia="黑体"/>
          <w:b/>
          <w:bCs/>
          <w:kern w:val="0"/>
          <w:sz w:val="44"/>
          <w:szCs w:val="44"/>
          <w:lang w:bidi="ar"/>
        </w:rPr>
      </w:pPr>
      <w:r>
        <w:rPr>
          <w:rFonts w:hint="eastAsia" w:eastAsia="黑体" w:ascii="Times New Roman" w:hAnsi="Times New Roman"/>
          <w:b/>
          <w:bCs/>
          <w:kern w:val="0"/>
          <w:sz w:val="44"/>
          <w:szCs w:val="44"/>
          <w:lang w:bidi="ar"/>
        </w:rPr>
        <w:t>中国金融期货大数据分析与风险评估系统</w:t>
        <w:br/>
        <w:t>设计与实现</w:t>
      </w:r>
      <w:r>
        <w:rPr>
          <w:rFonts w:hint="eastAsia" w:eastAsia="黑体"/>
          <w:b/>
          <w:bCs/>
          <w:kern w:val="0"/>
          <w:sz w:val="44"/>
          <w:szCs w:val="44"/>
          <w:lang w:bidi="ar"/>
        </w:rPr>
      </w:r>
      <w:r>
        <w:rPr>
          <w:rFonts w:hint="eastAsia" w:eastAsia="黑体"/>
          <w:b/>
          <w:bCs/>
          <w:kern w:val="0"/>
          <w:sz w:val="44"/>
          <w:szCs w:val="44"/>
          <w:lang w:bidi="ar"/>
        </w:rPr>
      </w:r>
    </w:p>
    <w:p w14:paraId="4B9A8AA6">
      <w:pPr>
        <w:widowControl/>
        <w:spacing w:line="588" w:lineRule="exact"/>
        <w:rPr>
          <w:rFonts w:hint="eastAsia" w:ascii="仿宋_GB2312" w:hAnsi="宋体" w:eastAsia="仿宋_GB2312" w:cs="宋体"/>
          <w:color w:val="222222"/>
          <w:kern w:val="0"/>
          <w:sz w:val="28"/>
          <w:szCs w:val="28"/>
        </w:rPr>
      </w:pPr>
    </w:p>
    <w:p w14:paraId="02C5DE19">
      <w:pPr>
        <w:widowControl/>
        <w:spacing w:line="640" w:lineRule="exact"/>
        <w:ind w:left="840" w:firstLine="900" w:firstLineChars="300"/>
        <w:rPr>
          <w:rFonts w:hint="eastAsia" w:ascii="宋体" w:hAnsi="宋体" w:cs="宋体"/>
          <w:color w:val="222222"/>
          <w:kern w:val="0"/>
          <w:sz w:val="30"/>
          <w:szCs w:val="30"/>
          <w:lang w:bidi="ar"/>
        </w:rPr>
      </w:pPr>
    </w:p>
    <w:p w14:paraId="7BE605BF">
      <w:pPr>
        <w:widowControl/>
        <w:spacing w:line="640" w:lineRule="exact"/>
        <w:ind w:left="840" w:firstLine="900" w:firstLineChars="300"/>
        <w:rPr>
          <w:rFonts w:hint="eastAsia" w:ascii="宋体" w:hAnsi="宋体" w:cs="宋体"/>
          <w:color w:val="222222"/>
          <w:kern w:val="0"/>
          <w:sz w:val="30"/>
          <w:szCs w:val="30"/>
          <w:lang w:bidi="ar"/>
        </w:rPr>
      </w:pPr>
    </w:p>
    <w:p w14:paraId="42777816">
      <w:pPr>
        <w:widowControl/>
        <w:spacing w:line="640" w:lineRule="exact"/>
        <w:ind w:left="840" w:firstLine="900" w:firstLineChars="300"/>
        <w:rPr>
          <w:rFonts w:hint="eastAsia" w:ascii="宋体" w:hAnsi="宋体" w:cs="宋体"/>
          <w:kern w:val="0"/>
          <w:sz w:val="30"/>
          <w:szCs w:val="30"/>
          <w:lang w:bidi="ar"/>
        </w:rPr>
      </w:pPr>
      <w:r>
        <w:rPr>
          <w:rFonts w:hint="eastAsia" w:ascii="宋体" w:hAnsi="宋体" w:cs="宋体"/>
          <w:kern w:val="0"/>
          <w:sz w:val="30"/>
          <w:szCs w:val="30"/>
          <w:lang w:bidi="ar"/>
        </w:rPr>
        <w:t xml:space="preserve">学院名称  ： </w:t>
      </w:r>
      <w:r>
        <w:rPr>
          <w:rFonts w:hint="eastAsia" w:ascii="宋体" w:hAnsi="宋体" w:cs="宋体"/>
          <w:kern w:val="0"/>
          <w:sz w:val="30"/>
          <w:szCs w:val="30"/>
          <w:u w:val="single"/>
          <w:lang w:bidi="ar"/>
        </w:rPr>
        <w:t xml:space="preserve">  数字科学学院   </w:t>
      </w:r>
      <w:r>
        <w:rPr>
          <w:rFonts w:hint="eastAsia" w:ascii="宋体" w:hAnsi="宋体" w:cs="宋体"/>
          <w:kern w:val="0"/>
          <w:sz w:val="30"/>
          <w:szCs w:val="30"/>
          <w:lang w:bidi="ar"/>
        </w:rPr>
        <w:t xml:space="preserve">  </w:t>
      </w:r>
    </w:p>
    <w:p w14:paraId="7C46AC98">
      <w:pPr>
        <w:widowControl/>
        <w:spacing w:line="640" w:lineRule="exact"/>
        <w:ind w:left="840" w:firstLine="900" w:firstLineChars="300"/>
        <w:rPr>
          <w:rFonts w:hint="eastAsia" w:ascii="宋体" w:hAnsi="宋体" w:cs="宋体"/>
          <w:kern w:val="0"/>
          <w:sz w:val="30"/>
          <w:szCs w:val="30"/>
          <w:lang w:bidi="ar"/>
        </w:rPr>
      </w:pPr>
      <w:r>
        <w:rPr>
          <w:rFonts w:hint="eastAsia" w:ascii="宋体" w:hAnsi="宋体" w:cs="宋体"/>
          <w:kern w:val="0"/>
          <w:sz w:val="30"/>
          <w:szCs w:val="30"/>
          <w:lang w:bidi="ar"/>
        </w:rPr>
        <w:t>专业名称 ：</w:t>
      </w:r>
      <w:r>
        <w:rPr>
          <w:rFonts w:hint="eastAsia" w:ascii="宋体" w:hAnsi="宋体" w:cs="宋体"/>
          <w:kern w:val="0"/>
          <w:sz w:val="30"/>
          <w:szCs w:val="30"/>
          <w:u w:val="single"/>
          <w:lang w:bidi="ar"/>
        </w:rPr>
        <w:t>数据科学与大数据技术</w:t>
      </w:r>
    </w:p>
    <w:p w14:paraId="3E5843CC">
      <w:pPr>
        <w:widowControl/>
        <w:spacing w:line="640" w:lineRule="exact"/>
        <w:ind w:left="840" w:firstLine="900" w:firstLineChars="300"/>
        <w:rPr>
          <w:rFonts w:hint="eastAsia" w:ascii="宋体" w:hAnsi="宋体" w:cs="宋体"/>
          <w:kern w:val="0"/>
          <w:sz w:val="30"/>
          <w:szCs w:val="30"/>
          <w:lang w:bidi="ar"/>
        </w:rPr>
      </w:pPr>
      <w:r>
        <w:rPr>
          <w:rFonts w:hint="eastAsia" w:ascii="宋体" w:hAnsi="宋体" w:cs="宋体"/>
          <w:kern w:val="0"/>
          <w:sz w:val="30"/>
          <w:szCs w:val="30"/>
          <w:lang w:bidi="ar"/>
        </w:rPr>
        <w:t xml:space="preserve">学生姓名 ：   </w:t>
      </w:r>
      <w:r>
        <w:rPr>
          <w:rFonts w:hint="eastAsia" w:ascii="宋体" w:hAnsi="宋体" w:cs="宋体"/>
          <w:kern w:val="0"/>
          <w:sz w:val="30"/>
          <w:szCs w:val="30"/>
          <w:u w:val="single"/>
          <w:lang w:bidi="ar"/>
        </w:rPr>
        <w:t xml:space="preserve">    郭子健    </w:t>
      </w:r>
      <w:r>
        <w:rPr>
          <w:rFonts w:hint="eastAsia" w:ascii="宋体" w:hAnsi="宋体" w:cs="宋体"/>
          <w:kern w:val="0"/>
          <w:sz w:val="30"/>
          <w:szCs w:val="30"/>
          <w:lang w:bidi="ar"/>
        </w:rPr>
        <w:t xml:space="preserve">   </w:t>
      </w:r>
    </w:p>
    <w:p w14:paraId="5B2DB742">
      <w:pPr>
        <w:widowControl/>
        <w:spacing w:line="640" w:lineRule="exact"/>
        <w:ind w:left="840" w:firstLine="900" w:firstLineChars="300"/>
        <w:rPr>
          <w:rFonts w:hint="eastAsia" w:ascii="宋体" w:hAnsi="宋体" w:cs="宋体"/>
          <w:kern w:val="0"/>
          <w:sz w:val="30"/>
          <w:szCs w:val="30"/>
          <w:lang w:bidi="ar"/>
        </w:rPr>
      </w:pPr>
      <w:r>
        <w:rPr>
          <w:rFonts w:hint="eastAsia" w:ascii="宋体" w:hAnsi="宋体" w:cs="宋体"/>
          <w:kern w:val="0"/>
          <w:sz w:val="30"/>
          <w:szCs w:val="30"/>
          <w:lang w:bidi="ar"/>
        </w:rPr>
        <w:t xml:space="preserve">指导教师 ： </w:t>
      </w:r>
      <w:r>
        <w:rPr>
          <w:rFonts w:hint="eastAsia" w:ascii="宋体" w:hAnsi="宋体" w:cs="宋体"/>
          <w:kern w:val="0"/>
          <w:sz w:val="30"/>
          <w:szCs w:val="30"/>
          <w:u w:val="single"/>
          <w:lang w:bidi="ar"/>
        </w:rPr>
        <w:t xml:space="preserve">       马利平     </w:t>
      </w:r>
      <w:r>
        <w:rPr>
          <w:rFonts w:hint="eastAsia" w:ascii="宋体" w:hAnsi="宋体" w:cs="宋体"/>
          <w:kern w:val="0"/>
          <w:sz w:val="30"/>
          <w:szCs w:val="30"/>
          <w:lang w:bidi="ar"/>
        </w:rPr>
        <w:t xml:space="preserve">   </w:t>
      </w:r>
    </w:p>
    <w:p w14:paraId="03DC4A21">
      <w:pPr>
        <w:widowControl/>
        <w:spacing w:line="588" w:lineRule="exact"/>
        <w:rPr>
          <w:rFonts w:hint="eastAsia" w:ascii="仿宋_GB2312" w:hAnsi="宋体" w:eastAsia="仿宋_GB2312" w:cs="宋体"/>
          <w:color w:val="222222"/>
          <w:kern w:val="0"/>
          <w:sz w:val="28"/>
          <w:szCs w:val="28"/>
        </w:rPr>
      </w:pPr>
      <w:r>
        <w:rPr>
          <w:rFonts w:hint="eastAsia" w:ascii="宋体" w:hAnsi="宋体" w:eastAsia="仿宋_GB2312" w:cs="宋体"/>
          <w:color w:val="222222"/>
          <w:kern w:val="0"/>
          <w:sz w:val="28"/>
          <w:szCs w:val="28"/>
          <w:lang w:bidi="ar"/>
        </w:rPr>
        <w:t>                               </w:t>
      </w:r>
    </w:p>
    <w:p w14:paraId="35147DB9">
      <w:pPr>
        <w:widowControl/>
        <w:spacing w:line="588" w:lineRule="exact"/>
        <w:jc w:val="center"/>
        <w:rPr>
          <w:rFonts w:hint="eastAsia" w:ascii="宋体" w:hAnsi="宋体" w:cs="宋体"/>
          <w:color w:val="222222"/>
          <w:kern w:val="0"/>
          <w:sz w:val="32"/>
          <w:szCs w:val="32"/>
          <w:lang w:bidi="ar"/>
        </w:rPr>
      </w:pPr>
      <w:r>
        <w:t>2026  年  3  月  20  日</w:t>
      </w:r>
    </w:p>
    <w:p w14:paraId="6E2802B6">
      <w:pPr>
        <w:widowControl/>
        <w:spacing w:line="588" w:lineRule="exact"/>
        <w:rPr>
          <w:rFonts w:hint="eastAsia" w:ascii="仿宋_GB2312" w:hAnsi="宋体" w:eastAsia="仿宋_GB2312" w:cs="仿宋_GB2312"/>
          <w:color w:val="FF0000"/>
          <w:szCs w:val="21"/>
          <w:lang w:bidi="ar"/>
        </w:rPr>
        <w:sectPr>
          <w:footerReference r:id="rId5" w:type="default"/>
          <w:footerReference w:type="even" r:id="rId33"/>
          <w:footerReference w:type="first" r:id="rId34"/>
          <w:pgSz w:w="11906" w:h="16838"/>
          <w:pgMar w:top="1417" w:right="1701" w:bottom="1134" w:left="1701" w:header="850" w:footer="850" w:gutter="0"/>
          <w:cols w:space="720" w:num="1"/>
          <w:titlePg/>
          <w:docGrid w:type="lines" w:linePitch="312" w:charSpace="0"/>
        </w:sectPr>
      </w:pPr>
      <w:r>
        <w:rPr>
          <w:rFonts w:hint="eastAsia" w:ascii="仿宋_GB2312" w:eastAsia="仿宋_GB2312" w:cs="仿宋_GB2312"/>
          <w:b/>
          <w:sz w:val="28"/>
          <w:szCs w:val="28"/>
          <w:lang w:bidi="ar"/>
        </w:rPr>
        <w:t xml:space="preserve">   </w:t>
      </w:r>
    </w:p>
    <w:p w14:paraId="0FFCFE86">
      <w:pPr>
        <w:spacing w:before="50" w:after="50" w:line="360" w:lineRule="auto"/>
        <w:jc w:val="center"/>
        <w:rPr>
          <w:b/>
          <w:sz w:val="44"/>
          <w:szCs w:val="44"/>
        </w:rPr>
      </w:pPr>
      <w:r>
        <w:rPr>
          <w:rFonts w:eastAsia="仿宋_GB2312"/>
          <w:b/>
          <w:color w:val="222222"/>
          <w:sz w:val="44"/>
          <w:szCs w:val="44"/>
          <w:lang w:bidi="ar"/>
        </w:rPr>
        <w:t xml:space="preserve">BACHELOR'S DEGREE THESIS OF </w:t>
      </w:r>
      <w:r>
        <w:rPr>
          <w:rFonts w:hint="eastAsia" w:eastAsia="仿宋_GB2312"/>
          <w:b/>
          <w:color w:val="222222"/>
          <w:sz w:val="44"/>
          <w:szCs w:val="44"/>
          <w:lang w:bidi="ar"/>
        </w:rPr>
        <w:t>SHANGHAI</w:t>
      </w:r>
      <w:r>
        <w:rPr>
          <w:rFonts w:eastAsia="仿宋_GB2312"/>
          <w:b/>
          <w:color w:val="222222"/>
          <w:sz w:val="44"/>
          <w:szCs w:val="44"/>
          <w:lang w:bidi="ar"/>
        </w:rPr>
        <w:t xml:space="preserve"> </w:t>
      </w:r>
      <w:r>
        <w:rPr>
          <w:rFonts w:hint="eastAsia" w:eastAsia="仿宋_GB2312"/>
          <w:b/>
          <w:color w:val="222222"/>
          <w:sz w:val="44"/>
          <w:szCs w:val="44"/>
          <w:lang w:bidi="ar"/>
        </w:rPr>
        <w:t>LIDA</w:t>
      </w:r>
      <w:r>
        <w:rPr>
          <w:rFonts w:eastAsia="仿宋_GB2312"/>
          <w:b/>
          <w:color w:val="222222"/>
          <w:sz w:val="44"/>
          <w:szCs w:val="44"/>
          <w:lang w:bidi="ar"/>
        </w:rPr>
        <w:t xml:space="preserve"> UNIVERSITY</w:t>
      </w:r>
    </w:p>
    <w:p w14:paraId="77BD1EA3">
      <w:pPr>
        <w:spacing w:before="50" w:after="50" w:line="360" w:lineRule="auto"/>
        <w:jc w:val="center"/>
        <w:rPr>
          <w:rFonts w:hint="eastAsia" w:ascii="仿宋_GB2312" w:hAnsi="宋体" w:eastAsia="仿宋_GB2312" w:cs="仿宋_GB2312"/>
          <w:color w:val="FF0000"/>
          <w:szCs w:val="21"/>
        </w:rPr>
      </w:pPr>
    </w:p>
    <w:p w14:paraId="09133261">
      <w:pPr>
        <w:spacing w:before="50" w:after="50" w:line="440" w:lineRule="exact"/>
        <w:jc w:val="center"/>
        <w:rPr>
          <w:b/>
          <w:sz w:val="44"/>
          <w:szCs w:val="44"/>
          <w:lang w:bidi="ar"/>
        </w:rPr>
      </w:pPr>
      <w:r>
        <w:rPr>
          <w:rFonts w:ascii="Times New Roman" w:hAnsi="Times New Roman" w:eastAsia="Times New Roman"/>
          <w:b/>
          <w:sz w:val="32"/>
        </w:rPr>
        <w:t>Design and Implementation of a Big Data Analytics</w:t>
        <w:br/>
        <w:t>and Risk Assessment System for Chinese Financial Futures</w:t>
      </w:r>
    </w:p>
    <w:p w14:paraId="40806EBB">
      <w:pPr>
        <w:spacing w:before="50" w:after="50" w:line="360" w:lineRule="auto"/>
        <w:rPr>
          <w:b/>
          <w:sz w:val="44"/>
          <w:szCs w:val="44"/>
          <w:lang w:bidi="ar"/>
        </w:rPr>
      </w:pPr>
    </w:p>
    <w:p w14:paraId="06A8BAE0">
      <w:pPr>
        <w:spacing w:before="50" w:after="50" w:line="360" w:lineRule="auto"/>
        <w:jc w:val="center"/>
        <w:rPr>
          <w:b/>
          <w:sz w:val="28"/>
          <w:szCs w:val="28"/>
        </w:rPr>
      </w:pPr>
      <w:r>
        <w:rPr>
          <w:rFonts w:eastAsia="Times New Roman"/>
        </w:rPr>
        <w:t>Candidate：Guo Zijian</w:t>
      </w:r>
    </w:p>
    <w:p w14:paraId="1215CF96">
      <w:pPr>
        <w:spacing w:before="50" w:after="50" w:line="360" w:lineRule="auto"/>
        <w:jc w:val="center"/>
        <w:rPr>
          <w:b/>
          <w:sz w:val="28"/>
          <w:szCs w:val="28"/>
        </w:rPr>
      </w:pPr>
      <w:r>
        <w:rPr>
          <w:rFonts w:eastAsia="Times New Roman"/>
        </w:rPr>
        <w:t>Supervisor：Ma Liping</w:t>
      </w:r>
    </w:p>
    <w:p w14:paraId="69C96769">
      <w:pPr>
        <w:spacing w:before="50" w:after="50" w:line="360" w:lineRule="auto"/>
        <w:ind w:firstLine="199" w:firstLineChars="83"/>
      </w:pPr>
    </w:p>
    <w:p w14:paraId="18CB7AC6">
      <w:pPr>
        <w:jc w:val="center"/>
        <w:rPr>
          <w:sz w:val="36"/>
          <w:szCs w:val="36"/>
        </w:rPr>
      </w:pPr>
      <w:r>
        <w:rPr>
          <w:rFonts w:eastAsia="Times New Roman"/>
        </w:rPr>
        <w:t>Mar. 20th, 2026</w:t>
      </w:r>
    </w:p>
    <w:p w14:paraId="0A9C3EAF">
      <w:pPr>
        <w:pageBreakBefore/>
        <w:jc w:val="center"/>
        <w:rPr>
          <w:rFonts w:hint="eastAsia" w:ascii="宋体" w:hAnsi="宋体" w:cs="宋体"/>
          <w:b/>
          <w:sz w:val="44"/>
          <w:szCs w:val="44"/>
        </w:rPr>
      </w:pPr>
      <w:r>
        <w:rPr>
          <w:rFonts w:hint="eastAsia" w:ascii="宋体" w:hAnsi="宋体" w:cs="宋体"/>
          <w:b/>
          <w:sz w:val="44"/>
          <w:szCs w:val="44"/>
          <w:lang w:bidi="ar"/>
        </w:rPr>
        <w:t>郑重声明</w:t>
      </w:r>
    </w:p>
    <w:p w14:paraId="271D75E6">
      <w:pPr>
        <w:rPr>
          <w:rFonts w:hint="eastAsia" w:ascii="仿宋_GB2312" w:hAnsi="宋体" w:eastAsia="仿宋_GB2312" w:cs="仿宋_GB2312"/>
          <w:color w:val="FF0000"/>
          <w:szCs w:val="21"/>
        </w:rPr>
      </w:pPr>
    </w:p>
    <w:p w14:paraId="3040C67B">
      <w:pPr>
        <w:rPr>
          <w:rFonts w:hint="eastAsia" w:ascii="宋体" w:hAnsi="宋体" w:cs="宋体"/>
          <w:b/>
          <w:sz w:val="36"/>
          <w:szCs w:val="36"/>
        </w:rPr>
      </w:pPr>
      <w:r>
        <w:rPr>
          <w:rFonts w:hint="eastAsia" w:ascii="宋体" w:hAnsi="宋体" w:cs="宋体"/>
          <w:sz w:val="28"/>
          <w:szCs w:val="28"/>
          <w:lang w:bidi="ar"/>
        </w:rPr>
        <w:t xml:space="preserve">    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14:paraId="400B32ED">
      <w:pPr>
        <w:spacing w:line="480" w:lineRule="exact"/>
        <w:ind w:firstLine="560" w:firstLineChars="200"/>
        <w:rPr>
          <w:rFonts w:hint="eastAsia" w:ascii="宋体" w:hAnsi="宋体" w:cs="宋体"/>
          <w:sz w:val="28"/>
          <w:szCs w:val="28"/>
        </w:rPr>
      </w:pPr>
      <w:r>
        <w:rPr>
          <w:rFonts w:hint="eastAsia" w:ascii="宋体" w:hAnsi="宋体" w:cs="宋体"/>
          <w:sz w:val="28"/>
          <w:szCs w:val="28"/>
          <w:lang w:bidi="ar"/>
        </w:rPr>
        <w:t xml:space="preserve">毕业论文（设计）成果归上海立达学院所有。 </w:t>
      </w:r>
    </w:p>
    <w:tbl>
      <w:tblPr>
        <w:tblStyle w:val="21"/>
        <w:tblpPr w:leftFromText="180" w:rightFromText="180" w:vertAnchor="text" w:horzAnchor="page" w:tblpX="5787" w:tblpY="235"/>
        <w:tblOverlap w:val="never"/>
        <w:tblW w:w="0" w:type="auto"/>
        <w:tblInd w:w="0" w:type="dxa"/>
        <w:tblLayout w:type="fixed"/>
        <w:tblCellMar>
          <w:top w:w="0" w:type="dxa"/>
          <w:left w:w="108" w:type="dxa"/>
          <w:bottom w:w="0" w:type="dxa"/>
          <w:right w:w="108" w:type="dxa"/>
        </w:tblCellMar>
      </w:tblPr>
      <w:tblGrid>
        <w:gridCol w:w="1575"/>
        <w:gridCol w:w="540"/>
        <w:gridCol w:w="3342"/>
      </w:tblGrid>
      <w:tr w14:paraId="65AF4BA0">
        <w:tblPrEx>
          <w:tblCellMar>
            <w:top w:w="0" w:type="dxa"/>
            <w:left w:w="108" w:type="dxa"/>
            <w:bottom w:w="0" w:type="dxa"/>
            <w:right w:w="108" w:type="dxa"/>
          </w:tblCellMar>
        </w:tblPrEx>
        <w:trPr>
          <w:trHeight w:val="740" w:hRule="atLeast"/>
        </w:trPr>
        <w:tc>
          <w:tcPr>
            <w:tcW w:w="1575" w:type="dxa"/>
            <w:vAlign w:val="bottom"/>
          </w:tcPr>
          <w:p w14:paraId="04A96F56">
            <w:pPr>
              <w:spacing w:line="440" w:lineRule="exact"/>
              <w:rPr>
                <w:rFonts w:hint="eastAsia" w:ascii="仿宋_GB2312" w:hAnsi="宋体" w:eastAsia="仿宋_GB2312"/>
                <w:sz w:val="30"/>
                <w:szCs w:val="30"/>
              </w:rPr>
            </w:pPr>
            <w:r>
              <w:rPr>
                <w:rFonts w:hint="eastAsia" w:ascii="仿宋_GB2312" w:hAnsi="宋体"/>
                <w:szCs w:val="30"/>
              </w:rPr>
              <w:t>作者专业</w:t>
            </w:r>
          </w:p>
        </w:tc>
        <w:tc>
          <w:tcPr>
            <w:tcW w:w="540" w:type="dxa"/>
            <w:vAlign w:val="bottom"/>
          </w:tcPr>
          <w:p w14:paraId="7320F27B">
            <w:pPr>
              <w:spacing w:line="440" w:lineRule="exact"/>
              <w:rPr>
                <w:rFonts w:hint="eastAsia" w:ascii="仿宋_GB2312" w:hAnsi="宋体" w:eastAsia="仿宋_GB2312"/>
                <w:sz w:val="30"/>
                <w:szCs w:val="30"/>
              </w:rPr>
            </w:pPr>
            <w:r>
              <w:rPr>
                <w:rFonts w:hint="eastAsia" w:ascii="仿宋_GB2312" w:hAnsi="宋体"/>
                <w:szCs w:val="30"/>
              </w:rPr>
              <w:t>：</w:t>
            </w:r>
          </w:p>
        </w:tc>
        <w:tc>
          <w:tcPr>
            <w:tcW w:w="3342" w:type="dxa"/>
            <w:vAlign w:val="bottom"/>
          </w:tcPr>
          <w:p w14:paraId="52035A62">
            <w:pPr>
              <w:spacing w:line="440" w:lineRule="exact"/>
              <w:rPr>
                <w:rFonts w:hint="eastAsia" w:ascii="仿宋_GB2312" w:hAnsi="宋体"/>
                <w:b/>
                <w:szCs w:val="30"/>
              </w:rPr>
            </w:pPr>
            <w:r>
              <w:rPr>
                <w:rFonts w:hint="eastAsia" w:ascii="仿宋_GB2312" w:hAnsi="宋体"/>
                <w:b/>
                <w:szCs w:val="30"/>
              </w:rPr>
              <w:t>数据科学与大数据技术</w:t>
            </w:r>
          </w:p>
        </w:tc>
      </w:tr>
      <w:tr w14:paraId="7BA404A7">
        <w:tblPrEx>
          <w:tblCellMar>
            <w:top w:w="0" w:type="dxa"/>
            <w:left w:w="108" w:type="dxa"/>
            <w:bottom w:w="0" w:type="dxa"/>
            <w:right w:w="108" w:type="dxa"/>
          </w:tblCellMar>
        </w:tblPrEx>
        <w:trPr>
          <w:trHeight w:val="740" w:hRule="atLeast"/>
        </w:trPr>
        <w:tc>
          <w:tcPr>
            <w:tcW w:w="1575" w:type="dxa"/>
            <w:vAlign w:val="bottom"/>
          </w:tcPr>
          <w:p w14:paraId="10F513CB">
            <w:pPr>
              <w:spacing w:line="440" w:lineRule="exact"/>
              <w:rPr>
                <w:rFonts w:hint="eastAsia" w:ascii="仿宋_GB2312" w:hAnsi="宋体" w:eastAsia="仿宋_GB2312"/>
                <w:sz w:val="30"/>
                <w:szCs w:val="30"/>
              </w:rPr>
            </w:pPr>
            <w:r>
              <w:rPr>
                <w:rFonts w:hint="eastAsia" w:ascii="仿宋_GB2312" w:hAnsi="宋体"/>
                <w:szCs w:val="30"/>
              </w:rPr>
              <w:t>作者学号</w:t>
            </w:r>
          </w:p>
        </w:tc>
        <w:tc>
          <w:tcPr>
            <w:tcW w:w="540" w:type="dxa"/>
            <w:vAlign w:val="bottom"/>
          </w:tcPr>
          <w:p w14:paraId="2504FDFB">
            <w:pPr>
              <w:spacing w:line="440" w:lineRule="exact"/>
              <w:rPr>
                <w:rFonts w:hint="eastAsia" w:ascii="仿宋_GB2312" w:hAnsi="宋体" w:eastAsia="仿宋_GB2312"/>
                <w:sz w:val="30"/>
                <w:szCs w:val="30"/>
              </w:rPr>
            </w:pPr>
            <w:r>
              <w:rPr>
                <w:rFonts w:hint="eastAsia" w:ascii="仿宋_GB2312" w:hAnsi="宋体"/>
                <w:szCs w:val="30"/>
              </w:rPr>
              <w:t>：</w:t>
            </w:r>
          </w:p>
        </w:tc>
        <w:tc>
          <w:tcPr>
            <w:tcW w:w="3342" w:type="dxa"/>
            <w:vAlign w:val="bottom"/>
          </w:tcPr>
          <w:p w14:paraId="4B90589B">
            <w:pPr>
              <w:spacing w:line="440" w:lineRule="exact"/>
              <w:rPr>
                <w:rFonts w:hint="eastAsia" w:ascii="仿宋_GB2312" w:hAnsi="宋体"/>
                <w:b/>
                <w:szCs w:val="30"/>
              </w:rPr>
            </w:pPr>
            <w:r>
              <w:rPr>
                <w:rFonts w:hint="eastAsia" w:ascii="仿宋_GB2312" w:hAnsi="宋体"/>
                <w:b/>
                <w:szCs w:val="30"/>
              </w:rPr>
              <w:t>202109423</w:t>
            </w:r>
          </w:p>
        </w:tc>
      </w:tr>
      <w:tr w14:paraId="7F9E3699">
        <w:tblPrEx>
          <w:tblCellMar>
            <w:top w:w="0" w:type="dxa"/>
            <w:left w:w="108" w:type="dxa"/>
            <w:bottom w:w="0" w:type="dxa"/>
            <w:right w:w="108" w:type="dxa"/>
          </w:tblCellMar>
        </w:tblPrEx>
        <w:trPr>
          <w:trHeight w:val="740" w:hRule="atLeast"/>
        </w:trPr>
        <w:tc>
          <w:tcPr>
            <w:tcW w:w="1575" w:type="dxa"/>
            <w:vAlign w:val="bottom"/>
          </w:tcPr>
          <w:p w14:paraId="5E536C68">
            <w:pPr>
              <w:spacing w:line="440" w:lineRule="exact"/>
              <w:rPr>
                <w:rFonts w:hint="eastAsia" w:ascii="仿宋_GB2312" w:hAnsi="宋体" w:eastAsia="仿宋_GB2312"/>
                <w:sz w:val="30"/>
                <w:szCs w:val="30"/>
              </w:rPr>
            </w:pPr>
            <w:r>
              <w:rPr>
                <w:rFonts w:hint="eastAsia" w:ascii="仿宋_GB2312" w:hAnsi="宋体"/>
                <w:szCs w:val="30"/>
              </w:rPr>
              <w:t>作者签名</w:t>
            </w:r>
          </w:p>
        </w:tc>
        <w:tc>
          <w:tcPr>
            <w:tcW w:w="540" w:type="dxa"/>
            <w:vAlign w:val="bottom"/>
          </w:tcPr>
          <w:p w14:paraId="4172C7CB">
            <w:pPr>
              <w:spacing w:line="440" w:lineRule="exact"/>
              <w:rPr>
                <w:rFonts w:hint="eastAsia" w:ascii="仿宋_GB2312" w:hAnsi="宋体" w:eastAsia="仿宋_GB2312"/>
                <w:sz w:val="30"/>
                <w:szCs w:val="30"/>
              </w:rPr>
            </w:pPr>
            <w:r>
              <w:rPr>
                <w:rFonts w:hint="eastAsia" w:ascii="仿宋_GB2312" w:hAnsi="宋体"/>
                <w:szCs w:val="30"/>
              </w:rPr>
              <w:t>：</w:t>
            </w:r>
          </w:p>
        </w:tc>
        <w:tc>
          <w:tcPr>
            <w:tcW w:w="3342" w:type="dxa"/>
            <w:vAlign w:val="bottom"/>
          </w:tcPr>
          <w:p w14:paraId="6B6793CE">
            <w:pPr>
              <w:spacing w:line="440" w:lineRule="exact"/>
              <w:ind w:firstLine="723" w:firstLineChars="300"/>
              <w:rPr>
                <w:rFonts w:hint="eastAsia" w:ascii="仿宋_GB2312" w:hAnsi="宋体"/>
                <w:b/>
                <w:szCs w:val="30"/>
              </w:rPr>
            </w:pPr>
          </w:p>
        </w:tc>
      </w:tr>
      <w:tr w14:paraId="5121CED0">
        <w:tblPrEx>
          <w:tblCellMar>
            <w:top w:w="0" w:type="dxa"/>
            <w:left w:w="108" w:type="dxa"/>
            <w:bottom w:w="0" w:type="dxa"/>
            <w:right w:w="108" w:type="dxa"/>
          </w:tblCellMar>
        </w:tblPrEx>
        <w:trPr>
          <w:trHeight w:val="740" w:hRule="atLeast"/>
        </w:trPr>
        <w:tc>
          <w:tcPr>
            <w:tcW w:w="5457" w:type="dxa"/>
            <w:gridSpan w:val="3"/>
            <w:vAlign w:val="bottom"/>
          </w:tcPr>
          <w:p w14:paraId="73A19A05">
            <w:pPr>
              <w:spacing w:line="440" w:lineRule="exact"/>
              <w:rPr>
                <w:rFonts w:hint="eastAsia" w:ascii="仿宋_GB2312" w:hAnsi="宋体"/>
                <w:b/>
                <w:szCs w:val="30"/>
              </w:rPr>
            </w:pPr>
          </w:p>
          <w:p w14:paraId="199E9732">
            <w:pPr>
              <w:spacing w:line="440" w:lineRule="exact"/>
              <w:rPr>
                <w:rFonts w:hint="eastAsia" w:ascii="仿宋_GB2312" w:hAnsi="宋体"/>
                <w:b/>
                <w:szCs w:val="30"/>
              </w:rPr>
            </w:pPr>
          </w:p>
          <w:p w14:paraId="741B29DC">
            <w:pPr>
              <w:spacing w:line="440" w:lineRule="exact"/>
              <w:rPr>
                <w:rFonts w:hint="eastAsia" w:ascii="仿宋_GB2312" w:hAnsi="宋体"/>
                <w:b/>
                <w:szCs w:val="30"/>
              </w:rPr>
            </w:pPr>
            <w:r>
              <w:rPr>
                <w:rFonts w:hint="eastAsia" w:ascii="仿宋_GB2312" w:hAnsi="宋体"/>
                <w:b/>
                <w:szCs w:val="30"/>
              </w:rPr>
              <w:t>年  月  日</w:t>
            </w:r>
            <w:r>
              <w:rPr>
                <w:rFonts w:hint="eastAsia" w:ascii="仿宋_GB2312" w:hAnsi="宋体"/>
                <w:szCs w:val="30"/>
              </w:rPr>
              <w:t>（手填时间）</w:t>
            </w:r>
          </w:p>
        </w:tc>
      </w:tr>
    </w:tbl>
    <w:p w14:paraId="3658FD78">
      <w:pPr>
        <w:rPr>
          <w:szCs w:val="24"/>
          <w:lang w:bidi="ar"/>
        </w:rPr>
        <w:sectPr>
          <w:footerReference w:type="default" r:id="rId32"/>
          <w:pgSz w:w="11906" w:h="16838"/>
          <w:pgMar w:top="1417" w:right="1701" w:bottom="1134" w:left="1701" w:header="850" w:footer="850" w:gutter="0"/>
          <w:cols w:space="720" w:num="1"/>
          <w:titlePg/>
          <w:docGrid w:type="lines" w:linePitch="312" w:charSpace="0"/>
          <w:pgNumType w:fmt="upperRoman"/>
        </w:sectPr>
      </w:pPr>
    </w:p>
    <w:p w14:paraId="26F323E6">
      <w:pPr>
        <w:widowControl/>
        <w:spacing w:line="640" w:lineRule="exact"/>
        <w:ind w:firstLine="0"/>
        <w:jc w:val="center"/>
        <w:rPr>
          <w:rFonts w:hint="eastAsia" w:ascii="黑体" w:hAnsi="宋体" w:eastAsia="黑体" w:cs="黑体"/>
          <w:bCs/>
          <w:kern w:val="0"/>
          <w:sz w:val="44"/>
          <w:szCs w:val="44"/>
          <w:lang w:bidi="ar"/>
        </w:rPr>
      </w:pPr>
      <w:r>
        <w:rPr>
          <w:rFonts w:hint="eastAsia" w:ascii="Times New Roman" w:hAnsi="Times New Roman" w:eastAsia="黑体" w:cs="黑体"/>
          <w:b/>
          <w:bCs/>
          <w:kern w:val="0"/>
          <w:sz w:val="44"/>
          <w:szCs w:val="44"/>
          <w:lang w:bidi="ar"/>
        </w:rPr>
        <w:t>中国金融期货大数据分析与风险评估系统设计与实现</w:t>
      </w:r>
    </w:p>
    <w:p w14:paraId="58B50073">
      <w:pPr>
        <w:widowControl/>
        <w:spacing w:line="640" w:lineRule="exact"/>
        <w:jc w:val="center"/>
        <w:rPr>
          <w:rFonts w:hint="eastAsia" w:ascii="仿宋_GB2312" w:hAnsi="宋体" w:eastAsia="仿宋_GB2312" w:cs="仿宋_GB2312"/>
          <w:color w:val="FF0000"/>
          <w:szCs w:val="21"/>
          <w:lang w:bidi="ar"/>
        </w:rPr>
      </w:pPr>
      <w:r>
        <w:rPr>
          <w:rFonts w:hint="eastAsia" w:ascii="黑体" w:hAnsi="宋体" w:eastAsia="黑体" w:cs="黑体"/>
          <w:sz w:val="36"/>
          <w:szCs w:val="36"/>
          <w:lang w:bidi="ar"/>
        </w:rPr>
        <w:t xml:space="preserve">                     </w:t>
      </w:r>
    </w:p>
    <w:p w14:paraId="32DF2A13">
      <w:pPr>
        <w:widowControl/>
        <w:spacing w:line="640" w:lineRule="exact"/>
        <w:ind w:firstLine="0"/>
        <w:jc w:val="center"/>
        <w:rPr>
          <w:rFonts w:hint="eastAsia" w:ascii="黑体" w:hAnsi="宋体" w:eastAsia="黑体" w:cs="黑体"/>
          <w:sz w:val="36"/>
          <w:szCs w:val="36"/>
          <w:lang w:bidi="ar"/>
        </w:rPr>
      </w:pPr>
      <w:r>
        <w:rPr>
          <w:rFonts w:ascii="Times New Roman" w:hAnsi="Times New Roman" w:eastAsia="黑体"/>
          <w:b/>
          <w:sz w:val="36"/>
        </w:rPr>
        <w:t>摘要</w:t>
      </w:r>
    </w:p>
    <w:p w14:paraId="365DDCC4">
      <w:pPr>
        <w:widowControl/>
        <w:spacing w:line="640" w:lineRule="exact"/>
        <w:jc w:val="center"/>
        <w:rPr>
          <w:rFonts w:hint="eastAsia" w:ascii="黑体" w:hAnsi="宋体" w:eastAsia="黑体" w:cs="黑体"/>
          <w:sz w:val="36"/>
          <w:szCs w:val="36"/>
          <w:lang w:bidi="ar"/>
        </w:rPr>
      </w:pPr>
    </w:p>
    <w:p w14:paraId="69224A9E">
      <w:pPr>
        <w:spacing w:lineRule="exact" w:line="460" w:before="0" w:after="0"/>
        <w:ind w:firstLineChars="200" w:firstLine="420"/>
        <w:jc w:val="both"/>
      </w:pPr>
      <w:r>
        <w:rPr>
          <w:rFonts w:ascii="Times New Roman" w:hAnsi="Times New Roman" w:eastAsia="宋体"/>
          <w:sz w:val="24"/>
        </w:rPr>
        <w:t>在金融市场波动加剧和股指期货风险管理需求持续上升的背景下，利用大数据技术对金融期货行情进行持续监测、结构化存储和量化分析具有现实意义。针对公开行情来源分散、字段格式不统一、盘后分析链路割裂等问题，本文以中国金融期货交易所 IF（沪深300）、IH（上证50）、IC（中证500）和 IM（中证1000）四类股指期货为研究对象，设计并实现中国金融期货大数据分析与风险评估系统。</w:t>
      </w:r>
    </w:p>
    <w:p w14:paraId="2DDAD4FE">
      <w:pPr>
        <w:spacing w:lineRule="exact" w:line="460" w:before="0" w:after="0"/>
        <w:ind w:firstLineChars="200" w:firstLine="420"/>
        <w:jc w:val="both"/>
      </w:pPr>
      <w:r>
        <w:rPr>
          <w:rFonts w:ascii="Times New Roman" w:hAnsi="Times New Roman" w:eastAsia="宋体"/>
          <w:sz w:val="24"/>
        </w:rPr>
        <w:t>系统存储层采用 DuckDB 与 Parquet 结合的轻量数据仓方案，开发层采用 FastAPI 异步接口框架和 Streamlit 前端展示技术。核心功能包括官方行情采集、主力连续序列构建、EWMA 波动率预测、历史模拟法风险价值（Value at Risk，VaR）计算、宏观相关性分析和数据可视化。实验结果表明，系统已采集 2025 年 12 月至 2026 年 3 月的真实行情数据，形成 912 条期货日频记录和 228 条主力连续记录；在 95% 置信水平、1 天持有期和 60 日回溯窗口下能够输出 VaR 结果。API 功能验证与压力测试均可正常返回，主要分析接口 50 次连续请求的 95 分位响应时间低于 220 ms，DuckDB 百万级模拟扫描聚合平均耗时约 0.0047 s，能够支持多维度可视化分析。</w:t>
      </w:r>
      <w:r>
        <w:rPr>
          <w:rFonts w:ascii="Times New Roman" w:hAnsi="Times New Roman" w:eastAsia="宋体"/>
          <w:sz w:val="24"/>
        </w:rPr>
      </w:r>
      <w:r>
        <w:rPr>
          <w:rFonts w:ascii="Times New Roman" w:hAnsi="Times New Roman" w:eastAsia="宋体"/>
          <w:sz w:val="24"/>
        </w:rPr>
      </w:r>
    </w:p>
    <w:p w14:paraId="49EB1814">
      <w:pPr>
        <w:ind w:firstLineChars="200"/>
        <w:rPr>
          <w:rFonts w:hint="eastAsia" w:ascii="仿宋_GB2312" w:hAnsi="宋体" w:eastAsia="仿宋_GB2312" w:cs="宋体"/>
          <w:color w:val="222222"/>
          <w:kern w:val="0"/>
          <w:sz w:val="28"/>
          <w:szCs w:val="28"/>
        </w:rPr>
      </w:pPr>
      <w:r/>
    </w:p>
    <w:p w14:paraId="5B079F0A">
      <w:pPr>
        <w:rPr>
          <w:rFonts w:hint="eastAsia" w:ascii="仿宋_GB2312" w:hAnsi="宋体" w:eastAsia="仿宋_GB2312" w:cs="仿宋_GB2312"/>
          <w:color w:val="FF0000"/>
          <w:szCs w:val="21"/>
          <w:lang w:bidi="ar"/>
        </w:rPr>
      </w:pPr>
    </w:p>
    <w:p w14:paraId="4E6D326D">
      <w:pPr>
        <w:spacing w:lineRule="exact" w:line="460" w:before="0" w:after="0"/>
        <w:ind w:firstLine="0"/>
        <w:jc w:val="left"/>
        <w:rPr>
          <w:rFonts w:hint="eastAsia" w:ascii="黑体" w:hAnsi="宋体" w:eastAsia="黑体" w:cs="黑体"/>
          <w:szCs w:val="24"/>
        </w:rPr>
      </w:pPr>
      <w:r>
        <w:rPr>
          <w:rFonts w:ascii="Times New Roman" w:hAnsi="Times New Roman" w:eastAsia="黑体"/>
          <w:b/>
          <w:sz w:val="24"/>
        </w:rPr>
        <w:t>关键词：</w:t>
      </w:r>
      <w:r>
        <w:rPr>
          <w:rFonts w:ascii="Times New Roman" w:hAnsi="Times New Roman" w:eastAsia="宋体"/>
          <w:b w:val="0"/>
          <w:sz w:val="24"/>
        </w:rPr>
        <w:t>金融期货；大数据分析；波动率预测；风险价值（VaR）；DuckDB；数据可视化</w:t>
      </w:r>
    </w:p>
    <w:p w14:paraId="2D6E55CF">
      <w:pPr>
        <w:rPr>
          <w:rFonts w:hint="eastAsia" w:ascii="黑体" w:hAnsi="宋体" w:eastAsia="黑体" w:cs="黑体"/>
          <w:szCs w:val="24"/>
        </w:rPr>
      </w:pPr>
      <w:r>
        <w:rPr>
          <w:rFonts w:hint="eastAsia" w:ascii="黑体" w:hAnsi="宋体" w:eastAsia="黑体" w:cs="黑体"/>
          <w:szCs w:val="24"/>
        </w:rPr>
        <w:br w:type="page"/>
      </w:r>
    </w:p>
    <w:p w14:paraId="7CDEB2D9">
      <w:pPr>
        <w:spacing w:before="50" w:after="50" w:line="440" w:lineRule="exact"/>
        <w:ind w:firstLine="0"/>
        <w:jc w:val="center"/>
        <w:rPr>
          <w:b/>
          <w:sz w:val="44"/>
          <w:szCs w:val="44"/>
        </w:rPr>
      </w:pPr>
      <w:r>
        <w:rPr>
          <w:rFonts w:ascii="Times New Roman" w:hAnsi="Times New Roman" w:eastAsia="Times New Roman"/>
          <w:b/>
          <w:sz w:val="32"/>
        </w:rPr>
        <w:t>Design and Implementation of a Big Data Analytics</w:t>
        <w:br/>
        <w:t>and Risk Assessment System for Chinese Financial Futures</w:t>
      </w:r>
    </w:p>
    <w:p w14:paraId="06802812">
      <w:pPr>
        <w:rPr>
          <w:rFonts w:ascii="仿宋_GB2312" w:eastAsia="仿宋_GB2312" w:cs="仿宋_GB2312"/>
          <w:color w:val="FF0000"/>
          <w:szCs w:val="21"/>
          <w:lang w:bidi="ar"/>
        </w:rPr>
      </w:pPr>
    </w:p>
    <w:p w14:paraId="7D8DEA1D">
      <w:pPr>
        <w:spacing w:lineRule="exact" w:line="460"/>
        <w:ind w:firstLine="0"/>
        <w:jc w:val="center"/>
        <w:rPr>
          <w:rFonts w:eastAsia="黑体"/>
          <w:b/>
          <w:sz w:val="36"/>
          <w:szCs w:val="36"/>
          <w:lang w:bidi="ar"/>
        </w:rPr>
      </w:pPr>
      <w:r>
        <w:rPr>
          <w:rFonts w:eastAsia="Times New Roman" w:ascii="Times New Roman" w:hAnsi="Times New Roman"/>
          <w:b/>
          <w:sz w:val="36"/>
          <w:szCs w:val="36"/>
          <w:lang w:bidi="ar"/>
        </w:rPr>
        <w:t>ABSTRACT</w:t>
      </w:r>
    </w:p>
    <w:p w14:paraId="485B67DA">
      <w:pPr>
        <w:jc w:val="center"/>
        <w:rPr>
          <w:rFonts w:eastAsia="黑体"/>
          <w:b/>
          <w:sz w:val="36"/>
          <w:szCs w:val="36"/>
          <w:lang w:bidi="ar"/>
        </w:rPr>
      </w:pPr>
    </w:p>
    <w:p w14:paraId="75ABDFD9">
      <w:pPr>
        <w:spacing w:lineRule="exact" w:line="460" w:before="0" w:after="0"/>
        <w:ind w:firstLineChars="200" w:firstLine="420"/>
        <w:jc w:val="both"/>
        <w:rPr>
          <w:rFonts w:eastAsia="仿宋_GB2312"/>
          <w:szCs w:val="24"/>
          <w:lang w:bidi="ar"/>
        </w:rPr>
      </w:pPr>
      <w:r>
        <w:rPr>
          <w:rFonts w:eastAsia="Times New Roman" w:ascii="Times New Roman" w:hAnsi="Times New Roman"/>
          <w:sz w:val="24"/>
        </w:rPr>
        <w:t>Against the background of increasing financial market volatility, continuous monitoring and risk assessment of financial futures are important for financial engineering practice. To solve the problems of scattered public data sources, inconsistent structures, and fragmented post-market analysis workflows, this thesis designs and implements a big data analytics and risk assessment system for Chinese financial futures, covering IF (CSI 300), IH (SSE 50), IC (CSI 500), and IM (CSI 1000) stock index futures listed on the China Financial Futures Exchange.</w:t>
      </w:r>
      <w:r>
        <w:rPr>
          <w:rFonts w:eastAsia="Times New Roman" w:ascii="Times New Roman" w:hAnsi="Times New Roman"/>
          <w:sz w:val="24"/>
        </w:rPr>
      </w:r>
      <w:r>
        <w:rPr>
          <w:rFonts w:eastAsia="Times New Roman" w:ascii="Times New Roman" w:hAnsi="Times New Roman"/>
          <w:sz w:val="24"/>
        </w:rPr>
      </w:r>
      <w:r>
        <w:rPr>
          <w:rFonts w:eastAsia="Times New Roman" w:ascii="Times New Roman" w:hAnsi="Times New Roman"/>
          <w:sz w:val="24"/>
        </w:rPr>
      </w:r>
      <w:r>
        <w:rPr>
          <w:rFonts w:eastAsia="Times New Roman" w:ascii="Times New Roman" w:hAnsi="Times New Roman"/>
          <w:sz w:val="24"/>
        </w:rPr>
      </w:r>
      <w:r>
        <w:rPr>
          <w:rFonts w:eastAsia="Times New Roman" w:ascii="Times New Roman" w:hAnsi="Times New Roman"/>
          <w:sz w:val="24"/>
        </w:rPr>
      </w:r>
      <w:r>
        <w:rPr>
          <w:rFonts w:eastAsia="Times New Roman" w:ascii="Times New Roman" w:hAnsi="Times New Roman"/>
          <w:sz w:val="24"/>
        </w:rPr>
      </w:r>
    </w:p>
    <w:p>
      <w:pPr>
        <w:spacing w:lineRule="exact" w:line="460" w:before="0" w:after="0"/>
        <w:ind w:firstLine="420"/>
        <w:jc w:val="both"/>
      </w:pPr>
      <w:r>
        <w:rPr>
          <w:rFonts w:ascii="Times New Roman" w:hAnsi="Times New Roman" w:eastAsia="Times New Roman"/>
          <w:sz w:val="24"/>
        </w:rPr>
        <w:t>At the storage layer, DuckDB and Parquet support high-performance local analytical queries. At the development layer, FastAPI provides asynchronous analytical APIs, while Streamlit builds the visualization front end. The core functions include official data collection, main contract construction, EWMA volatility forecasting, historical simulation Value at Risk (VaR) calculation, macro-factor correlation analysis, and data visualization. The system collected real market data from December 2025 to March 2026, including 912 daily futures records and 228 main-contract records. With a 95% confidence level, a one-day holding period, and a 60-day lookback window, it can generate VaR results. API stress testing shows that the 95th percentile response time of major analytical interfaces is below 220 ms, and a DuckDB simulated million-row aggregation test took about 0.0047 seconds on average.</w:t>
      </w:r>
    </w:p>
    <w:p w14:paraId="5DB776E0">
      <w:pPr>
        <w:rPr>
          <w:rFonts w:hint="eastAsia" w:ascii="仿宋_GB2312" w:hAnsi="宋体" w:eastAsia="仿宋_GB2312" w:cs="仿宋_GB2312"/>
          <w:color w:val="FF0000"/>
          <w:szCs w:val="21"/>
          <w:lang w:bidi="ar"/>
        </w:rPr>
      </w:pPr>
    </w:p>
    <w:p w14:paraId="625850B5">
      <w:pPr>
        <w:spacing w:lineRule="exact" w:line="460" w:before="0" w:after="0"/>
        <w:ind w:firstLine="0"/>
        <w:jc w:val="left"/>
        <w:rPr>
          <w:rFonts w:eastAsia="仿宋_GB2312"/>
          <w:szCs w:val="24"/>
          <w:lang w:bidi="ar"/>
        </w:rPr>
      </w:pPr>
      <w:r>
        <w:rPr>
          <w:rFonts w:ascii="Times New Roman" w:hAnsi="Times New Roman" w:eastAsia="Times New Roman"/>
          <w:b/>
          <w:sz w:val="24"/>
        </w:rPr>
        <w:t xml:space="preserve">Key words: </w:t>
      </w:r>
      <w:r>
        <w:rPr>
          <w:rFonts w:ascii="Times New Roman" w:hAnsi="Times New Roman" w:eastAsia="Times New Roman"/>
          <w:b w:val="0"/>
          <w:sz w:val="24"/>
        </w:rPr>
        <w:t>financial futures; big data analytics; volatility forecasting; Value at Risk (VaR); DuckDB; data visualization</w:t>
      </w:r>
    </w:p>
    <w:p w14:paraId="711D07B8">
      <w:pPr>
        <w:spacing w:lineRule="exact" w:line="640"/>
        <w:ind w:firstLine="0"/>
        <w:jc w:val="center"/>
        <w:rPr>
          <w:rFonts w:ascii="黑体" w:eastAsia="黑体" w:cs="黑体"/>
          <w:sz w:val="36"/>
          <w:szCs w:val="36"/>
        </w:rPr>
      </w:pPr>
      <w:r>
        <w:rPr>
          <w:rFonts w:hint="eastAsia" w:ascii="黑体" w:eastAsia="黑体" w:cs="黑体"/>
          <w:bCs/>
          <w:sz w:val="36"/>
          <w:szCs w:val="36"/>
          <w:lang w:val="zh-CN" w:bidi="ar"/>
        </w:rPr>
        <w:br w:type="page"/>
      </w:r>
      <w:r>
        <w:rPr>
          <w:rFonts w:hint="eastAsia" w:ascii="Times New Roman" w:eastAsia="黑体" w:cs="黑体" w:hAnsi="Times New Roman"/>
          <w:b/>
          <w:bCs/>
          <w:sz w:val="36"/>
          <w:szCs w:val="36"/>
          <w:lang w:val="zh-CN" w:bidi="ar"/>
        </w:rPr>
        <w:t>目　录</w:t>
      </w:r>
    </w:p>
    <w:p w14:paraId="4E1E86B6">
      <w:pPr>
        <w:pStyle w:val="17"/>
        <w:tabs>
          <w:tab w:val="right" w:leader="dot" w:pos="8494"/>
        </w:tabs>
        <w:rPr>
          <w:rFonts w:hint="eastAsia" w:asciiTheme="minorHAnsi" w:hAnsiTheme="minorHAnsi" w:eastAsiaTheme="minorEastAsia" w:cstheme="minorBidi"/>
          <w:color w:val="auto"/>
          <w:kern w:val="2"/>
          <w:szCs w:val="24"/>
          <w14:ligatures w14:val="standardContextual"/>
        </w:rPr>
      </w:pPr>
      <w:r>
        <w:rPr>
          <w:rFonts w:ascii="Times New Roman" w:hAnsi="Times New Roman" w:eastAsia="黑体"/>
          <w:b/>
          <w:sz w:val="28"/>
        </w:rPr>
        <w:t>1 绪论</w:t>
        <w:tab/>
        <w:t>1</w:t>
      </w:r>
    </w:p>
    <w:p w14:paraId="0422D082">
      <w:pPr>
        <w:pStyle w:val="18"/>
        <w:tabs>
          <w:tab w:val="right" w:leader="dot" w:pos="8494"/>
        </w:tabs>
        <w:rPr>
          <w:rFonts w:hint="eastAsia" w:asciiTheme="minorHAnsi" w:hAnsiTheme="minorHAnsi" w:eastAsiaTheme="minorEastAsia" w:cstheme="minorBidi"/>
          <w:color w:val="auto"/>
          <w:kern w:val="2"/>
          <w:szCs w:val="24"/>
          <w14:ligatures w14:val="standardContextual"/>
        </w:rPr>
      </w:pPr>
      <w:r>
        <w:rPr>
          <w:rFonts w:ascii="Times New Roman" w:hAnsi="Times New Roman" w:eastAsia="宋体"/>
          <w:b w:val="0"/>
          <w:sz w:val="24"/>
        </w:rPr>
        <w:t>1.1 研究背景与意义</w:t>
        <w:tab/>
        <w:t>1</w:t>
      </w:r>
    </w:p>
    <w:p w14:paraId="46A5BD47">
      <w:pPr>
        <w:pStyle w:val="18"/>
        <w:tabs>
          <w:tab w:val="right" w:leader="dot" w:pos="8494"/>
        </w:tabs>
        <w:rPr>
          <w:rFonts w:hint="eastAsia" w:asciiTheme="minorHAnsi" w:hAnsiTheme="minorHAnsi" w:eastAsiaTheme="minorEastAsia" w:cstheme="minorBidi"/>
          <w:color w:val="auto"/>
          <w:kern w:val="2"/>
          <w:szCs w:val="24"/>
          <w14:ligatures w14:val="standardContextual"/>
        </w:rPr>
      </w:pPr>
      <w:r>
        <w:rPr>
          <w:rFonts w:ascii="Times New Roman" w:hAnsi="Times New Roman" w:eastAsia="宋体"/>
          <w:b w:val="0"/>
          <w:sz w:val="24"/>
        </w:rPr>
        <w:t>1.2 国内外研究现状</w:t>
        <w:tab/>
        <w:t>1</w:t>
      </w:r>
    </w:p>
    <w:p w14:paraId="5F5B3385">
      <w:pPr>
        <w:pStyle w:val="18"/>
        <w:tabs>
          <w:tab w:val="right" w:leader="dot" w:pos="8494"/>
        </w:tabs>
        <w:rPr>
          <w:rFonts w:hint="eastAsia" w:asciiTheme="minorHAnsi" w:hAnsiTheme="minorHAnsi" w:eastAsiaTheme="minorEastAsia" w:cstheme="minorBidi"/>
          <w:color w:val="auto"/>
          <w:kern w:val="2"/>
          <w:szCs w:val="24"/>
          <w14:ligatures w14:val="standardContextual"/>
        </w:rPr>
      </w:pPr>
      <w:r>
        <w:rPr>
          <w:rFonts w:ascii="Times New Roman" w:hAnsi="Times New Roman" w:eastAsia="宋体"/>
          <w:b w:val="0"/>
          <w:sz w:val="24"/>
        </w:rPr>
        <w:t>1.3 研究内容与研究方法</w:t>
        <w:tab/>
        <w:t>3</w:t>
      </w:r>
    </w:p>
    <w:p w14:paraId="48D45047">
      <w:pPr>
        <w:pStyle w:val="18"/>
        <w:tabs>
          <w:tab w:val="right" w:leader="dot" w:pos="8494"/>
        </w:tabs>
        <w:rPr>
          <w:rFonts w:hint="eastAsia" w:asciiTheme="minorHAnsi" w:hAnsiTheme="minorHAnsi" w:eastAsiaTheme="minorEastAsia" w:cstheme="minorBidi"/>
          <w:color w:val="auto"/>
          <w:kern w:val="2"/>
          <w:szCs w:val="24"/>
          <w14:ligatures w14:val="standardContextual"/>
        </w:rPr>
      </w:pPr>
      <w:r>
        <w:rPr>
          <w:rFonts w:ascii="Times New Roman" w:hAnsi="Times New Roman" w:eastAsia="宋体"/>
          <w:b w:val="0"/>
          <w:sz w:val="24"/>
        </w:rPr>
        <w:t>1.4 论文结构安排</w:t>
        <w:tab/>
        <w:t>3</w:t>
      </w:r>
    </w:p>
    <w:p w14:paraId="1418A144">
      <w:pPr>
        <w:pStyle w:val="17"/>
        <w:tabs>
          <w:tab w:val="right" w:leader="dot" w:pos="8494"/>
        </w:tabs>
        <w:rPr>
          <w:rFonts w:hint="eastAsia" w:asciiTheme="minorHAnsi" w:hAnsiTheme="minorHAnsi" w:eastAsiaTheme="minorEastAsia" w:cstheme="minorBidi"/>
          <w:color w:val="auto"/>
          <w:kern w:val="2"/>
          <w:szCs w:val="24"/>
          <w14:ligatures w14:val="standardContextual"/>
        </w:rPr>
      </w:pPr>
      <w:r>
        <w:rPr>
          <w:rFonts w:ascii="Times New Roman" w:hAnsi="Times New Roman" w:eastAsia="黑体"/>
          <w:b/>
          <w:sz w:val="28"/>
        </w:rPr>
        <w:t>2 相关技术与理论基础</w:t>
        <w:tab/>
        <w:t>4</w:t>
      </w:r>
    </w:p>
    <w:p w14:paraId="0FEF6FA5">
      <w:pPr>
        <w:pStyle w:val="18"/>
        <w:tabs>
          <w:tab w:val="right" w:leader="dot" w:pos="8494"/>
        </w:tabs>
        <w:rPr>
          <w:rFonts w:hint="eastAsia" w:asciiTheme="minorHAnsi" w:hAnsiTheme="minorHAnsi" w:eastAsiaTheme="minorEastAsia" w:cstheme="minorBidi"/>
          <w:color w:val="auto"/>
          <w:kern w:val="2"/>
          <w:szCs w:val="24"/>
          <w14:ligatures w14:val="standardContextual"/>
        </w:rPr>
      </w:pPr>
      <w:r>
        <w:rPr>
          <w:rFonts w:ascii="Times New Roman" w:hAnsi="Times New Roman" w:eastAsia="宋体"/>
          <w:b w:val="0"/>
          <w:sz w:val="24"/>
        </w:rPr>
        <w:t>2.1 金融期货盘后分析的数据特征</w:t>
        <w:tab/>
        <w:t>4</w:t>
      </w:r>
    </w:p>
    <w:p w14:paraId="6F9ABA6C">
      <w:pPr>
        <w:pStyle w:val="18"/>
        <w:tabs>
          <w:tab w:val="right" w:leader="dot" w:pos="8494"/>
        </w:tabs>
        <w:rPr>
          <w:rFonts w:hint="eastAsia" w:asciiTheme="minorHAnsi" w:hAnsiTheme="minorHAnsi" w:eastAsiaTheme="minorEastAsia" w:cstheme="minorBidi"/>
          <w:color w:val="auto"/>
          <w:kern w:val="2"/>
          <w:szCs w:val="24"/>
          <w14:ligatures w14:val="standardContextual"/>
        </w:rPr>
      </w:pPr>
      <w:r>
        <w:rPr>
          <w:rFonts w:ascii="Times New Roman" w:hAnsi="Times New Roman" w:eastAsia="宋体"/>
          <w:b w:val="0"/>
          <w:sz w:val="24"/>
        </w:rPr>
        <w:t>2.2 系统实现相关技术</w:t>
        <w:tab/>
        <w:t>4</w:t>
      </w:r>
    </w:p>
    <w:p w14:paraId="1DEEA4E4">
      <w:pPr>
        <w:pStyle w:val="18"/>
        <w:tabs>
          <w:tab w:val="right" w:leader="dot" w:pos="8494"/>
        </w:tabs>
        <w:rPr>
          <w:rFonts w:hint="eastAsia" w:asciiTheme="minorHAnsi" w:hAnsiTheme="minorHAnsi" w:eastAsiaTheme="minorEastAsia" w:cstheme="minorBidi"/>
          <w:color w:val="auto"/>
          <w:kern w:val="2"/>
          <w:szCs w:val="24"/>
          <w14:ligatures w14:val="standardContextual"/>
        </w:rPr>
      </w:pPr>
      <w:r>
        <w:rPr>
          <w:rFonts w:ascii="Times New Roman" w:hAnsi="Times New Roman" w:eastAsia="宋体"/>
          <w:b w:val="0"/>
          <w:sz w:val="24"/>
        </w:rPr>
        <w:t>2.3 波动率与风险度量理论</w:t>
        <w:tab/>
        <w:t>5</w:t>
      </w:r>
    </w:p>
    <w:p w14:paraId="673888C8">
      <w:pPr>
        <w:pStyle w:val="18"/>
        <w:tabs>
          <w:tab w:val="right" w:leader="dot" w:pos="8494"/>
        </w:tabs>
        <w:rPr>
          <w:rFonts w:hint="eastAsia" w:asciiTheme="minorHAnsi" w:hAnsiTheme="minorHAnsi" w:eastAsiaTheme="minorEastAsia" w:cstheme="minorBidi"/>
          <w:color w:val="auto"/>
          <w:kern w:val="2"/>
          <w:szCs w:val="24"/>
          <w14:ligatures w14:val="standardContextual"/>
        </w:rPr>
      </w:pPr>
      <w:r>
        <w:rPr>
          <w:rFonts w:ascii="Times New Roman" w:hAnsi="Times New Roman" w:eastAsia="宋体"/>
          <w:b w:val="0"/>
          <w:sz w:val="24"/>
        </w:rPr>
        <w:t>2.4 本文方案的适用性说明</w:t>
        <w:tab/>
        <w:t>6</w:t>
      </w:r>
    </w:p>
    <w:p w14:paraId="7EE44535">
      <w:pPr>
        <w:pStyle w:val="17"/>
        <w:tabs>
          <w:tab w:val="right" w:leader="dot" w:pos="8494"/>
        </w:tabs>
        <w:rPr>
          <w:rFonts w:hint="eastAsia" w:asciiTheme="minorHAnsi" w:hAnsiTheme="minorHAnsi" w:eastAsiaTheme="minorEastAsia" w:cstheme="minorBidi"/>
          <w:color w:val="auto"/>
          <w:kern w:val="2"/>
          <w:szCs w:val="24"/>
          <w14:ligatures w14:val="standardContextual"/>
        </w:rPr>
      </w:pPr>
      <w:r>
        <w:rPr>
          <w:rFonts w:ascii="Times New Roman" w:hAnsi="Times New Roman" w:eastAsia="黑体"/>
          <w:b/>
          <w:sz w:val="28"/>
        </w:rPr>
        <w:t>3 需求分析与数据资源设计</w:t>
        <w:tab/>
        <w:t>7</w:t>
      </w:r>
    </w:p>
    <w:p w14:paraId="163FF951">
      <w:pPr>
        <w:pStyle w:val="18"/>
        <w:tabs>
          <w:tab w:val="right" w:leader="dot" w:pos="8494"/>
        </w:tabs>
        <w:rPr>
          <w:rFonts w:hint="eastAsia" w:asciiTheme="minorHAnsi" w:hAnsiTheme="minorHAnsi" w:eastAsiaTheme="minorEastAsia" w:cstheme="minorBidi"/>
          <w:color w:val="auto"/>
          <w:kern w:val="2"/>
          <w:szCs w:val="24"/>
          <w14:ligatures w14:val="standardContextual"/>
        </w:rPr>
      </w:pPr>
      <w:r>
        <w:rPr>
          <w:rFonts w:ascii="Times New Roman" w:hAnsi="Times New Roman" w:eastAsia="宋体"/>
          <w:b w:val="0"/>
          <w:sz w:val="24"/>
        </w:rPr>
        <w:t>3.1 系统建设目标</w:t>
        <w:tab/>
        <w:t>7</w:t>
      </w:r>
    </w:p>
    <w:p w14:paraId="2F4C6408">
      <w:pPr>
        <w:pStyle w:val="18"/>
        <w:tabs>
          <w:tab w:val="right" w:leader="dot" w:pos="8494"/>
        </w:tabs>
        <w:rPr>
          <w:rFonts w:hint="eastAsia" w:asciiTheme="minorHAnsi" w:hAnsiTheme="minorHAnsi" w:eastAsiaTheme="minorEastAsia" w:cstheme="minorBidi"/>
          <w:color w:val="auto"/>
          <w:kern w:val="2"/>
          <w:szCs w:val="24"/>
          <w14:ligatures w14:val="standardContextual"/>
        </w:rPr>
      </w:pPr>
      <w:r>
        <w:rPr>
          <w:rFonts w:ascii="Times New Roman" w:hAnsi="Times New Roman" w:eastAsia="宋体"/>
          <w:b w:val="0"/>
          <w:sz w:val="24"/>
        </w:rPr>
        <w:t>3.2 功能需求分析</w:t>
        <w:tab/>
        <w:t>7</w:t>
      </w:r>
    </w:p>
    <w:p w14:paraId="20A644F3">
      <w:pPr>
        <w:pStyle w:val="18"/>
        <w:tabs>
          <w:tab w:val="right" w:leader="dot" w:pos="8494"/>
        </w:tabs>
        <w:rPr>
          <w:rFonts w:hint="eastAsia" w:asciiTheme="minorHAnsi" w:hAnsiTheme="minorHAnsi" w:eastAsiaTheme="minorEastAsia" w:cstheme="minorBidi"/>
          <w:color w:val="auto"/>
          <w:kern w:val="2"/>
          <w:szCs w:val="24"/>
          <w14:ligatures w14:val="standardContextual"/>
        </w:rPr>
      </w:pPr>
      <w:r>
        <w:rPr>
          <w:rFonts w:ascii="Times New Roman" w:hAnsi="Times New Roman" w:eastAsia="宋体"/>
          <w:b w:val="0"/>
          <w:sz w:val="24"/>
        </w:rPr>
        <w:t>3.3 非功能需求分析</w:t>
        <w:tab/>
        <w:t>8</w:t>
      </w:r>
    </w:p>
    <w:p w14:paraId="25AFE10A">
      <w:pPr>
        <w:pStyle w:val="18"/>
        <w:tabs>
          <w:tab w:val="right" w:leader="dot" w:pos="8494"/>
        </w:tabs>
        <w:rPr>
          <w:rFonts w:hint="eastAsia" w:asciiTheme="minorHAnsi" w:hAnsiTheme="minorHAnsi" w:eastAsiaTheme="minorEastAsia" w:cstheme="minorBidi"/>
          <w:color w:val="auto"/>
          <w:kern w:val="2"/>
          <w:szCs w:val="24"/>
          <w14:ligatures w14:val="standardContextual"/>
        </w:rPr>
      </w:pPr>
      <w:r>
        <w:rPr>
          <w:rFonts w:ascii="Times New Roman" w:hAnsi="Times New Roman" w:eastAsia="宋体"/>
          <w:b w:val="0"/>
          <w:sz w:val="24"/>
        </w:rPr>
        <w:t>3.4 数据源设计</w:t>
        <w:tab/>
        <w:t>8</w:t>
      </w:r>
    </w:p>
    <w:p w14:paraId="67591067">
      <w:pPr>
        <w:pStyle w:val="18"/>
        <w:tabs>
          <w:tab w:val="right" w:leader="dot" w:pos="8494"/>
        </w:tabs>
        <w:rPr>
          <w:rFonts w:hint="eastAsia" w:asciiTheme="minorHAnsi" w:hAnsiTheme="minorHAnsi" w:eastAsiaTheme="minorEastAsia" w:cstheme="minorBidi"/>
          <w:color w:val="auto"/>
          <w:kern w:val="2"/>
          <w:szCs w:val="24"/>
          <w14:ligatures w14:val="standardContextual"/>
        </w:rPr>
      </w:pPr>
      <w:r>
        <w:rPr>
          <w:rFonts w:ascii="Times New Roman" w:hAnsi="Times New Roman" w:eastAsia="宋体"/>
          <w:b w:val="0"/>
          <w:sz w:val="24"/>
        </w:rPr>
        <w:t>3.5 数据模型设计</w:t>
        <w:tab/>
        <w:t>9</w:t>
      </w:r>
    </w:p>
    <w:p w14:paraId="5ED71C1A">
      <w:pPr>
        <w:pStyle w:val="17"/>
        <w:tabs>
          <w:tab w:val="right" w:leader="dot" w:pos="8494"/>
        </w:tabs>
        <w:rPr>
          <w:rFonts w:hint="eastAsia" w:asciiTheme="minorHAnsi" w:hAnsiTheme="minorHAnsi" w:eastAsiaTheme="minorEastAsia" w:cstheme="minorBidi"/>
          <w:color w:val="auto"/>
          <w:kern w:val="2"/>
          <w:szCs w:val="24"/>
          <w14:ligatures w14:val="standardContextual"/>
        </w:rPr>
      </w:pPr>
      <w:r>
        <w:rPr>
          <w:rFonts w:ascii="Times New Roman" w:hAnsi="Times New Roman" w:eastAsia="黑体"/>
          <w:b/>
          <w:sz w:val="28"/>
        </w:rPr>
        <w:t>4 系统总体设计</w:t>
        <w:tab/>
        <w:t>10</w:t>
      </w:r>
    </w:p>
    <w:p w14:paraId="7D5E05BB">
      <w:pPr>
        <w:pStyle w:val="18"/>
        <w:tabs>
          <w:tab w:val="right" w:leader="dot" w:pos="8494"/>
        </w:tabs>
        <w:rPr>
          <w:rFonts w:hint="eastAsia" w:asciiTheme="minorHAnsi" w:hAnsiTheme="minorHAnsi" w:eastAsiaTheme="minorEastAsia" w:cstheme="minorBidi"/>
          <w:color w:val="auto"/>
          <w:kern w:val="2"/>
          <w:szCs w:val="24"/>
          <w14:ligatures w14:val="standardContextual"/>
        </w:rPr>
      </w:pPr>
      <w:r>
        <w:rPr>
          <w:rFonts w:ascii="Times New Roman" w:hAnsi="Times New Roman" w:eastAsia="宋体"/>
          <w:b w:val="0"/>
          <w:sz w:val="24"/>
        </w:rPr>
        <w:t>4.1 总体架构设计</w:t>
        <w:tab/>
        <w:t>10</w:t>
      </w:r>
    </w:p>
    <w:p w14:paraId="1B0ED38B">
      <w:pPr>
        <w:pStyle w:val="18"/>
        <w:tabs>
          <w:tab w:val="right" w:leader="dot" w:pos="8494"/>
        </w:tabs>
        <w:rPr>
          <w:rFonts w:hint="eastAsia" w:asciiTheme="minorHAnsi" w:hAnsiTheme="minorHAnsi" w:eastAsiaTheme="minorEastAsia" w:cstheme="minorBidi"/>
          <w:color w:val="auto"/>
          <w:kern w:val="2"/>
          <w:szCs w:val="24"/>
          <w14:ligatures w14:val="standardContextual"/>
        </w:rPr>
      </w:pPr>
      <w:r>
        <w:rPr>
          <w:rFonts w:ascii="Times New Roman" w:hAnsi="Times New Roman" w:eastAsia="宋体"/>
          <w:b w:val="0"/>
          <w:sz w:val="24"/>
        </w:rPr>
        <w:t>4.2 模块划分设计</w:t>
        <w:tab/>
        <w:t>11</w:t>
      </w:r>
    </w:p>
    <w:p w14:paraId="22D631AC">
      <w:pPr>
        <w:pStyle w:val="18"/>
        <w:tabs>
          <w:tab w:val="right" w:leader="dot" w:pos="8494"/>
        </w:tabs>
        <w:rPr>
          <w:rFonts w:hint="eastAsia" w:asciiTheme="minorHAnsi" w:hAnsiTheme="minorHAnsi" w:eastAsiaTheme="minorEastAsia" w:cstheme="minorBidi"/>
          <w:color w:val="auto"/>
          <w:kern w:val="2"/>
          <w:szCs w:val="24"/>
          <w14:ligatures w14:val="standardContextual"/>
        </w:rPr>
      </w:pPr>
      <w:r>
        <w:rPr>
          <w:rFonts w:ascii="Times New Roman" w:hAnsi="Times New Roman" w:eastAsia="宋体"/>
          <w:b w:val="0"/>
          <w:sz w:val="24"/>
        </w:rPr>
        <w:t>4.3 核心数据表设计</w:t>
        <w:tab/>
        <w:t>11</w:t>
      </w:r>
    </w:p>
    <w:p w14:paraId="0E3C537A">
      <w:pPr>
        <w:pStyle w:val="18"/>
        <w:tabs>
          <w:tab w:val="right" w:leader="dot" w:pos="8494"/>
        </w:tabs>
        <w:rPr>
          <w:rFonts w:hint="eastAsia" w:asciiTheme="minorHAnsi" w:hAnsiTheme="minorHAnsi" w:eastAsiaTheme="minorEastAsia" w:cstheme="minorBidi"/>
          <w:color w:val="auto"/>
          <w:kern w:val="2"/>
          <w:szCs w:val="24"/>
          <w14:ligatures w14:val="standardContextual"/>
        </w:rPr>
      </w:pPr>
      <w:r>
        <w:rPr>
          <w:rFonts w:ascii="Times New Roman" w:hAnsi="Times New Roman" w:eastAsia="宋体"/>
          <w:b w:val="0"/>
          <w:sz w:val="24"/>
        </w:rPr>
        <w:t>4.4 API 与页面设计</w:t>
        <w:tab/>
        <w:t>12</w:t>
      </w:r>
    </w:p>
    <w:p w14:paraId="3B5B2771">
      <w:pPr>
        <w:pStyle w:val="17"/>
        <w:tabs>
          <w:tab w:val="right" w:leader="dot" w:pos="8494"/>
        </w:tabs>
        <w:rPr>
          <w:rFonts w:hint="eastAsia" w:asciiTheme="minorHAnsi" w:hAnsiTheme="minorHAnsi" w:eastAsiaTheme="minorEastAsia" w:cstheme="minorBidi"/>
          <w:color w:val="auto"/>
          <w:kern w:val="2"/>
          <w:szCs w:val="24"/>
          <w14:ligatures w14:val="standardContextual"/>
        </w:rPr>
      </w:pPr>
      <w:r>
        <w:rPr>
          <w:rFonts w:ascii="Times New Roman" w:hAnsi="Times New Roman" w:eastAsia="黑体"/>
          <w:b/>
          <w:sz w:val="28"/>
        </w:rPr>
        <w:t>5 系统详细实现与关键技术</w:t>
        <w:tab/>
        <w:t>13</w:t>
      </w:r>
    </w:p>
    <w:p w14:paraId="3304F5C4">
      <w:pPr>
        <w:pStyle w:val="18"/>
        <w:tabs>
          <w:tab w:val="right" w:leader="dot" w:pos="8494"/>
        </w:tabs>
        <w:rPr>
          <w:rFonts w:hint="eastAsia" w:asciiTheme="minorHAnsi" w:hAnsiTheme="minorHAnsi" w:eastAsiaTheme="minorEastAsia" w:cstheme="minorBidi"/>
          <w:color w:val="auto"/>
          <w:kern w:val="2"/>
          <w:szCs w:val="24"/>
          <w14:ligatures w14:val="standardContextual"/>
        </w:rPr>
      </w:pPr>
      <w:r>
        <w:rPr>
          <w:rFonts w:ascii="Times New Roman" w:hAnsi="Times New Roman" w:eastAsia="宋体"/>
          <w:b w:val="0"/>
          <w:sz w:val="24"/>
        </w:rPr>
        <w:t>5.1 数据采集实现</w:t>
        <w:tab/>
        <w:t>13</w:t>
      </w:r>
    </w:p>
    <w:p w14:paraId="60552044">
      <w:pPr>
        <w:pStyle w:val="18"/>
        <w:tabs>
          <w:tab w:val="right" w:leader="dot" w:pos="8494"/>
        </w:tabs>
        <w:rPr>
          <w:rFonts w:hint="eastAsia" w:asciiTheme="minorHAnsi" w:hAnsiTheme="minorHAnsi" w:eastAsiaTheme="minorEastAsia" w:cstheme="minorBidi"/>
          <w:color w:val="auto"/>
          <w:kern w:val="2"/>
          <w:szCs w:val="24"/>
          <w14:ligatures w14:val="standardContextual"/>
        </w:rPr>
      </w:pPr>
      <w:r>
        <w:rPr>
          <w:rFonts w:ascii="Times New Roman" w:hAnsi="Times New Roman" w:eastAsia="宋体"/>
          <w:b w:val="0"/>
          <w:sz w:val="24"/>
        </w:rPr>
        <w:t>5.2 主力连续序列构建</w:t>
        <w:tab/>
        <w:t>14</w:t>
      </w:r>
    </w:p>
    <w:p w14:paraId="3CC3B628">
      <w:pPr>
        <w:pStyle w:val="18"/>
        <w:tabs>
          <w:tab w:val="right" w:leader="dot" w:pos="8494"/>
        </w:tabs>
        <w:rPr>
          <w:rFonts w:hint="eastAsia" w:asciiTheme="minorHAnsi" w:hAnsiTheme="minorHAnsi" w:eastAsiaTheme="minorEastAsia" w:cstheme="minorBidi"/>
          <w:color w:val="auto"/>
          <w:kern w:val="2"/>
          <w:szCs w:val="24"/>
          <w14:ligatures w14:val="standardContextual"/>
        </w:rPr>
      </w:pPr>
      <w:r>
        <w:rPr>
          <w:rFonts w:ascii="Times New Roman" w:hAnsi="Times New Roman" w:eastAsia="宋体"/>
          <w:b w:val="0"/>
          <w:sz w:val="24"/>
        </w:rPr>
        <w:t>5.3 波动率预测与风险评估实现</w:t>
        <w:tab/>
        <w:t>15</w:t>
      </w:r>
    </w:p>
    <w:p w14:paraId="3B2FF41F">
      <w:pPr>
        <w:pStyle w:val="18"/>
        <w:tabs>
          <w:tab w:val="right" w:leader="dot" w:pos="8494"/>
        </w:tabs>
        <w:rPr>
          <w:rFonts w:hint="eastAsia" w:asciiTheme="minorHAnsi" w:hAnsiTheme="minorHAnsi" w:eastAsiaTheme="minorEastAsia" w:cstheme="minorBidi"/>
          <w:color w:val="auto"/>
          <w:kern w:val="2"/>
          <w:szCs w:val="24"/>
          <w14:ligatures w14:val="standardContextual"/>
        </w:rPr>
      </w:pPr>
      <w:r>
        <w:rPr>
          <w:rFonts w:ascii="Times New Roman" w:hAnsi="Times New Roman" w:eastAsia="宋体"/>
          <w:b w:val="0"/>
          <w:sz w:val="24"/>
        </w:rPr>
        <w:t>5.4 服务层实现</w:t>
        <w:tab/>
        <w:t>16</w:t>
      </w:r>
    </w:p>
    <w:p w14:paraId="39B53010">
      <w:pPr>
        <w:pStyle w:val="18"/>
        <w:tabs>
          <w:tab w:val="right" w:leader="dot" w:pos="8494"/>
        </w:tabs>
        <w:rPr>
          <w:rFonts w:hint="eastAsia" w:asciiTheme="minorHAnsi" w:hAnsiTheme="minorHAnsi" w:eastAsiaTheme="minorEastAsia" w:cstheme="minorBidi"/>
          <w:color w:val="auto"/>
          <w:kern w:val="2"/>
          <w:szCs w:val="24"/>
          <w14:ligatures w14:val="standardContextual"/>
        </w:rPr>
      </w:pPr>
      <w:r>
        <w:rPr>
          <w:rFonts w:ascii="Times New Roman" w:hAnsi="Times New Roman" w:eastAsia="宋体"/>
          <w:b w:val="0"/>
          <w:sz w:val="24"/>
        </w:rPr>
        <w:t>5.5 前端展示实现</w:t>
        <w:tab/>
        <w:t>17</w:t>
      </w:r>
    </w:p>
    <w:p w14:paraId="7701B7BE">
      <w:pPr>
        <w:pStyle w:val="18"/>
        <w:tabs>
          <w:tab w:val="right" w:leader="dot" w:pos="8494"/>
        </w:tabs>
        <w:rPr>
          <w:rFonts w:hint="eastAsia" w:asciiTheme="minorHAnsi" w:hAnsiTheme="minorHAnsi" w:eastAsiaTheme="minorEastAsia" w:cstheme="minorBidi"/>
          <w:color w:val="auto"/>
          <w:kern w:val="2"/>
          <w:szCs w:val="24"/>
          <w14:ligatures w14:val="standardContextual"/>
        </w:rPr>
      </w:pPr>
      <w:r>
        <w:rPr>
          <w:rFonts w:ascii="Times New Roman" w:hAnsi="Times New Roman" w:eastAsia="宋体"/>
          <w:b w:val="0"/>
          <w:sz w:val="24"/>
        </w:rPr>
        <w:t>5.6 本章小结</w:t>
        <w:tab/>
        <w:t>20</w:t>
      </w:r>
    </w:p>
    <w:p w14:paraId="17F2DD60">
      <w:pPr>
        <w:pStyle w:val="17"/>
        <w:tabs>
          <w:tab w:val="right" w:leader="dot" w:pos="8494"/>
        </w:tabs>
        <w:rPr>
          <w:rFonts w:hint="eastAsia" w:asciiTheme="minorHAnsi" w:hAnsiTheme="minorHAnsi" w:eastAsiaTheme="minorEastAsia" w:cstheme="minorBidi"/>
          <w:color w:val="auto"/>
          <w:kern w:val="2"/>
          <w:szCs w:val="24"/>
          <w14:ligatures w14:val="standardContextual"/>
        </w:rPr>
      </w:pPr>
      <w:r>
        <w:rPr>
          <w:rFonts w:ascii="Times New Roman" w:hAnsi="Times New Roman" w:eastAsia="黑体"/>
          <w:b/>
          <w:sz w:val="28"/>
        </w:rPr>
        <w:t>6 系统测试与结果分析</w:t>
        <w:tab/>
        <w:t>21</w:t>
      </w:r>
    </w:p>
    <w:p w14:paraId="5B236E56">
      <w:pPr>
        <w:pStyle w:val="18"/>
        <w:tabs>
          <w:tab w:val="right" w:leader="dot" w:pos="8494"/>
        </w:tabs>
        <w:rPr>
          <w:rFonts w:hint="eastAsia" w:asciiTheme="minorHAnsi" w:hAnsiTheme="minorHAnsi" w:eastAsiaTheme="minorEastAsia" w:cstheme="minorBidi"/>
          <w:color w:val="auto"/>
          <w:kern w:val="2"/>
          <w:szCs w:val="24"/>
          <w14:ligatures w14:val="standardContextual"/>
        </w:rPr>
      </w:pPr>
      <w:r>
        <w:rPr>
          <w:rFonts w:ascii="Times New Roman" w:hAnsi="Times New Roman" w:eastAsia="宋体"/>
          <w:b w:val="0"/>
          <w:sz w:val="24"/>
        </w:rPr>
        <w:t>6.1 测试环境与测试策略</w:t>
        <w:tab/>
        <w:t>21</w:t>
      </w:r>
    </w:p>
    <w:p w14:paraId="794CB780">
      <w:pPr>
        <w:pStyle w:val="18"/>
        <w:tabs>
          <w:tab w:val="right" w:leader="dot" w:pos="8494"/>
        </w:tabs>
        <w:rPr>
          <w:rFonts w:hint="eastAsia" w:asciiTheme="minorHAnsi" w:hAnsiTheme="minorHAnsi" w:eastAsiaTheme="minorEastAsia" w:cstheme="minorBidi"/>
          <w:color w:val="auto"/>
          <w:kern w:val="2"/>
          <w:szCs w:val="24"/>
          <w14:ligatures w14:val="standardContextual"/>
        </w:rPr>
      </w:pPr>
      <w:r>
        <w:rPr>
          <w:rFonts w:ascii="Times New Roman" w:hAnsi="Times New Roman" w:eastAsia="宋体"/>
          <w:b w:val="0"/>
          <w:sz w:val="24"/>
        </w:rPr>
        <w:t>6.2 功能测试结果</w:t>
        <w:tab/>
        <w:t>21</w:t>
      </w:r>
    </w:p>
    <w:p w14:paraId="0F2896AD">
      <w:pPr>
        <w:pStyle w:val="18"/>
        <w:tabs>
          <w:tab w:val="right" w:leader="dot" w:pos="8494"/>
        </w:tabs>
        <w:rPr>
          <w:rFonts w:hint="eastAsia" w:asciiTheme="minorHAnsi" w:hAnsiTheme="minorHAnsi" w:eastAsiaTheme="minorEastAsia" w:cstheme="minorBidi"/>
          <w:color w:val="auto"/>
          <w:kern w:val="2"/>
          <w:szCs w:val="24"/>
          <w14:ligatures w14:val="standardContextual"/>
        </w:rPr>
      </w:pPr>
      <w:r>
        <w:rPr>
          <w:rFonts w:ascii="Times New Roman" w:hAnsi="Times New Roman" w:eastAsia="宋体"/>
          <w:b w:val="0"/>
          <w:sz w:val="24"/>
        </w:rPr>
        <w:t>6.3 数据规模与质量分析</w:t>
        <w:tab/>
        <w:t>22</w:t>
      </w:r>
    </w:p>
    <w:p w14:paraId="232910FD">
      <w:pPr>
        <w:pStyle w:val="18"/>
        <w:tabs>
          <w:tab w:val="right" w:leader="dot" w:pos="8494"/>
        </w:tabs>
        <w:rPr>
          <w:rFonts w:hint="eastAsia" w:asciiTheme="minorHAnsi" w:hAnsiTheme="minorHAnsi" w:eastAsiaTheme="minorEastAsia" w:cstheme="minorBidi"/>
          <w:color w:val="auto"/>
          <w:kern w:val="2"/>
          <w:szCs w:val="24"/>
          <w14:ligatures w14:val="standardContextual"/>
        </w:rPr>
      </w:pPr>
      <w:r>
        <w:rPr>
          <w:rFonts w:ascii="Times New Roman" w:hAnsi="Times New Roman" w:eastAsia="宋体"/>
          <w:b w:val="0"/>
          <w:sz w:val="24"/>
        </w:rPr>
        <w:t>6.4 分析结果展示</w:t>
        <w:tab/>
        <w:t>23</w:t>
      </w:r>
    </w:p>
    <w:p w14:paraId="797D7ED7">
      <w:pPr>
        <w:pStyle w:val="18"/>
        <w:tabs>
          <w:tab w:val="right" w:leader="dot" w:pos="8494"/>
        </w:tabs>
        <w:rPr>
          <w:rFonts w:hint="eastAsia" w:asciiTheme="minorHAnsi" w:hAnsiTheme="minorHAnsi" w:eastAsiaTheme="minorEastAsia" w:cstheme="minorBidi"/>
          <w:color w:val="auto"/>
          <w:kern w:val="2"/>
          <w:szCs w:val="24"/>
          <w14:ligatures w14:val="standardContextual"/>
        </w:rPr>
      </w:pPr>
      <w:r>
        <w:rPr>
          <w:rFonts w:ascii="Times New Roman" w:hAnsi="Times New Roman" w:eastAsia="宋体"/>
          <w:b w:val="0"/>
          <w:sz w:val="24"/>
        </w:rPr>
        <w:t>6.5 测试与结果分析总结</w:t>
        <w:tab/>
        <w:t>26</w:t>
      </w:r>
    </w:p>
    <w:p w14:paraId="5E780281">
      <w:pPr>
        <w:pStyle w:val="17"/>
        <w:tabs>
          <w:tab w:val="right" w:leader="dot" w:pos="8494"/>
        </w:tabs>
        <w:rPr>
          <w:rFonts w:hint="eastAsia" w:asciiTheme="minorHAnsi" w:hAnsiTheme="minorHAnsi" w:eastAsiaTheme="minorEastAsia" w:cstheme="minorBidi"/>
          <w:color w:val="auto"/>
          <w:kern w:val="2"/>
          <w:szCs w:val="24"/>
          <w14:ligatures w14:val="standardContextual"/>
        </w:rPr>
      </w:pPr>
      <w:r>
        <w:rPr>
          <w:rFonts w:ascii="Times New Roman" w:hAnsi="Times New Roman" w:eastAsia="黑体"/>
          <w:b/>
          <w:sz w:val="28"/>
        </w:rPr>
        <w:t>7 结论与展望</w:t>
        <w:tab/>
        <w:t>27</w:t>
      </w:r>
    </w:p>
    <w:p w14:paraId="3D04E734">
      <w:pPr>
        <w:pStyle w:val="18"/>
        <w:tabs>
          <w:tab w:val="right" w:leader="dot" w:pos="8494"/>
        </w:tabs>
        <w:rPr>
          <w:rFonts w:hint="eastAsia" w:asciiTheme="minorHAnsi" w:hAnsiTheme="minorHAnsi" w:eastAsiaTheme="minorEastAsia" w:cstheme="minorBidi"/>
          <w:color w:val="auto"/>
          <w:kern w:val="2"/>
          <w:szCs w:val="24"/>
          <w14:ligatures w14:val="standardContextual"/>
        </w:rPr>
      </w:pPr>
      <w:r>
        <w:rPr>
          <w:rFonts w:ascii="Times New Roman" w:hAnsi="Times New Roman" w:eastAsia="宋体"/>
          <w:b w:val="0"/>
          <w:sz w:val="24"/>
        </w:rPr>
        <w:t>7.1 研究结论</w:t>
        <w:tab/>
        <w:t>27</w:t>
      </w:r>
    </w:p>
    <w:p w14:paraId="002695A7">
      <w:pPr>
        <w:pStyle w:val="18"/>
        <w:tabs>
          <w:tab w:val="right" w:leader="dot" w:pos="8494"/>
        </w:tabs>
        <w:rPr>
          <w:rFonts w:hint="eastAsia" w:asciiTheme="minorHAnsi" w:hAnsiTheme="minorHAnsi" w:eastAsiaTheme="minorEastAsia" w:cstheme="minorBidi"/>
          <w:color w:val="auto"/>
          <w:kern w:val="2"/>
          <w:szCs w:val="24"/>
          <w14:ligatures w14:val="standardContextual"/>
        </w:rPr>
      </w:pPr>
      <w:r>
        <w:rPr>
          <w:rFonts w:ascii="Times New Roman" w:hAnsi="Times New Roman" w:eastAsia="宋体"/>
          <w:b w:val="0"/>
          <w:sz w:val="24"/>
        </w:rPr>
        <w:t>7.2 项目价值与不足</w:t>
        <w:tab/>
        <w:t>27</w:t>
      </w:r>
    </w:p>
    <w:p w14:paraId="6347E063">
      <w:pPr>
        <w:pStyle w:val="18"/>
        <w:tabs>
          <w:tab w:val="right" w:leader="dot" w:pos="8494"/>
        </w:tabs>
        <w:rPr>
          <w:rFonts w:hint="eastAsia" w:asciiTheme="minorHAnsi" w:hAnsiTheme="minorHAnsi" w:eastAsiaTheme="minorEastAsia" w:cstheme="minorBidi"/>
          <w:color w:val="auto"/>
          <w:kern w:val="2"/>
          <w:szCs w:val="24"/>
          <w14:ligatures w14:val="standardContextual"/>
        </w:rPr>
      </w:pPr>
      <w:r>
        <w:rPr>
          <w:rFonts w:ascii="Times New Roman" w:hAnsi="Times New Roman" w:eastAsia="宋体"/>
          <w:b w:val="0"/>
          <w:sz w:val="24"/>
        </w:rPr>
        <w:t>7.3 后续改进方向</w:t>
        <w:tab/>
        <w:t>28</w:t>
      </w:r>
    </w:p>
    <w:p w14:paraId="57782310">
      <w:pPr>
        <w:pStyle w:val="17"/>
        <w:tabs>
          <w:tab w:val="right" w:leader="dot" w:pos="8494"/>
        </w:tabs>
        <w:rPr>
          <w:rFonts w:hint="eastAsia" w:asciiTheme="minorHAnsi" w:hAnsiTheme="minorHAnsi" w:eastAsiaTheme="minorEastAsia" w:cstheme="minorBidi"/>
          <w:color w:val="auto"/>
          <w:kern w:val="2"/>
          <w:szCs w:val="24"/>
          <w14:ligatures w14:val="standardContextual"/>
        </w:rPr>
      </w:pPr>
      <w:r>
        <w:rPr>
          <w:rFonts w:ascii="Times New Roman" w:hAnsi="Times New Roman" w:eastAsia="黑体"/>
          <w:b/>
          <w:sz w:val="28"/>
        </w:rPr>
        <w:t>参考文献</w:t>
        <w:tab/>
        <w:t>29</w:t>
      </w:r>
    </w:p>
    <w:p w14:paraId="36E5F0A8">
      <w:pPr>
        <w:pStyle w:val="17"/>
        <w:tabs>
          <w:tab w:val="right" w:leader="dot" w:pos="8494"/>
        </w:tabs>
        <w:rPr>
          <w:rFonts w:hint="eastAsia" w:asciiTheme="minorHAnsi" w:hAnsiTheme="minorHAnsi" w:eastAsiaTheme="minorEastAsia" w:cstheme="minorBidi"/>
          <w:color w:val="auto"/>
          <w:kern w:val="2"/>
          <w:szCs w:val="24"/>
          <w14:ligatures w14:val="standardContextual"/>
        </w:rPr>
      </w:pPr>
      <w:r>
        <w:rPr>
          <w:rFonts w:ascii="Times New Roman" w:hAnsi="Times New Roman" w:eastAsia="黑体"/>
          <w:b/>
          <w:sz w:val="28"/>
        </w:rPr>
        <w:t>致谢</w:t>
        <w:tab/>
        <w:t>31</w:t>
      </w:r>
    </w:p>
    <w:p w14:paraId="41E4F12F">
      <w:pPr>
        <w:sectPr>
          <w:headerReference r:id="rId6" w:type="default"/>
          <w:footerReference r:id="rId8" w:type="default"/>
          <w:headerReference r:id="rId7" w:type="even"/>
          <w:footerReference r:id="rId9" w:type="even"/>
          <w:pgSz w:w="11906" w:h="16838"/>
          <w:pgMar w:top="1417" w:right="1701" w:bottom="1134" w:left="1701" w:header="850" w:footer="850" w:gutter="0"/>
          <w:cols w:space="720" w:num="1"/>
          <w:docGrid w:type="lines" w:linePitch="312" w:charSpace="0"/>
          <w:pgNumType w:fmt="upperRoman" w:start="2"/>
        </w:sectPr>
      </w:pPr>
      <w:r>
        <w:rPr>
          <w:b/>
          <w:szCs w:val="24"/>
          <w:lang w:val="zh-CN" w:bidi="ar"/>
        </w:rPr>
        <w:fldChar w:fldCharType="end"/>
      </w:r>
    </w:p>
    <w:p w14:paraId="045732C2">
      <w:pPr>
        <w:pStyle w:val="2"/>
        <w:jc w:val="both"/>
      </w:pPr>
      <w:bookmarkStart w:id="0" w:name="_Toc224859751"/>
    </w:p>
    <w:p w14:paraId="60F02430">
      <w:pPr>
        <w:pStyle w:val="2"/>
        <w:spacing w:lineRule="exact" w:line="460" w:before="360" w:after="240"/>
        <w:jc w:val="center"/>
        <w:rPr>
          <w:rFonts w:hint="default"/>
        </w:rPr>
      </w:pPr>
      <w:r>
        <w:rPr>
          <w:rFonts w:ascii="Times New Roman" w:hAnsi="Times New Roman" w:eastAsia="黑体"/>
          <w:b/>
          <w:sz w:val="36"/>
        </w:rPr>
        <w:t>1 绪论</w:t>
      </w:r>
      <w:bookmarkEnd w:id="0"/>
    </w:p>
    <w:p w14:paraId="77A9298A">
      <w:pPr>
        <w:pStyle w:val="3"/>
        <w:spacing w:lineRule="exact" w:line="460" w:before="240" w:after="240"/>
        <w:jc w:val="left"/>
      </w:pPr>
      <w:bookmarkStart w:id="1" w:name="_Toc224859752"/>
      <w:r>
        <w:rPr>
          <w:rFonts w:ascii="Times New Roman" w:hAnsi="Times New Roman" w:eastAsia="黑体"/>
          <w:b/>
          <w:sz w:val="28"/>
        </w:rPr>
        <w:t>1.1 研究背景与意义</w:t>
      </w:r>
      <w:bookmarkEnd w:id="1"/>
    </w:p>
    <w:p w14:paraId="2FAB86C0">
      <w:r>
        <w:t>金融期货是现代金融市场中重要的风险管理工具，具有价格发现、套期保值和资产配置等多重功能。伴随我国资本市场规模扩张和金融衍生品体系逐步完善，股指期货在服务实体经济、稳定预期和提升市场效率方面的作用日益突出。与此同时，市场参与者对于盘后数据分析的要求不断提高，不仅希望获得收盘价格、成交量和持仓量等基础信息，更需要在统一框架下观察主力合约迁移、收益波动特征、风险暴露水平及其与宏观变量之间的联动关系。</w:t>
      </w:r>
    </w:p>
    <w:p w14:paraId="625D31B7">
      <w:r>
        <w:t>传统的期货数据分析往往存在三个突出问题。其一，数据来源分散。交易所日统计、宏观金融统计和宏观经济指标分别发布于不同官方站点，获取与整理成本较高。其二，分析链路割裂。很多课程项目只关注爬取或可视化中的某一个环节，缺少从原始数据到分析结果、再到页面展示的完整闭环。其三，可复用性不足。开发成果通常停留在脚本级别，无法稳定形成论文图表、实验截图和答辩展示页面，导致技术实现与论文撰写之间存在明显断层。</w:t>
      </w:r>
    </w:p>
    <w:p w14:paraId="2C491BA3">
      <w:r>
        <w:t>从研究意义上看，构建中国金融期货大数据分析与风险评估系统具有明显的现实价值和教学价值。一方面，系统化整合期货行情和宏观指标，有助于提升盘后风险分析与趋势研判的效率；另一方面，采用真实公开数据而非人工构造数据，可以增强毕业设计作品的可信度与可验证性。对于数据科学与大数据技术专业的本科毕业设计而言，这样的课题既能体现数据采集、数据仓、统计分析和可视化展示等综合能力，又能形成具有完整交付形态的软件原型与学术论文成果。</w:t>
      </w:r>
    </w:p>
    <w:p w14:paraId="0BB6141C">
      <w:pPr>
        <w:pStyle w:val="3"/>
        <w:spacing w:lineRule="exact" w:line="460" w:before="240" w:after="240"/>
        <w:jc w:val="left"/>
      </w:pPr>
      <w:bookmarkStart w:id="2" w:name="_Toc224859753"/>
      <w:r>
        <w:rPr>
          <w:rFonts w:ascii="Times New Roman" w:hAnsi="Times New Roman" w:eastAsia="黑体"/>
          <w:b/>
          <w:sz w:val="28"/>
        </w:rPr>
        <w:t>1.2 国内外研究现状</w:t>
      </w:r>
      <w:bookmarkEnd w:id="2"/>
    </w:p>
    <w:p w14:paraId="632E2C1E">
      <w:r>
        <w:rPr>
          <w:rFonts w:ascii="Times New Roman" w:hAnsi="Times New Roman" w:eastAsia="宋体"/>
          <w:b w:val="0"/>
          <w:sz w:val="24"/>
        </w:rPr>
        <w:t>国内外关于股指期货市场波动、风险与交易影响的研究已形成较为系统的积累。陈其安等围绕投资者结构和股指期货交易对中国股票市场波动性的影响进行了理论与实证分析，指出股指期货交易制度与投资者结构的变化会对市场稳定性产生显著作用</w:t>
      </w:r>
      <w:r>
        <w:rPr>
          <w:rFonts w:ascii="Times New Roman" w:hAnsi="Times New Roman" w:eastAsia="宋体"/>
          <w:b w:val="0"/>
          <w:sz w:val="24"/>
          <w:vertAlign w:val="superscript"/>
        </w:rPr>
        <w:t>[1]</w:t>
      </w:r>
      <w:r>
        <w:rPr>
          <w:rFonts w:ascii="Times New Roman" w:hAnsi="Times New Roman" w:eastAsia="宋体"/>
          <w:b w:val="0"/>
          <w:sz w:val="24"/>
        </w:rPr>
        <w:t>。Bohl 等则基于中国股票市场研究了指数期货交易对波动率的影响，强调不同市场结构下波动传导路径存在差异</w:t>
      </w:r>
      <w:r>
        <w:rPr>
          <w:rFonts w:ascii="Times New Roman" w:hAnsi="Times New Roman" w:eastAsia="宋体"/>
          <w:b w:val="0"/>
          <w:sz w:val="24"/>
          <w:vertAlign w:val="superscript"/>
        </w:rPr>
        <w:t>[2]</w:t>
      </w:r>
      <w:r>
        <w:rPr>
          <w:rFonts w:ascii="Times New Roman" w:hAnsi="Times New Roman" w:eastAsia="宋体"/>
          <w:b w:val="0"/>
          <w:sz w:val="24"/>
        </w:rPr>
        <w:t>。这些研究表明，围绕股指期货开展波动和风险分析具有明确的理论基础和现实需求。</w:t>
      </w:r>
    </w:p>
    <w:p w14:paraId="7D5F72B5">
      <w:r>
        <w:rPr>
          <w:rFonts w:ascii="Times New Roman" w:hAnsi="Times New Roman" w:eastAsia="宋体"/>
          <w:b w:val="0"/>
          <w:sz w:val="24"/>
        </w:rPr>
        <w:t>在方法层面，波动率建模与风险度量是金融时间序列分析中的核心问题。Engle 提出的 ARCH 模型为刻画条件异方差提供了经典框架</w:t>
      </w:r>
      <w:r>
        <w:rPr>
          <w:rFonts w:ascii="Times New Roman" w:hAnsi="Times New Roman" w:eastAsia="宋体"/>
          <w:b w:val="0"/>
          <w:sz w:val="24"/>
          <w:vertAlign w:val="superscript"/>
        </w:rPr>
        <w:t>[3]</w:t>
      </w:r>
      <w:r>
        <w:rPr>
          <w:rFonts w:ascii="Times New Roman" w:hAnsi="Times New Roman" w:eastAsia="宋体"/>
          <w:b w:val="0"/>
          <w:sz w:val="24"/>
        </w:rPr>
        <w:t>，Bollerslev 进一步提出 GARCH 模型，用更灵活的滞后结构描述波动持续性</w:t>
      </w:r>
      <w:r>
        <w:rPr>
          <w:rFonts w:ascii="Times New Roman" w:hAnsi="Times New Roman" w:eastAsia="宋体"/>
          <w:b w:val="0"/>
          <w:sz w:val="24"/>
          <w:vertAlign w:val="superscript"/>
        </w:rPr>
        <w:t>[4]</w:t>
      </w:r>
      <w:r>
        <w:rPr>
          <w:rFonts w:ascii="Times New Roman" w:hAnsi="Times New Roman" w:eastAsia="宋体"/>
          <w:b w:val="0"/>
          <w:sz w:val="24"/>
        </w:rPr>
        <w:t>。RiskMetrics 技术文档提出了 EWMA 波动率估计方法</w:t>
      </w:r>
      <w:r>
        <w:rPr>
          <w:rFonts w:ascii="Times New Roman" w:hAnsi="Times New Roman" w:eastAsia="宋体"/>
          <w:b w:val="0"/>
          <w:sz w:val="24"/>
          <w:vertAlign w:val="superscript"/>
        </w:rPr>
        <w:t>[5]</w:t>
      </w:r>
      <w:r>
        <w:rPr>
          <w:rFonts w:ascii="Times New Roman" w:hAnsi="Times New Roman" w:eastAsia="宋体"/>
          <w:b w:val="0"/>
          <w:sz w:val="24"/>
        </w:rPr>
        <w:t>，Kupiec 则从风险模型检验视角提出了针对风险测度准确性的验证思路</w:t>
      </w:r>
      <w:r>
        <w:rPr>
          <w:rFonts w:ascii="Times New Roman" w:hAnsi="Times New Roman" w:eastAsia="宋体"/>
          <w:b w:val="0"/>
          <w:sz w:val="24"/>
          <w:vertAlign w:val="superscript"/>
        </w:rPr>
        <w:t>[6]</w:t>
      </w:r>
      <w:r>
        <w:rPr>
          <w:rFonts w:ascii="Times New Roman" w:hAnsi="Times New Roman" w:eastAsia="宋体"/>
          <w:b w:val="0"/>
          <w:sz w:val="24"/>
        </w:rPr>
        <w:t>。这些方法广泛应用于资产收益率波动分析和风险管理实践，为本文系统中的波动率预测和 VaR 计算提供了直接的方法来源。</w:t>
      </w:r>
    </w:p>
    <w:p w14:paraId="51C0749A">
      <w:r>
        <w:rPr>
          <w:rFonts w:ascii="Times New Roman" w:hAnsi="Times New Roman" w:eastAsia="宋体"/>
          <w:b w:val="0"/>
          <w:sz w:val="24"/>
        </w:rPr>
        <w:t>在工程实现方面，近年的研究和产业实践越来越强调数据处理与分析平台的一体化。DuckDB 的嵌入式分析数据库方案在中小规模分析场景下具有部署简单、查询高效的特点</w:t>
      </w:r>
      <w:r>
        <w:rPr>
          <w:rFonts w:ascii="Times New Roman" w:hAnsi="Times New Roman" w:eastAsia="宋体"/>
          <w:b w:val="0"/>
          <w:sz w:val="24"/>
          <w:vertAlign w:val="superscript"/>
        </w:rPr>
        <w:t>[7]</w:t>
      </w:r>
      <w:r>
        <w:rPr>
          <w:rFonts w:ascii="Times New Roman" w:hAnsi="Times New Roman" w:eastAsia="宋体"/>
          <w:b w:val="0"/>
          <w:sz w:val="24"/>
        </w:rPr>
        <w:t>；Apache Spark 为分布式数据处理提供了成熟框架</w:t>
      </w:r>
      <w:r>
        <w:rPr>
          <w:rFonts w:ascii="Times New Roman" w:hAnsi="Times New Roman" w:eastAsia="宋体"/>
          <w:b w:val="0"/>
          <w:sz w:val="24"/>
          <w:vertAlign w:val="superscript"/>
        </w:rPr>
        <w:t>[8]</w:t>
      </w:r>
      <w:r>
        <w:rPr>
          <w:rFonts w:ascii="Times New Roman" w:hAnsi="Times New Roman" w:eastAsia="宋体"/>
          <w:b w:val="0"/>
          <w:sz w:val="24"/>
        </w:rPr>
        <w:t>；FastAPI 和 Streamlit 等轻量框架则降低了分析服务和可视化前端搭建门槛</w:t>
      </w:r>
      <w:r>
        <w:rPr>
          <w:rFonts w:ascii="Times New Roman" w:hAnsi="Times New Roman" w:eastAsia="宋体"/>
          <w:b w:val="0"/>
          <w:sz w:val="24"/>
          <w:vertAlign w:val="superscript"/>
        </w:rPr>
        <w:t>[9]</w:t>
      </w:r>
      <w:r>
        <w:rPr>
          <w:rFonts w:ascii="Times New Roman" w:hAnsi="Times New Roman" w:eastAsia="宋体"/>
          <w:b w:val="0"/>
          <w:sz w:val="24"/>
          <w:vertAlign w:val="superscript"/>
        </w:rPr>
        <w:t>[10]</w:t>
      </w:r>
      <w:r>
        <w:rPr>
          <w:rFonts w:ascii="Times New Roman" w:hAnsi="Times New Roman" w:eastAsia="宋体"/>
          <w:b w:val="0"/>
          <w:sz w:val="24"/>
        </w:rPr>
        <w:t>。与传统“脚本 + 报表”的离散式做法相比，将采集、存储、分析、服务与展示集成在统一系统中，更能满足教学展示和论文写作的双重需求。</w:t>
      </w:r>
    </w:p>
    <w:p w14:paraId="5F4612AF">
      <w:r>
        <w:t>总体而言，现有研究在理论方法方面已经较为丰富，但在本科毕业设计语境下，仍然存在“理论强而系统弱”或“系统有界面但缺乏真实数据链路”的常见问题。基于此，本文选择以真实公开数据为核心，以可重复的工程实现为支撑，构建一套兼顾学术表达与系统落地的中国金融期货交易分析系统。</w:t>
      </w:r>
    </w:p>
    <w:p>
      <w:pPr>
        <w:spacing w:lineRule="exact" w:line="460" w:before="0" w:after="0"/>
        <w:ind w:firstLine="420"/>
        <w:jc w:val="both"/>
      </w:pPr>
      <w:r>
        <w:rPr>
          <w:rFonts w:ascii="Times New Roman" w:hAnsi="Times New Roman" w:eastAsia="宋体"/>
          <w:b w:val="0"/>
          <w:sz w:val="24"/>
        </w:rPr>
        <w:t>近年研究进一步体现出金融期货分析与大数据方法融合的趋势。Chen 和 Hu 针对中美股指期货波动率预测构建混合 LSTM 模型，说明深度学习方法可用于处理不规则金融时间序列</w:t>
      </w:r>
      <w:r>
        <w:rPr>
          <w:rFonts w:ascii="Times New Roman" w:hAnsi="Times New Roman" w:eastAsia="宋体"/>
          <w:b w:val="0"/>
          <w:sz w:val="24"/>
          <w:vertAlign w:val="superscript"/>
        </w:rPr>
        <w:t>[15]</w:t>
      </w:r>
      <w:r>
        <w:rPr>
          <w:rFonts w:ascii="Times New Roman" w:hAnsi="Times New Roman" w:eastAsia="宋体"/>
          <w:b w:val="0"/>
          <w:sz w:val="24"/>
        </w:rPr>
        <w:t>；Lu 等从波动率预测视角检验中国期货市场对现货市场的引导作用，为跨市场风险监测提供了实证证据</w:t>
      </w:r>
      <w:r>
        <w:rPr>
          <w:rFonts w:ascii="Times New Roman" w:hAnsi="Times New Roman" w:eastAsia="宋体"/>
          <w:b w:val="0"/>
          <w:sz w:val="24"/>
          <w:vertAlign w:val="superscript"/>
        </w:rPr>
        <w:t>[16]</w:t>
      </w:r>
      <w:r>
        <w:rPr>
          <w:rFonts w:ascii="Times New Roman" w:hAnsi="Times New Roman" w:eastAsia="宋体"/>
          <w:b w:val="0"/>
          <w:sz w:val="24"/>
        </w:rPr>
        <w:t>；Zeng 等利用中国期货市场波动信息预测行业股票市场波动，表明期货数据能够为风险预警提供增量信息</w:t>
      </w:r>
      <w:r>
        <w:rPr>
          <w:rFonts w:ascii="Times New Roman" w:hAnsi="Times New Roman" w:eastAsia="宋体"/>
          <w:b w:val="0"/>
          <w:sz w:val="24"/>
          <w:vertAlign w:val="superscript"/>
        </w:rPr>
        <w:t>[17]</w:t>
      </w:r>
      <w:r>
        <w:rPr>
          <w:rFonts w:ascii="Times New Roman" w:hAnsi="Times New Roman" w:eastAsia="宋体"/>
          <w:b w:val="0"/>
          <w:sz w:val="24"/>
        </w:rPr>
        <w:t>。上述研究为本文选择股指期货行情、波动率预测和 VaR 风险评估作为系统核心功能提供了参考。</w:t>
      </w:r>
    </w:p>
    <w:p>
      <w:pPr>
        <w:spacing w:lineRule="exact" w:line="460" w:before="0" w:after="0"/>
        <w:ind w:firstLine="420"/>
        <w:jc w:val="both"/>
      </w:pPr>
      <w:r>
        <w:rPr>
          <w:rFonts w:ascii="Times New Roman" w:hAnsi="Times New Roman" w:eastAsia="宋体"/>
          <w:b w:val="0"/>
          <w:sz w:val="24"/>
        </w:rPr>
        <w:t>在学位论文框架方面，近三年相关硕士论文普遍采用“数据来源说明、模型方法设计、实验验证、系统或策略应用”的写作逻辑。例如，何婧萱围绕机器学习与 A 股市场股指期货价格预测展开研究</w:t>
      </w:r>
      <w:r>
        <w:rPr>
          <w:rFonts w:ascii="Times New Roman" w:hAnsi="Times New Roman" w:eastAsia="宋体"/>
          <w:b w:val="0"/>
          <w:sz w:val="24"/>
          <w:vertAlign w:val="superscript"/>
        </w:rPr>
        <w:t>[20]</w:t>
      </w:r>
      <w:r>
        <w:rPr>
          <w:rFonts w:ascii="Times New Roman" w:hAnsi="Times New Roman" w:eastAsia="宋体"/>
          <w:b w:val="0"/>
          <w:sz w:val="24"/>
        </w:rPr>
        <w:t>，朱峰围绕金融市场高频交易数据波动率预测开展深度学习应用研究</w:t>
      </w:r>
      <w:r>
        <w:rPr>
          <w:rFonts w:ascii="Times New Roman" w:hAnsi="Times New Roman" w:eastAsia="宋体"/>
          <w:b w:val="0"/>
          <w:sz w:val="24"/>
          <w:vertAlign w:val="superscript"/>
        </w:rPr>
        <w:t>[21]</w:t>
      </w:r>
      <w:r>
        <w:rPr>
          <w:rFonts w:ascii="Times New Roman" w:hAnsi="Times New Roman" w:eastAsia="宋体"/>
          <w:b w:val="0"/>
          <w:sz w:val="24"/>
        </w:rPr>
        <w:t>。本文在借鉴其框架逻辑的基础上，更强调从真实公开数据采集、轻量数据仓建设到可视化系统交付的工程闭环。</w:t>
      </w:r>
    </w:p>
    <w:p w14:paraId="1E479C24">
      <w:pPr>
        <w:pStyle w:val="3"/>
        <w:spacing w:lineRule="exact" w:line="460" w:before="240" w:after="240"/>
        <w:jc w:val="left"/>
      </w:pPr>
      <w:bookmarkStart w:id="3" w:name="_Toc224859754"/>
      <w:r>
        <w:rPr>
          <w:rFonts w:ascii="Times New Roman" w:hAnsi="Times New Roman" w:eastAsia="黑体"/>
          <w:b/>
          <w:sz w:val="28"/>
        </w:rPr>
        <w:t>1.3 研究内容与研究方法</w:t>
      </w:r>
      <w:bookmarkEnd w:id="3"/>
    </w:p>
    <w:p w14:paraId="3C3DDF61">
      <w:r>
        <w:t>本文的研究内容主要包括以下四个方面。第一，围绕中国金融期货市场盘后分析场景，完成系统需求分析，明确数据采集、行情展示、趋势分析、风险度量和质量监控等核心功能。第二，设计轻量数据仓与系统总体架构，实现期货行情、宏观指标和交易所通知的统一管理。第三，完成主力连续构建、滚动波动率计算、未来五日波动率预测、宏观相关性分析和历史模拟法 VaR 计算等关键分析功能。第四，基于学校论文模板完成论文图表、代码片段和系统截图的组织与输出，形成可复现的毕业设计交付流程。</w:t>
      </w:r>
    </w:p>
    <w:p w14:paraId="2CAF5EF6">
      <w:r>
        <w:t>在研究方法上，本文综合采用文献研究法、系统分析法、原型开发法和实证分析法。文献研究法用于梳理股指期货波动分析、风险测度和大数据平台实现等理论基础；系统分析法用于抽象业务需求和模块边界；原型开发法用于循序推进采集、分析和展示模块的落地；实证分析法则依赖真实公开数据，对系统功能和结果进行验证，并以 2026 年 3 月 19 日的最新快照作为阶段性分析样本。</w:t>
      </w:r>
    </w:p>
    <w:p w14:paraId="5EDACB39">
      <w:pPr>
        <w:pStyle w:val="3"/>
        <w:spacing w:lineRule="exact" w:line="460" w:before="240" w:after="240"/>
        <w:jc w:val="left"/>
      </w:pPr>
      <w:bookmarkStart w:id="4" w:name="_Toc224859755"/>
      <w:r>
        <w:rPr>
          <w:rFonts w:ascii="Times New Roman" w:hAnsi="Times New Roman" w:eastAsia="黑体"/>
          <w:b/>
          <w:sz w:val="28"/>
        </w:rPr>
        <w:t>1.4 论文结构安排</w:t>
      </w:r>
      <w:bookmarkEnd w:id="4"/>
    </w:p>
    <w:p w14:paraId="0AB32AF8">
      <w:r>
        <w:t>本文共分为七章。第一章为绪论，介绍研究背景、研究意义、研究现状、研究内容与论文结构。第二章介绍系统实现所依赖的关键技术与理论基础。第三章对系统需求和数据资源设计进行分析。第四章阐述系统总体架构、数据流和模块设计。第五章对数据采集、数据仓建设、分析算法和前端展示的实现进行详细说明。第六章给出系统测试过程与分析结果。第七章总结全文并提出后续改进方向。</w:t>
      </w:r>
    </w:p>
    <w:p w14:paraId="168416BB">
      <w:r>
        <w:br w:type="page"/>
      </w:r>
    </w:p>
    <w:p w14:paraId="6468C4F8">
      <w:pPr>
        <w:pStyle w:val="2"/>
        <w:spacing w:lineRule="exact" w:line="460" w:before="360" w:after="240"/>
        <w:jc w:val="center"/>
        <w:rPr>
          <w:rFonts w:hint="default"/>
        </w:rPr>
      </w:pPr>
      <w:bookmarkStart w:id="5" w:name="_Toc224859756"/>
      <w:r>
        <w:rPr>
          <w:rFonts w:ascii="Times New Roman" w:hAnsi="Times New Roman" w:eastAsia="黑体"/>
          <w:b/>
          <w:sz w:val="36"/>
        </w:rPr>
        <w:t>2 相关技术与理论基础</w:t>
      </w:r>
      <w:bookmarkEnd w:id="5"/>
    </w:p>
    <w:p w14:paraId="22595169">
      <w:pPr>
        <w:pStyle w:val="3"/>
        <w:spacing w:lineRule="exact" w:line="460" w:before="240" w:after="240"/>
        <w:jc w:val="left"/>
      </w:pPr>
      <w:bookmarkStart w:id="6" w:name="_Toc224859757"/>
      <w:r>
        <w:rPr>
          <w:rFonts w:ascii="Times New Roman" w:hAnsi="Times New Roman" w:eastAsia="黑体"/>
          <w:b/>
          <w:sz w:val="28"/>
        </w:rPr>
        <w:t>2.1 金融期货盘后分析的数据特征</w:t>
      </w:r>
      <w:bookmarkEnd w:id="6"/>
    </w:p>
    <w:p w14:paraId="5794F186">
      <w:r>
        <w:t>与股票日频分析相比，金融期货数据具有合约到期、主力切换、持仓量敏感和宏观联动性强等特点。单个合约在生命周期内的成交与持仓水平会随到期日临近发生明显变化，因此若直接使用固定合约观察长期走势，容易引入合约切换导致的序列断裂问题。为此，系统需要先对同一品种的多个月份合约进行筛选，构建能够反映市场主流交易重心的主力连续序列。</w:t>
      </w:r>
    </w:p>
    <w:p w14:paraId="08028D5B">
      <w:r>
        <w:t>此外，金融期货作为杠杆交易工具，波动率和风险暴露对投资决策具有更强约束作用。单纯展示价格曲线难以满足分析需求，还应同时提供收益率、回撤、滚动波动率和 VaR 等指标。考虑到期货市场与宏观环境之间存在联动关系，将货币供应量、社会融资规模、CPI、PPI 等指标纳入同一数据仓，有助于在盘后分析中提升解释性。</w:t>
      </w:r>
    </w:p>
    <w:p>
      <w:pPr>
        <w:spacing w:lineRule="exact" w:line="460" w:before="0" w:after="0"/>
        <w:ind w:firstLine="420"/>
        <w:jc w:val="both"/>
      </w:pPr>
      <w:r>
        <w:rPr>
          <w:rFonts w:ascii="Times New Roman" w:hAnsi="Times New Roman" w:eastAsia="宋体"/>
          <w:sz w:val="24"/>
        </w:rPr>
        <w:t>从统计特性看，金融期货收益率序列通常并不完全服从正态分布，而是容易呈现波动聚集、尖峰厚尾和尾部风险集中的特征。所谓尖峰厚尾，是指大多数交易日收益率集中在均值附近，但极端涨跌出现的概率高于正态分布假设。该特性使得仅使用均值和方差难以充分描述下行风险，因此本文在波动率预测之外引入历史模拟法 VaR，用经验分位数刻画给定置信水平下的潜在损失。</w:t>
      </w:r>
    </w:p>
    <w:p w14:paraId="64F59035">
      <w:pPr>
        <w:pStyle w:val="3"/>
        <w:spacing w:lineRule="exact" w:line="460" w:before="240" w:after="240"/>
        <w:jc w:val="left"/>
      </w:pPr>
      <w:bookmarkStart w:id="7" w:name="_Toc224859758"/>
      <w:r>
        <w:rPr>
          <w:rFonts w:ascii="Times New Roman" w:hAnsi="Times New Roman" w:eastAsia="黑体"/>
          <w:b/>
          <w:sz w:val="28"/>
        </w:rPr>
        <w:t>2.2 系统实现相关技术</w:t>
      </w:r>
      <w:bookmarkEnd w:id="7"/>
    </w:p>
    <w:p w14:paraId="3BAA2B47">
      <w:pPr>
        <w:spacing w:lineRule="exact" w:line="460" w:before="0" w:after="0"/>
        <w:ind w:firstLine="420"/>
        <w:jc w:val="both"/>
      </w:pPr>
      <w:r>
        <w:rPr>
          <w:rFonts w:ascii="Times New Roman" w:hAnsi="Times New Roman" w:eastAsia="宋体"/>
          <w:b w:val="0"/>
          <w:sz w:val="24"/>
        </w:rPr>
        <w:t>本文系统的底层数据处理以 Python 3.11 为基础，使用 Pandas 完成表格数据整理，使用 DuckDB 和 Parquet 完成数据落盘和查询。DuckDB 作为嵌入式分析数据库，面向 OLAP 场景提供列式执行、向量化计算和本地进程内查询能力，省去了独立数据库服务部署成本，能够较好支持本科毕业设计场景下的本地分析与接口服务</w:t>
      </w:r>
      <w:r>
        <w:rPr>
          <w:rFonts w:ascii="Times New Roman" w:hAnsi="Times New Roman" w:eastAsia="宋体"/>
          <w:b w:val="0"/>
          <w:sz w:val="24"/>
          <w:vertAlign w:val="superscript"/>
        </w:rPr>
        <w:t>[8]</w:t>
      </w:r>
      <w:r>
        <w:rPr>
          <w:rFonts w:ascii="Times New Roman" w:hAnsi="Times New Roman" w:eastAsia="宋体"/>
          <w:b w:val="0"/>
          <w:sz w:val="24"/>
          <w:vertAlign w:val="superscript"/>
        </w:rPr>
        <w:t>[18]</w:t>
      </w:r>
      <w:r>
        <w:rPr>
          <w:rFonts w:ascii="Times New Roman" w:hAnsi="Times New Roman" w:eastAsia="宋体"/>
          <w:b w:val="0"/>
          <w:sz w:val="24"/>
          <w:vertAlign w:val="superscript"/>
        </w:rPr>
        <w:t>[19]</w:t>
      </w:r>
      <w:r>
        <w:rPr>
          <w:rFonts w:ascii="Times New Roman" w:hAnsi="Times New Roman" w:eastAsia="宋体"/>
          <w:b w:val="0"/>
          <w:sz w:val="24"/>
        </w:rPr>
        <w:t>。Parquet 则为列式存储格式，适合保存结构化分析结果，便于后续图表导出与 Spark 兼容扩展。</w:t>
      </w:r>
    </w:p>
    <w:p>
      <w:pPr>
        <w:spacing w:lineRule="exact" w:line="460" w:before="0" w:after="0"/>
        <w:ind w:firstLine="420"/>
        <w:jc w:val="both"/>
      </w:pPr>
      <w:r>
        <w:rPr>
          <w:rFonts w:ascii="Times New Roman" w:hAnsi="Times New Roman" w:eastAsia="宋体"/>
          <w:sz w:val="24"/>
        </w:rPr>
        <w:t>与传统 MySQL 更偏向事务型增删改查和在线业务系统不同，本文系统的主要任务是对日频行情、主力连续、波动率和风险指标进行批量聚合、分组统计与多维查询，属于典型 OLAP 分析场景。DuckDB 可直接读取本地 Parquet 文件并在单机环境下完成向量化聚合，避免了 MySQL 需要额外建库、建索引和维护服务进程的复杂度，因此更适合本系统“轻量部署、快速分析、便于复现”的设计目标。</w:t>
      </w:r>
    </w:p>
    <w:p w14:paraId="0A4B1D76">
      <w:r>
        <w:rPr>
          <w:rFonts w:ascii="Times New Roman" w:hAnsi="Times New Roman" w:eastAsia="宋体"/>
          <w:b w:val="0"/>
          <w:sz w:val="24"/>
        </w:rPr>
        <w:t>在服务层，系统采用 FastAPI 暴露 REST 风格分析接口。FastAPI 具有类型注解友好、接口定义清晰、自动文档生成等优点，适合将分析层计算结果封装为可复用 API</w:t>
      </w:r>
      <w:r>
        <w:rPr>
          <w:rFonts w:ascii="Times New Roman" w:hAnsi="Times New Roman" w:eastAsia="宋体"/>
          <w:b w:val="0"/>
          <w:sz w:val="24"/>
          <w:vertAlign w:val="superscript"/>
        </w:rPr>
        <w:t>[9]</w:t>
      </w:r>
      <w:r>
        <w:rPr>
          <w:rFonts w:ascii="Times New Roman" w:hAnsi="Times New Roman" w:eastAsia="宋体"/>
          <w:b w:val="0"/>
          <w:sz w:val="24"/>
        </w:rPr>
        <w:t>。在展示层，系统采用 Streamlit 构建交互式页面，以较低工程复杂度实现指标卡片、行情图、风险图和数据源说明页，有利于答辩展示和论文截图生成</w:t>
      </w:r>
      <w:r>
        <w:rPr>
          <w:rFonts w:ascii="Times New Roman" w:hAnsi="Times New Roman" w:eastAsia="宋体"/>
          <w:b w:val="0"/>
          <w:sz w:val="24"/>
          <w:vertAlign w:val="superscript"/>
        </w:rPr>
        <w:t>[10]</w:t>
      </w:r>
      <w:r>
        <w:rPr>
          <w:rFonts w:ascii="Times New Roman" w:hAnsi="Times New Roman" w:eastAsia="宋体"/>
          <w:b w:val="0"/>
          <w:sz w:val="24"/>
        </w:rPr>
        <w:t>。对于扩展性需求，项目保留了 Spark local mode 的演示接口，以说明后续面向更大规模数据处理时的演进方向</w:t>
      </w:r>
      <w:r>
        <w:rPr>
          <w:rFonts w:ascii="Times New Roman" w:hAnsi="Times New Roman" w:eastAsia="宋体"/>
          <w:b w:val="0"/>
          <w:sz w:val="24"/>
          <w:vertAlign w:val="superscript"/>
        </w:rPr>
        <w:t>[8]</w:t>
      </w:r>
      <w:r>
        <w:rPr>
          <w:rFonts w:ascii="Times New Roman" w:hAnsi="Times New Roman" w:eastAsia="宋体"/>
          <w:b w:val="0"/>
          <w:sz w:val="24"/>
        </w:rPr>
        <w:t>。</w:t>
      </w:r>
    </w:p>
    <w:p w14:paraId="7EB5E319">
      <w:pPr>
        <w:pStyle w:val="3"/>
        <w:spacing w:lineRule="exact" w:line="460" w:before="240" w:after="240"/>
        <w:jc w:val="left"/>
      </w:pPr>
      <w:bookmarkStart w:id="8" w:name="_Toc224859759"/>
      <w:r>
        <w:rPr>
          <w:rFonts w:ascii="Times New Roman" w:hAnsi="Times New Roman" w:eastAsia="黑体"/>
          <w:b/>
          <w:sz w:val="28"/>
        </w:rPr>
        <w:t>2.3 波动率与风险度量理论</w:t>
      </w:r>
      <w:bookmarkEnd w:id="8"/>
    </w:p>
    <w:p w14:paraId="22D62EDE">
      <w:r>
        <w:t>收益率是金融时间序列分析的基础。设第 t 日收盘价为 P_t，则简单收益率定义如下。</w:t>
      </w:r>
    </w:p>
    <w:p w14:paraId="1E551E04">
      <w:pPr>
        <w:ind w:firstLine="0"/>
        <w:jc w:val="center"/>
      </w:pPr>
      <m:oMath>
        <m:sSub>
          <m:sSubPr>
            <m:ctrlPr>
              <w:rPr>
                <w:rFonts w:ascii="Cambria Math" w:hAnsi="Cambria Math" w:eastAsia="Cambria Math"/>
                <w:i/>
              </w:rPr>
            </m:ctrlPr>
          </m:sSubPr>
          <m:e>
            <m:r>
              <m:rPr/>
              <w:rPr>
                <w:rFonts w:ascii="Cambria Math" w:hAnsi="Cambria Math" w:eastAsia="Cambria Math"/>
              </w:rPr>
              <m:t>r</m:t>
            </m:r>
            <m:ctrlPr>
              <w:rPr>
                <w:rFonts w:ascii="Cambria Math" w:hAnsi="Cambria Math" w:eastAsia="Cambria Math"/>
                <w:i/>
              </w:rPr>
            </m:ctrlPr>
          </m:e>
          <m:sub>
            <m:r>
              <m:rPr/>
              <w:rPr>
                <w:rFonts w:ascii="Cambria Math" w:hAnsi="Cambria Math" w:eastAsia="Cambria Math"/>
              </w:rPr>
              <m:t>t</m:t>
            </m:r>
            <m:ctrlPr>
              <w:rPr>
                <w:rFonts w:ascii="Cambria Math" w:hAnsi="Cambria Math" w:eastAsia="Cambria Math"/>
                <w:i/>
              </w:rPr>
            </m:ctrlPr>
          </m:sub>
        </m:sSub>
        <m:r>
          <m:rPr/>
          <w:rPr>
            <w:rFonts w:ascii="Cambria Math" w:hAnsi="Cambria Math" w:eastAsia="Cambria Math"/>
          </w:rPr>
          <m:t>=</m:t>
        </m:r>
        <m:f>
          <m:fPr>
            <m:ctrlPr>
              <w:rPr>
                <w:rFonts w:ascii="Cambria Math" w:hAnsi="Cambria Math" w:eastAsia="Cambria Math"/>
                <w:i/>
              </w:rPr>
            </m:ctrlPr>
          </m:fPr>
          <m:num>
            <m:sSub>
              <m:sSubPr>
                <m:ctrlPr>
                  <w:rPr>
                    <w:rFonts w:ascii="Cambria Math" w:hAnsi="Cambria Math" w:eastAsia="Cambria Math"/>
                    <w:i/>
                  </w:rPr>
                </m:ctrlPr>
              </m:sSubPr>
              <m:e>
                <m:r>
                  <m:rPr/>
                  <w:rPr>
                    <w:rFonts w:ascii="Cambria Math" w:hAnsi="Cambria Math" w:eastAsia="Cambria Math"/>
                  </w:rPr>
                  <m:t>P</m:t>
                </m:r>
                <m:ctrlPr>
                  <w:rPr>
                    <w:rFonts w:ascii="Cambria Math" w:hAnsi="Cambria Math" w:eastAsia="Cambria Math"/>
                    <w:i/>
                  </w:rPr>
                </m:ctrlPr>
              </m:e>
              <m:sub>
                <m:r>
                  <m:rPr/>
                  <w:rPr>
                    <w:rFonts w:ascii="Cambria Math" w:hAnsi="Cambria Math" w:eastAsia="Cambria Math"/>
                  </w:rPr>
                  <m:t>t</m:t>
                </m:r>
                <m:ctrlPr>
                  <w:rPr>
                    <w:rFonts w:ascii="Cambria Math" w:hAnsi="Cambria Math" w:eastAsia="Cambria Math"/>
                    <w:i/>
                  </w:rPr>
                </m:ctrlPr>
              </m:sub>
            </m:sSub>
            <m:r>
              <m:rPr/>
              <w:rPr>
                <w:rFonts w:ascii="Cambria Math" w:hAnsi="Cambria Math" w:eastAsia="Cambria Math"/>
              </w:rPr>
              <m:t>−</m:t>
            </m:r>
            <m:sSub>
              <m:sSubPr>
                <m:ctrlPr>
                  <w:rPr>
                    <w:rFonts w:ascii="Cambria Math" w:hAnsi="Cambria Math" w:eastAsia="Cambria Math"/>
                    <w:i/>
                  </w:rPr>
                </m:ctrlPr>
              </m:sSubPr>
              <m:e>
                <m:r>
                  <m:rPr/>
                  <w:rPr>
                    <w:rFonts w:ascii="Cambria Math" w:hAnsi="Cambria Math" w:eastAsia="Cambria Math"/>
                  </w:rPr>
                  <m:t>P</m:t>
                </m:r>
                <m:ctrlPr>
                  <w:rPr>
                    <w:rFonts w:ascii="Cambria Math" w:hAnsi="Cambria Math" w:eastAsia="Cambria Math"/>
                    <w:i/>
                  </w:rPr>
                </m:ctrlPr>
              </m:e>
              <m:sub>
                <m:r>
                  <m:rPr/>
                  <w:rPr>
                    <w:rFonts w:ascii="Cambria Math" w:hAnsi="Cambria Math" w:eastAsia="Cambria Math"/>
                  </w:rPr>
                  <m:t>t−1</m:t>
                </m:r>
                <m:ctrlPr>
                  <w:rPr>
                    <w:rFonts w:ascii="Cambria Math" w:hAnsi="Cambria Math" w:eastAsia="Cambria Math"/>
                    <w:i/>
                  </w:rPr>
                </m:ctrlPr>
              </m:sub>
            </m:sSub>
            <m:ctrlPr>
              <w:rPr>
                <w:rFonts w:ascii="Cambria Math" w:hAnsi="Cambria Math" w:eastAsia="Cambria Math"/>
                <w:i/>
              </w:rPr>
            </m:ctrlPr>
          </m:num>
          <m:den>
            <m:sSub>
              <m:sSubPr>
                <m:ctrlPr>
                  <w:rPr>
                    <w:rFonts w:ascii="Cambria Math" w:hAnsi="Cambria Math" w:eastAsia="Cambria Math"/>
                    <w:i/>
                  </w:rPr>
                </m:ctrlPr>
              </m:sSubPr>
              <m:e>
                <m:r>
                  <m:rPr/>
                  <w:rPr>
                    <w:rFonts w:ascii="Cambria Math" w:hAnsi="Cambria Math" w:eastAsia="Cambria Math"/>
                  </w:rPr>
                  <m:t>P</m:t>
                </m:r>
                <m:ctrlPr>
                  <w:rPr>
                    <w:rFonts w:ascii="Cambria Math" w:hAnsi="Cambria Math" w:eastAsia="Cambria Math"/>
                    <w:i/>
                  </w:rPr>
                </m:ctrlPr>
              </m:e>
              <m:sub>
                <m:r>
                  <m:rPr/>
                  <w:rPr>
                    <w:rFonts w:ascii="Cambria Math" w:hAnsi="Cambria Math" w:eastAsia="Cambria Math"/>
                  </w:rPr>
                  <m:t>t−1</m:t>
                </m:r>
                <m:ctrlPr>
                  <w:rPr>
                    <w:rFonts w:ascii="Cambria Math" w:hAnsi="Cambria Math" w:eastAsia="Cambria Math"/>
                    <w:i/>
                  </w:rPr>
                </m:ctrlPr>
              </m:sub>
            </m:sSub>
            <m:ctrlPr>
              <w:rPr>
                <w:rFonts w:ascii="Cambria Math" w:hAnsi="Cambria Math" w:eastAsia="Cambria Math"/>
                <w:i/>
              </w:rPr>
            </m:ctrlPr>
          </m:den>
        </m:f>
      </m:oMath>
      <w:r>
        <w:t>（2-1）</w:t>
      </w:r>
    </w:p>
    <w:p w14:paraId="426D4EF4">
      <w:r>
        <w:t>其中，r_t 表示第 t 日收益率，P_t 和 P_{t-1} 分别表示相邻两个交易日的收盘价。基于收益率序列，可以进一步定义滚动窗口下的年化波动率。</w:t>
      </w:r>
    </w:p>
    <w:p w14:paraId="5C9BF2D9">
      <w:pPr>
        <w:ind w:firstLine="0"/>
        <w:jc w:val="center"/>
      </w:pPr>
      <m:oMath>
        <m:sSub>
          <m:sSubPr>
            <m:ctrlPr>
              <w:rPr>
                <w:rFonts w:ascii="Cambria Math" w:hAnsi="Cambria Math" w:eastAsia="Cambria Math"/>
                <w:i/>
              </w:rPr>
            </m:ctrlPr>
          </m:sSubPr>
          <m:e>
            <m:r>
              <m:rPr/>
              <w:rPr>
                <w:rFonts w:hint="eastAsia" w:ascii="Cambria Math" w:hAnsi="Cambria Math" w:eastAsia="Cambria Math"/>
              </w:rPr>
              <m:t>σ</m:t>
            </m:r>
            <m:ctrlPr>
              <w:rPr>
                <w:rFonts w:hint="eastAsia" w:ascii="Cambria Math" w:hAnsi="Cambria Math" w:eastAsia="Cambria Math"/>
                <w:i/>
              </w:rPr>
            </m:ctrlPr>
          </m:e>
          <m:sub>
            <m:r>
              <m:rPr/>
              <w:rPr>
                <w:rFonts w:ascii="Cambria Math" w:hAnsi="Cambria Math" w:eastAsia="Cambria Math"/>
              </w:rPr>
              <m:t>t</m:t>
            </m:r>
            <m:ctrlPr>
              <w:rPr>
                <w:rFonts w:ascii="Cambria Math" w:hAnsi="Cambria Math" w:eastAsia="Cambria Math"/>
                <w:i/>
              </w:rPr>
            </m:ctrlPr>
          </m:sub>
        </m:sSub>
        <m:r>
          <m:rPr/>
          <w:rPr>
            <w:rFonts w:ascii="Cambria Math" w:hAnsi="Cambria Math" w:eastAsia="Cambria Math"/>
          </w:rPr>
          <m:t>=</m:t>
        </m:r>
        <m:rad>
          <m:radPr>
            <m:degHide m:val="1"/>
            <m:ctrlPr>
              <w:rPr>
                <w:rFonts w:ascii="Cambria Math" w:hAnsi="Cambria Math" w:eastAsia="Cambria Math"/>
                <w:i/>
              </w:rPr>
            </m:ctrlPr>
          </m:radPr>
          <m:deg>
            <m:ctrlPr>
              <w:rPr>
                <w:rFonts w:ascii="Cambria Math" w:hAnsi="Cambria Math" w:eastAsia="Cambria Math"/>
                <w:i/>
              </w:rPr>
            </m:ctrlPr>
          </m:deg>
          <m:e>
            <m:r>
              <m:rPr/>
              <w:rPr>
                <w:rFonts w:ascii="Cambria Math" w:hAnsi="Cambria Math" w:eastAsia="Cambria Math"/>
              </w:rPr>
              <m:t>252</m:t>
            </m:r>
            <m:ctrlPr>
              <w:rPr>
                <w:rFonts w:ascii="Cambria Math" w:hAnsi="Cambria Math" w:eastAsia="Cambria Math"/>
                <w:i/>
              </w:rPr>
            </m:ctrlPr>
          </m:e>
        </m:rad>
        <m:r>
          <m:rPr/>
          <w:rPr>
            <w:rFonts w:ascii="Cambria Math" w:hAnsi="Cambria Math" w:eastAsia="Cambria Math"/>
          </w:rPr>
          <m:t>×Std</m:t>
        </m:r>
        <m:d>
          <m:dPr>
            <m:ctrlPr>
              <w:rPr>
                <w:rFonts w:ascii="Cambria Math" w:hAnsi="Cambria Math" w:eastAsia="Cambria Math"/>
                <w:i/>
              </w:rPr>
            </m:ctrlPr>
          </m:dPr>
          <m:e>
            <m:sSub>
              <m:sSubPr>
                <m:ctrlPr>
                  <w:rPr>
                    <w:rFonts w:ascii="Cambria Math" w:hAnsi="Cambria Math" w:eastAsia="Cambria Math"/>
                    <w:i/>
                  </w:rPr>
                </m:ctrlPr>
              </m:sSubPr>
              <m:e>
                <m:r>
                  <m:rPr/>
                  <w:rPr>
                    <w:rFonts w:ascii="Cambria Math" w:hAnsi="Cambria Math" w:eastAsia="Cambria Math"/>
                  </w:rPr>
                  <m:t>r</m:t>
                </m:r>
                <m:ctrlPr>
                  <w:rPr>
                    <w:rFonts w:ascii="Cambria Math" w:hAnsi="Cambria Math" w:eastAsia="Cambria Math"/>
                    <w:i/>
                  </w:rPr>
                </m:ctrlPr>
              </m:e>
              <m:sub>
                <m:r>
                  <m:rPr/>
                  <w:rPr>
                    <w:rFonts w:ascii="Cambria Math" w:hAnsi="Cambria Math" w:eastAsia="Cambria Math"/>
                  </w:rPr>
                  <m:t>t−n+1</m:t>
                </m:r>
                <m:ctrlPr>
                  <w:rPr>
                    <w:rFonts w:ascii="Cambria Math" w:hAnsi="Cambria Math" w:eastAsia="Cambria Math"/>
                    <w:i/>
                  </w:rPr>
                </m:ctrlPr>
              </m:sub>
            </m:sSub>
            <m:r>
              <m:rPr/>
              <w:rPr>
                <w:rFonts w:ascii="Cambria Math" w:hAnsi="Cambria Math" w:eastAsia="Cambria Math"/>
              </w:rPr>
              <m:t>,…,</m:t>
            </m:r>
            <m:sSub>
              <m:sSubPr>
                <m:ctrlPr>
                  <w:rPr>
                    <w:rFonts w:ascii="Cambria Math" w:hAnsi="Cambria Math" w:eastAsia="Cambria Math"/>
                    <w:i/>
                  </w:rPr>
                </m:ctrlPr>
              </m:sSubPr>
              <m:e>
                <m:r>
                  <m:rPr/>
                  <w:rPr>
                    <w:rFonts w:ascii="Cambria Math" w:hAnsi="Cambria Math" w:eastAsia="Cambria Math"/>
                  </w:rPr>
                  <m:t>r</m:t>
                </m:r>
                <m:ctrlPr>
                  <w:rPr>
                    <w:rFonts w:ascii="Cambria Math" w:hAnsi="Cambria Math" w:eastAsia="Cambria Math"/>
                    <w:i/>
                  </w:rPr>
                </m:ctrlPr>
              </m:e>
              <m:sub>
                <m:r>
                  <m:rPr/>
                  <w:rPr>
                    <w:rFonts w:ascii="Cambria Math" w:hAnsi="Cambria Math" w:eastAsia="Cambria Math"/>
                  </w:rPr>
                  <m:t>t</m:t>
                </m:r>
                <m:ctrlPr>
                  <w:rPr>
                    <w:rFonts w:ascii="Cambria Math" w:hAnsi="Cambria Math" w:eastAsia="Cambria Math"/>
                    <w:i/>
                  </w:rPr>
                </m:ctrlPr>
              </m:sub>
            </m:sSub>
            <m:ctrlPr>
              <w:rPr>
                <w:rFonts w:ascii="Cambria Math" w:hAnsi="Cambria Math" w:eastAsia="Cambria Math"/>
                <w:i/>
              </w:rPr>
            </m:ctrlPr>
          </m:e>
        </m:d>
      </m:oMath>
      <w:r>
        <w:t>（2-2）</w:t>
      </w:r>
    </w:p>
    <w:p w14:paraId="65C05628">
      <w:r>
        <w:t>式中，n 为滚动窗口长度，Std 表示样本标准差，252 表示一年内近似交易日数量。为提升对近期市场变化的敏感度，系统同时引入 EWMA 方式估计条件波动率。</w:t>
      </w:r>
    </w:p>
    <w:p w14:paraId="4D4B0C3D">
      <w:pPr>
        <w:ind w:firstLine="0"/>
        <w:jc w:val="center"/>
      </w:pPr>
      <m:oMath>
        <m:sSubSup>
          <m:sSubSupPr>
            <m:ctrlPr>
              <w:rPr>
                <w:rFonts w:ascii="Cambria Math" w:hAnsi="Cambria Math" w:eastAsia="Cambria Math"/>
                <w:i/>
              </w:rPr>
            </m:ctrlPr>
          </m:sSubSupPr>
          <m:e>
            <m:r>
              <m:rPr/>
              <w:rPr>
                <w:rFonts w:hint="eastAsia" w:ascii="Cambria Math" w:hAnsi="Cambria Math" w:eastAsia="Cambria Math"/>
              </w:rPr>
              <m:t>σ</m:t>
            </m:r>
            <m:ctrlPr>
              <w:rPr>
                <w:rFonts w:hint="eastAsia" w:ascii="Cambria Math" w:hAnsi="Cambria Math" w:eastAsia="Cambria Math"/>
                <w:i/>
              </w:rPr>
            </m:ctrlPr>
          </m:e>
          <m:sub>
            <m:r>
              <m:rPr/>
              <w:rPr>
                <w:rFonts w:ascii="Cambria Math" w:hAnsi="Cambria Math" w:eastAsia="Cambria Math"/>
              </w:rPr>
              <m:t>t</m:t>
            </m:r>
            <m:ctrlPr>
              <w:rPr>
                <w:rFonts w:ascii="Cambria Math" w:hAnsi="Cambria Math" w:eastAsia="Cambria Math"/>
                <w:i/>
              </w:rPr>
            </m:ctrlPr>
          </m:sub>
          <m:sup>
            <m:r>
              <m:rPr/>
              <w:rPr>
                <w:rFonts w:ascii="Cambria Math" w:hAnsi="Cambria Math" w:eastAsia="Cambria Math"/>
              </w:rPr>
              <m:t>2</m:t>
            </m:r>
            <m:ctrlPr>
              <w:rPr>
                <w:rFonts w:ascii="Cambria Math" w:hAnsi="Cambria Math" w:eastAsia="Cambria Math"/>
                <w:i/>
              </w:rPr>
            </m:ctrlPr>
          </m:sup>
        </m:sSubSup>
        <m:r>
          <m:rPr/>
          <w:rPr>
            <w:rFonts w:ascii="Cambria Math" w:hAnsi="Cambria Math" w:eastAsia="Cambria Math"/>
          </w:rPr>
          <m:t>=λ</m:t>
        </m:r>
        <m:sSubSup>
          <m:sSubSupPr>
            <m:ctrlPr>
              <w:rPr>
                <w:rFonts w:ascii="Cambria Math" w:hAnsi="Cambria Math" w:eastAsia="Cambria Math"/>
                <w:i/>
              </w:rPr>
            </m:ctrlPr>
          </m:sSubSupPr>
          <m:e>
            <m:r>
              <m:rPr/>
              <w:rPr>
                <w:rFonts w:ascii="Cambria Math" w:hAnsi="Cambria Math" w:eastAsia="Cambria Math"/>
              </w:rPr>
              <m:t>σ</m:t>
            </m:r>
            <m:ctrlPr>
              <w:rPr>
                <w:rFonts w:ascii="Cambria Math" w:hAnsi="Cambria Math" w:eastAsia="Cambria Math"/>
                <w:i/>
              </w:rPr>
            </m:ctrlPr>
          </m:e>
          <m:sub>
            <m:r>
              <m:rPr/>
              <w:rPr>
                <w:rFonts w:ascii="Cambria Math" w:hAnsi="Cambria Math" w:eastAsia="Cambria Math"/>
              </w:rPr>
              <m:t>t−1</m:t>
            </m:r>
            <m:ctrlPr>
              <w:rPr>
                <w:rFonts w:ascii="Cambria Math" w:hAnsi="Cambria Math" w:eastAsia="Cambria Math"/>
                <w:i/>
              </w:rPr>
            </m:ctrlPr>
          </m:sub>
          <m:sup>
            <m:r>
              <m:rPr/>
              <w:rPr>
                <w:rFonts w:ascii="Cambria Math" w:hAnsi="Cambria Math" w:eastAsia="Cambria Math"/>
              </w:rPr>
              <m:t>2</m:t>
            </m:r>
            <m:ctrlPr>
              <w:rPr>
                <w:rFonts w:ascii="Cambria Math" w:hAnsi="Cambria Math" w:eastAsia="Cambria Math"/>
                <w:i/>
              </w:rPr>
            </m:ctrlPr>
          </m:sup>
        </m:sSubSup>
        <m:r>
          <m:rPr/>
          <w:rPr>
            <w:rFonts w:ascii="Cambria Math" w:hAnsi="Cambria Math" w:eastAsia="Cambria Math"/>
          </w:rPr>
          <m:t>+</m:t>
        </m:r>
        <m:d>
          <m:dPr>
            <m:ctrlPr>
              <w:rPr>
                <w:rFonts w:ascii="Cambria Math" w:hAnsi="Cambria Math" w:eastAsia="Cambria Math"/>
                <w:i/>
              </w:rPr>
            </m:ctrlPr>
          </m:dPr>
          <m:e>
            <m:r>
              <m:rPr/>
              <w:rPr>
                <w:rFonts w:ascii="Cambria Math" w:hAnsi="Cambria Math" w:eastAsia="Cambria Math"/>
              </w:rPr>
              <m:t>1−λ</m:t>
            </m:r>
            <m:ctrlPr>
              <w:rPr>
                <w:rFonts w:ascii="Cambria Math" w:hAnsi="Cambria Math" w:eastAsia="Cambria Math"/>
                <w:i/>
              </w:rPr>
            </m:ctrlPr>
          </m:e>
        </m:d>
        <m:sSubSup>
          <m:sSubSupPr>
            <m:ctrlPr>
              <w:rPr>
                <w:rFonts w:ascii="Cambria Math" w:hAnsi="Cambria Math" w:eastAsia="Cambria Math"/>
                <w:i/>
              </w:rPr>
            </m:ctrlPr>
          </m:sSubSupPr>
          <m:e>
            <m:r>
              <m:rPr/>
              <w:rPr>
                <w:rFonts w:ascii="Cambria Math" w:hAnsi="Cambria Math" w:eastAsia="Cambria Math"/>
              </w:rPr>
              <m:t>r</m:t>
            </m:r>
            <m:ctrlPr>
              <w:rPr>
                <w:rFonts w:ascii="Cambria Math" w:hAnsi="Cambria Math" w:eastAsia="Cambria Math"/>
                <w:i/>
              </w:rPr>
            </m:ctrlPr>
          </m:e>
          <m:sub>
            <m:r>
              <m:rPr/>
              <w:rPr>
                <w:rFonts w:ascii="Cambria Math" w:hAnsi="Cambria Math" w:eastAsia="Cambria Math"/>
              </w:rPr>
              <m:t>t</m:t>
            </m:r>
            <m:ctrlPr>
              <w:rPr>
                <w:rFonts w:ascii="Cambria Math" w:hAnsi="Cambria Math" w:eastAsia="Cambria Math"/>
                <w:i/>
              </w:rPr>
            </m:ctrlPr>
          </m:sub>
          <m:sup>
            <m:r>
              <m:rPr/>
              <w:rPr>
                <w:rFonts w:ascii="Cambria Math" w:hAnsi="Cambria Math" w:eastAsia="Cambria Math"/>
              </w:rPr>
              <m:t>2</m:t>
            </m:r>
            <m:ctrlPr>
              <w:rPr>
                <w:rFonts w:ascii="Cambria Math" w:hAnsi="Cambria Math" w:eastAsia="Cambria Math"/>
                <w:i/>
              </w:rPr>
            </m:ctrlPr>
          </m:sup>
        </m:sSubSup>
      </m:oMath>
      <w:r>
        <w:t>（2-3）</w:t>
      </w:r>
    </w:p>
    <w:p w14:paraId="53216B75">
      <w:r>
        <w:t>其中，λ 为衰减系数，本文实现中采用 0.94 作为经验参数。风险价值 VaR 用于刻画给定置信水平下的潜在最大损失，本文采用历史模拟法，其定义如下。</w:t>
      </w:r>
    </w:p>
    <w:p w14:paraId="3E8C9766">
      <w:pPr>
        <w:ind w:firstLine="0"/>
        <w:jc w:val="center"/>
      </w:pPr>
      <m:oMath>
        <m:r>
          <m:rPr/>
          <w:rPr>
            <w:rFonts w:ascii="Cambria Math" w:hAnsi="Cambria Math" w:eastAsia="Cambria Math"/>
          </w:rPr>
          <m:t>Va</m:t>
        </m:r>
        <m:sSub>
          <m:sSubPr>
            <m:ctrlPr>
              <w:rPr>
                <w:rFonts w:ascii="Cambria Math" w:hAnsi="Cambria Math" w:eastAsia="Cambria Math"/>
                <w:i/>
              </w:rPr>
            </m:ctrlPr>
          </m:sSubPr>
          <m:e>
            <m:r>
              <m:rPr/>
              <w:rPr>
                <w:rFonts w:ascii="Cambria Math" w:hAnsi="Cambria Math" w:eastAsia="Cambria Math"/>
              </w:rPr>
              <m:t>R</m:t>
            </m:r>
            <m:ctrlPr>
              <w:rPr>
                <w:rFonts w:ascii="Cambria Math" w:hAnsi="Cambria Math" w:eastAsia="Cambria Math"/>
                <w:i/>
              </w:rPr>
            </m:ctrlPr>
          </m:e>
          <m:sub>
            <m:r>
              <m:rPr/>
              <w:rPr>
                <w:rFonts w:ascii="Cambria Math" w:hAnsi="Cambria Math" w:eastAsia="Cambria Math"/>
              </w:rPr>
              <m:t>c,L</m:t>
            </m:r>
            <m:ctrlPr>
              <w:rPr>
                <w:rFonts w:ascii="Cambria Math" w:hAnsi="Cambria Math" w:eastAsia="Cambria Math"/>
                <w:i/>
              </w:rPr>
            </m:ctrlPr>
          </m:sub>
        </m:sSub>
        <m:r>
          <m:rPr/>
          <w:rPr>
            <w:rFonts w:ascii="Cambria Math" w:hAnsi="Cambria Math" w:eastAsia="Cambria Math"/>
          </w:rPr>
          <m:t>=−</m:t>
        </m:r>
        <m:sSub>
          <m:sSubPr>
            <m:ctrlPr>
              <w:rPr>
                <w:rFonts w:ascii="Cambria Math" w:hAnsi="Cambria Math" w:eastAsia="Cambria Math"/>
                <w:i/>
              </w:rPr>
            </m:ctrlPr>
          </m:sSubPr>
          <m:e>
            <m:r>
              <m:rPr/>
              <w:rPr>
                <w:rFonts w:ascii="Cambria Math" w:hAnsi="Cambria Math" w:eastAsia="Cambria Math"/>
              </w:rPr>
              <m:t>Q</m:t>
            </m:r>
            <m:ctrlPr>
              <w:rPr>
                <w:rFonts w:ascii="Cambria Math" w:hAnsi="Cambria Math" w:eastAsia="Cambria Math"/>
                <w:i/>
              </w:rPr>
            </m:ctrlPr>
          </m:e>
          <m:sub>
            <m:d>
              <m:dPr>
                <m:ctrlPr>
                  <w:rPr>
                    <w:rFonts w:ascii="Cambria Math" w:hAnsi="Cambria Math" w:eastAsia="Cambria Math"/>
                    <w:i/>
                  </w:rPr>
                </m:ctrlPr>
              </m:dPr>
              <m:e>
                <m:r>
                  <m:rPr/>
                  <w:rPr>
                    <w:rFonts w:ascii="Cambria Math" w:hAnsi="Cambria Math" w:eastAsia="Cambria Math"/>
                  </w:rPr>
                  <m:t>1−c</m:t>
                </m:r>
                <m:ctrlPr>
                  <w:rPr>
                    <w:rFonts w:ascii="Cambria Math" w:hAnsi="Cambria Math" w:eastAsia="Cambria Math"/>
                    <w:i/>
                  </w:rPr>
                </m:ctrlPr>
              </m:e>
            </m:d>
            <m:d>
              <m:dPr>
                <m:ctrlPr>
                  <w:rPr>
                    <w:rFonts w:ascii="Cambria Math" w:hAnsi="Cambria Math" w:eastAsia="Cambria Math"/>
                    <w:i/>
                  </w:rPr>
                </m:ctrlPr>
              </m:dPr>
              <m:e>
                <m:sSub>
                  <m:sSubPr>
                    <m:ctrlPr>
                      <w:rPr>
                        <w:rFonts w:ascii="Cambria Math" w:hAnsi="Cambria Math" w:eastAsia="Cambria Math"/>
                        <w:i/>
                      </w:rPr>
                    </m:ctrlPr>
                  </m:sSubPr>
                  <m:e>
                    <m:r>
                      <m:rPr/>
                      <w:rPr>
                        <w:rFonts w:ascii="Cambria Math" w:hAnsi="Cambria Math" w:eastAsia="Cambria Math"/>
                      </w:rPr>
                      <m:t>r</m:t>
                    </m:r>
                    <m:ctrlPr>
                      <w:rPr>
                        <w:rFonts w:ascii="Cambria Math" w:hAnsi="Cambria Math" w:eastAsia="Cambria Math"/>
                        <w:i/>
                      </w:rPr>
                    </m:ctrlPr>
                  </m:e>
                  <m:sub>
                    <m:r>
                      <m:rPr/>
                      <w:rPr>
                        <w:rFonts w:ascii="Cambria Math" w:hAnsi="Cambria Math" w:eastAsia="Cambria Math"/>
                      </w:rPr>
                      <m:t>t−L+1</m:t>
                    </m:r>
                    <m:ctrlPr>
                      <w:rPr>
                        <w:rFonts w:ascii="Cambria Math" w:hAnsi="Cambria Math" w:eastAsia="Cambria Math"/>
                        <w:i/>
                      </w:rPr>
                    </m:ctrlPr>
                  </m:sub>
                </m:sSub>
                <m:r>
                  <m:rPr/>
                  <w:rPr>
                    <w:rFonts w:ascii="Cambria Math" w:hAnsi="Cambria Math" w:eastAsia="Cambria Math"/>
                  </w:rPr>
                  <m:t>,…,</m:t>
                </m:r>
                <m:sSub>
                  <m:sSubPr>
                    <m:ctrlPr>
                      <w:rPr>
                        <w:rFonts w:ascii="Cambria Math" w:hAnsi="Cambria Math" w:eastAsia="Cambria Math"/>
                        <w:i/>
                      </w:rPr>
                    </m:ctrlPr>
                  </m:sSubPr>
                  <m:e>
                    <m:r>
                      <m:rPr/>
                      <w:rPr>
                        <w:rFonts w:ascii="Cambria Math" w:hAnsi="Cambria Math" w:eastAsia="Cambria Math"/>
                      </w:rPr>
                      <m:t>r</m:t>
                    </m:r>
                    <m:ctrlPr>
                      <w:rPr>
                        <w:rFonts w:ascii="Cambria Math" w:hAnsi="Cambria Math" w:eastAsia="Cambria Math"/>
                        <w:i/>
                      </w:rPr>
                    </m:ctrlPr>
                  </m:e>
                  <m:sub>
                    <m:r>
                      <m:rPr/>
                      <w:rPr>
                        <w:rFonts w:ascii="Cambria Math" w:hAnsi="Cambria Math" w:eastAsia="Cambria Math"/>
                      </w:rPr>
                      <m:t>t</m:t>
                    </m:r>
                    <m:ctrlPr>
                      <w:rPr>
                        <w:rFonts w:ascii="Cambria Math" w:hAnsi="Cambria Math" w:eastAsia="Cambria Math"/>
                        <w:i/>
                      </w:rPr>
                    </m:ctrlPr>
                  </m:sub>
                </m:sSub>
                <m:ctrlPr>
                  <w:rPr>
                    <w:rFonts w:ascii="Cambria Math" w:hAnsi="Cambria Math" w:eastAsia="Cambria Math"/>
                    <w:i/>
                  </w:rPr>
                </m:ctrlPr>
              </m:e>
            </m:d>
            <m:ctrlPr>
              <w:rPr>
                <w:rFonts w:ascii="Cambria Math" w:hAnsi="Cambria Math" w:eastAsia="Cambria Math"/>
                <w:i/>
              </w:rPr>
            </m:ctrlPr>
          </m:sub>
        </m:sSub>
      </m:oMath>
      <w:r>
        <w:t>（2-4）</w:t>
      </w:r>
    </w:p>
    <w:p w14:paraId="3298FCD9">
      <w:r>
        <w:t>其中，c 为置信水平，L 为回溯窗口，Q 为经验分位数函数。考虑到市场表现与宏观变量之间的联动性，系统还计算收益率与宏观指标之间的 Pearson 相关系数。</w:t>
      </w:r>
    </w:p>
    <w:p w14:paraId="62672C34">
      <w:pPr>
        <w:ind w:firstLine="0"/>
        <w:jc w:val="center"/>
      </w:pPr>
      <m:oMath>
        <m:sSub>
          <m:sSubPr>
            <m:ctrlPr>
              <w:rPr>
                <w:rFonts w:ascii="Cambria Math" w:hAnsi="Cambria Math" w:eastAsia="Cambria Math"/>
                <w:i/>
              </w:rPr>
            </m:ctrlPr>
          </m:sSubPr>
          <m:e>
            <m:r>
              <m:rPr/>
              <w:rPr>
                <w:rFonts w:hint="eastAsia" w:ascii="Cambria Math" w:hAnsi="Cambria Math" w:eastAsia="Cambria Math"/>
              </w:rPr>
              <m:t>ρ</m:t>
            </m:r>
            <m:ctrlPr>
              <w:rPr>
                <w:rFonts w:hint="eastAsia" w:ascii="Cambria Math" w:hAnsi="Cambria Math" w:eastAsia="Cambria Math"/>
                <w:i/>
              </w:rPr>
            </m:ctrlPr>
          </m:e>
          <m:sub>
            <m:r>
              <m:rPr/>
              <w:rPr>
                <w:rFonts w:ascii="Cambria Math" w:hAnsi="Cambria Math" w:eastAsia="Cambria Math"/>
              </w:rPr>
              <m:t>xy</m:t>
            </m:r>
            <m:ctrlPr>
              <w:rPr>
                <w:rFonts w:ascii="Cambria Math" w:hAnsi="Cambria Math" w:eastAsia="Cambria Math"/>
                <w:i/>
              </w:rPr>
            </m:ctrlPr>
          </m:sub>
        </m:sSub>
        <m:r>
          <m:rPr/>
          <w:rPr>
            <w:rFonts w:ascii="Cambria Math" w:hAnsi="Cambria Math" w:eastAsia="Cambria Math"/>
          </w:rPr>
          <m:t>=</m:t>
        </m:r>
        <m:f>
          <m:fPr>
            <m:ctrlPr>
              <w:rPr>
                <w:rFonts w:ascii="Cambria Math" w:hAnsi="Cambria Math" w:eastAsia="Cambria Math"/>
                <w:i/>
              </w:rPr>
            </m:ctrlPr>
          </m:fPr>
          <m:num>
            <m:sSubSup>
              <m:sSubSupPr>
                <m:ctrlPr>
                  <w:rPr>
                    <w:rFonts w:ascii="Cambria Math" w:hAnsi="Cambria Math" w:eastAsia="Cambria Math"/>
                    <w:i/>
                  </w:rPr>
                </m:ctrlPr>
              </m:sSubSupPr>
              <m:e>
                <m:r>
                  <m:rPr/>
                  <w:rPr>
                    <w:rFonts w:ascii="Cambria Math" w:hAnsi="Cambria Math" w:eastAsia="Cambria Math"/>
                  </w:rPr>
                  <m:t>Σ</m:t>
                </m:r>
                <m:ctrlPr>
                  <w:rPr>
                    <w:rFonts w:ascii="Cambria Math" w:hAnsi="Cambria Math" w:eastAsia="Cambria Math"/>
                    <w:i/>
                  </w:rPr>
                </m:ctrlPr>
              </m:e>
              <m:sub>
                <m:r>
                  <m:rPr/>
                  <w:rPr>
                    <w:rFonts w:ascii="Cambria Math" w:hAnsi="Cambria Math" w:eastAsia="Cambria Math"/>
                  </w:rPr>
                  <m:t>i=1</m:t>
                </m:r>
                <m:ctrlPr>
                  <w:rPr>
                    <w:rFonts w:ascii="Cambria Math" w:hAnsi="Cambria Math" w:eastAsia="Cambria Math"/>
                    <w:i/>
                  </w:rPr>
                </m:ctrlPr>
              </m:sub>
              <m:sup>
                <m:r>
                  <m:rPr/>
                  <w:rPr>
                    <w:rFonts w:ascii="Cambria Math" w:hAnsi="Cambria Math" w:eastAsia="Cambria Math"/>
                  </w:rPr>
                  <m:t>n</m:t>
                </m:r>
                <m:d>
                  <m:dPr>
                    <m:ctrlPr>
                      <w:rPr>
                        <w:rFonts w:ascii="Cambria Math" w:hAnsi="Cambria Math" w:eastAsia="Cambria Math"/>
                        <w:i/>
                      </w:rPr>
                    </m:ctrlPr>
                  </m:dPr>
                  <m:e>
                    <m:sSub>
                      <m:sSubPr>
                        <m:ctrlPr>
                          <w:rPr>
                            <w:rFonts w:ascii="Cambria Math" w:hAnsi="Cambria Math" w:eastAsia="Cambria Math"/>
                            <w:i/>
                          </w:rPr>
                        </m:ctrlPr>
                      </m:sSubPr>
                      <m:e>
                        <m:r>
                          <m:rPr/>
                          <w:rPr>
                            <w:rFonts w:ascii="Cambria Math" w:hAnsi="Cambria Math" w:eastAsia="Cambria Math"/>
                          </w:rPr>
                          <m:t>x</m:t>
                        </m:r>
                        <m:ctrlPr>
                          <w:rPr>
                            <w:rFonts w:ascii="Cambria Math" w:hAnsi="Cambria Math" w:eastAsia="Cambria Math"/>
                            <w:i/>
                          </w:rPr>
                        </m:ctrlPr>
                      </m:e>
                      <m:sub>
                        <m:r>
                          <m:rPr/>
                          <w:rPr>
                            <w:rFonts w:ascii="Cambria Math" w:hAnsi="Cambria Math" w:eastAsia="Cambria Math"/>
                          </w:rPr>
                          <m:t>i</m:t>
                        </m:r>
                        <m:ctrlPr>
                          <w:rPr>
                            <w:rFonts w:ascii="Cambria Math" w:hAnsi="Cambria Math" w:eastAsia="Cambria Math"/>
                            <w:i/>
                          </w:rPr>
                        </m:ctrlPr>
                      </m:sub>
                    </m:sSub>
                    <m:r>
                      <m:rPr/>
                      <w:rPr>
                        <w:rFonts w:ascii="Cambria Math" w:hAnsi="Cambria Math" w:eastAsia="Cambria Math"/>
                      </w:rPr>
                      <m:t>−</m:t>
                    </m:r>
                    <m:acc>
                      <m:accPr>
                        <m:chr m:val="̄"/>
                        <m:ctrlPr>
                          <w:rPr>
                            <w:rFonts w:ascii="Cambria Math" w:hAnsi="Cambria Math" w:eastAsia="Cambria Math"/>
                            <w:i/>
                          </w:rPr>
                        </m:ctrlPr>
                      </m:accPr>
                      <m:e>
                        <m:r>
                          <m:rPr/>
                          <w:rPr>
                            <w:rFonts w:ascii="Cambria Math" w:hAnsi="Cambria Math" w:eastAsia="Cambria Math"/>
                          </w:rPr>
                          <m:t>x</m:t>
                        </m:r>
                        <m:ctrlPr>
                          <w:rPr>
                            <w:rFonts w:ascii="Cambria Math" w:hAnsi="Cambria Math" w:eastAsia="Cambria Math"/>
                            <w:i/>
                          </w:rPr>
                        </m:ctrlPr>
                      </m:e>
                    </m:acc>
                    <m:ctrlPr>
                      <w:rPr>
                        <w:rFonts w:ascii="Cambria Math" w:hAnsi="Cambria Math" w:eastAsia="Cambria Math"/>
                        <w:i/>
                      </w:rPr>
                    </m:ctrlPr>
                  </m:e>
                </m:d>
                <m:d>
                  <m:dPr>
                    <m:ctrlPr>
                      <w:rPr>
                        <w:rFonts w:ascii="Cambria Math" w:hAnsi="Cambria Math" w:eastAsia="Cambria Math"/>
                        <w:i/>
                      </w:rPr>
                    </m:ctrlPr>
                  </m:dPr>
                  <m:e>
                    <m:sSub>
                      <m:sSubPr>
                        <m:ctrlPr>
                          <w:rPr>
                            <w:rFonts w:ascii="Cambria Math" w:hAnsi="Cambria Math" w:eastAsia="Cambria Math"/>
                            <w:i/>
                          </w:rPr>
                        </m:ctrlPr>
                      </m:sSubPr>
                      <m:e>
                        <m:r>
                          <m:rPr/>
                          <w:rPr>
                            <w:rFonts w:ascii="Cambria Math" w:hAnsi="Cambria Math" w:eastAsia="Cambria Math"/>
                          </w:rPr>
                          <m:t>y</m:t>
                        </m:r>
                        <m:ctrlPr>
                          <w:rPr>
                            <w:rFonts w:ascii="Cambria Math" w:hAnsi="Cambria Math" w:eastAsia="Cambria Math"/>
                            <w:i/>
                          </w:rPr>
                        </m:ctrlPr>
                      </m:e>
                      <m:sub>
                        <m:r>
                          <m:rPr/>
                          <w:rPr>
                            <w:rFonts w:ascii="Cambria Math" w:hAnsi="Cambria Math" w:eastAsia="Cambria Math"/>
                          </w:rPr>
                          <m:t>i</m:t>
                        </m:r>
                        <m:ctrlPr>
                          <w:rPr>
                            <w:rFonts w:ascii="Cambria Math" w:hAnsi="Cambria Math" w:eastAsia="Cambria Math"/>
                            <w:i/>
                          </w:rPr>
                        </m:ctrlPr>
                      </m:sub>
                    </m:sSub>
                    <m:r>
                      <m:rPr/>
                      <w:rPr>
                        <w:rFonts w:ascii="Cambria Math" w:hAnsi="Cambria Math" w:eastAsia="Cambria Math"/>
                      </w:rPr>
                      <m:t>−ȳ</m:t>
                    </m:r>
                    <m:ctrlPr>
                      <w:rPr>
                        <w:rFonts w:ascii="Cambria Math" w:hAnsi="Cambria Math" w:eastAsia="Cambria Math"/>
                        <w:i/>
                      </w:rPr>
                    </m:ctrlPr>
                  </m:e>
                </m:d>
                <m:ctrlPr>
                  <w:rPr>
                    <w:rFonts w:ascii="Cambria Math" w:hAnsi="Cambria Math" w:eastAsia="Cambria Math"/>
                    <w:i/>
                  </w:rPr>
                </m:ctrlPr>
              </m:sup>
            </m:sSubSup>
            <m:ctrlPr>
              <w:rPr>
                <w:rFonts w:ascii="Cambria Math" w:hAnsi="Cambria Math" w:eastAsia="Cambria Math"/>
                <w:i/>
              </w:rPr>
            </m:ctrlPr>
          </m:num>
          <m:den>
            <m:rad>
              <m:radPr>
                <m:degHide m:val="1"/>
                <m:ctrlPr>
                  <w:rPr>
                    <w:rFonts w:ascii="Cambria Math" w:hAnsi="Cambria Math" w:eastAsia="Cambria Math"/>
                    <w:i/>
                  </w:rPr>
                </m:ctrlPr>
              </m:radPr>
              <m:deg>
                <m:ctrlPr>
                  <w:rPr>
                    <w:rFonts w:ascii="Cambria Math" w:hAnsi="Cambria Math" w:eastAsia="Cambria Math"/>
                    <w:i/>
                  </w:rPr>
                </m:ctrlPr>
              </m:deg>
              <m:e>
                <m:d>
                  <m:dPr>
                    <m:ctrlPr>
                      <w:rPr>
                        <w:rFonts w:ascii="Cambria Math" w:hAnsi="Cambria Math" w:eastAsia="Cambria Math"/>
                        <w:i/>
                      </w:rPr>
                    </m:ctrlPr>
                  </m:dPr>
                  <m:e>
                    <m:sSubSup>
                      <m:sSubSupPr>
                        <m:ctrlPr>
                          <w:rPr>
                            <w:rFonts w:ascii="Cambria Math" w:hAnsi="Cambria Math" w:eastAsia="Cambria Math"/>
                            <w:i/>
                          </w:rPr>
                        </m:ctrlPr>
                      </m:sSubSupPr>
                      <m:e>
                        <m:r>
                          <m:rPr/>
                          <w:rPr>
                            <w:rFonts w:ascii="Cambria Math" w:hAnsi="Cambria Math" w:eastAsia="Cambria Math"/>
                          </w:rPr>
                          <m:t>Σ</m:t>
                        </m:r>
                        <m:ctrlPr>
                          <w:rPr>
                            <w:rFonts w:ascii="Cambria Math" w:hAnsi="Cambria Math" w:eastAsia="Cambria Math"/>
                            <w:i/>
                          </w:rPr>
                        </m:ctrlPr>
                      </m:e>
                      <m:sub>
                        <m:r>
                          <m:rPr/>
                          <w:rPr>
                            <w:rFonts w:ascii="Cambria Math" w:hAnsi="Cambria Math" w:eastAsia="Cambria Math"/>
                          </w:rPr>
                          <m:t>i=1</m:t>
                        </m:r>
                        <m:ctrlPr>
                          <w:rPr>
                            <w:rFonts w:ascii="Cambria Math" w:hAnsi="Cambria Math" w:eastAsia="Cambria Math"/>
                            <w:i/>
                          </w:rPr>
                        </m:ctrlPr>
                      </m:sub>
                      <m:sup>
                        <m:r>
                          <m:rPr/>
                          <w:rPr>
                            <w:rFonts w:ascii="Cambria Math" w:hAnsi="Cambria Math" w:eastAsia="Cambria Math"/>
                          </w:rPr>
                          <m:t>n</m:t>
                        </m:r>
                        <m:sSup>
                          <m:sSupPr>
                            <m:ctrlPr>
                              <w:rPr>
                                <w:rFonts w:ascii="Cambria Math" w:hAnsi="Cambria Math" w:eastAsia="Cambria Math"/>
                                <w:i/>
                              </w:rPr>
                            </m:ctrlPr>
                          </m:sSupPr>
                          <m:e>
                            <m:d>
                              <m:dPr>
                                <m:ctrlPr>
                                  <w:rPr>
                                    <w:rFonts w:ascii="Cambria Math" w:hAnsi="Cambria Math" w:eastAsia="Cambria Math"/>
                                    <w:i/>
                                  </w:rPr>
                                </m:ctrlPr>
                              </m:dPr>
                              <m:e>
                                <m:sSub>
                                  <m:sSubPr>
                                    <m:ctrlPr>
                                      <w:rPr>
                                        <w:rFonts w:ascii="Cambria Math" w:hAnsi="Cambria Math" w:eastAsia="Cambria Math"/>
                                        <w:i/>
                                      </w:rPr>
                                    </m:ctrlPr>
                                  </m:sSubPr>
                                  <m:e>
                                    <m:r>
                                      <m:rPr/>
                                      <w:rPr>
                                        <w:rFonts w:ascii="Cambria Math" w:hAnsi="Cambria Math" w:eastAsia="Cambria Math"/>
                                      </w:rPr>
                                      <m:t>x</m:t>
                                    </m:r>
                                    <m:ctrlPr>
                                      <w:rPr>
                                        <w:rFonts w:ascii="Cambria Math" w:hAnsi="Cambria Math" w:eastAsia="Cambria Math"/>
                                        <w:i/>
                                      </w:rPr>
                                    </m:ctrlPr>
                                  </m:e>
                                  <m:sub>
                                    <m:r>
                                      <m:rPr/>
                                      <w:rPr>
                                        <w:rFonts w:ascii="Cambria Math" w:hAnsi="Cambria Math" w:eastAsia="Cambria Math"/>
                                      </w:rPr>
                                      <m:t>i</m:t>
                                    </m:r>
                                    <m:ctrlPr>
                                      <w:rPr>
                                        <w:rFonts w:ascii="Cambria Math" w:hAnsi="Cambria Math" w:eastAsia="Cambria Math"/>
                                        <w:i/>
                                      </w:rPr>
                                    </m:ctrlPr>
                                  </m:sub>
                                </m:sSub>
                                <m:r>
                                  <m:rPr/>
                                  <w:rPr>
                                    <w:rFonts w:ascii="Cambria Math" w:hAnsi="Cambria Math" w:eastAsia="Cambria Math"/>
                                  </w:rPr>
                                  <m:t>−</m:t>
                                </m:r>
                                <m:acc>
                                  <m:accPr>
                                    <m:chr m:val="̄"/>
                                    <m:ctrlPr>
                                      <w:rPr>
                                        <w:rFonts w:ascii="Cambria Math" w:hAnsi="Cambria Math" w:eastAsia="Cambria Math"/>
                                        <w:i/>
                                      </w:rPr>
                                    </m:ctrlPr>
                                  </m:accPr>
                                  <m:e>
                                    <m:r>
                                      <m:rPr/>
                                      <w:rPr>
                                        <w:rFonts w:ascii="Cambria Math" w:hAnsi="Cambria Math" w:eastAsia="Cambria Math"/>
                                      </w:rPr>
                                      <m:t>x</m:t>
                                    </m:r>
                                    <m:ctrlPr>
                                      <w:rPr>
                                        <w:rFonts w:ascii="Cambria Math" w:hAnsi="Cambria Math" w:eastAsia="Cambria Math"/>
                                        <w:i/>
                                      </w:rPr>
                                    </m:ctrlPr>
                                  </m:e>
                                </m:acc>
                                <m:ctrlPr>
                                  <w:rPr>
                                    <w:rFonts w:ascii="Cambria Math" w:hAnsi="Cambria Math" w:eastAsia="Cambria Math"/>
                                    <w:i/>
                                  </w:rPr>
                                </m:ctrlPr>
                              </m:e>
                            </m:d>
                            <m:ctrlPr>
                              <w:rPr>
                                <w:rFonts w:ascii="Cambria Math" w:hAnsi="Cambria Math" w:eastAsia="Cambria Math"/>
                                <w:i/>
                              </w:rPr>
                            </m:ctrlPr>
                          </m:e>
                          <m:sup>
                            <m:r>
                              <m:rPr/>
                              <w:rPr>
                                <w:rFonts w:ascii="Cambria Math" w:hAnsi="Cambria Math" w:eastAsia="Cambria Math"/>
                              </w:rPr>
                              <m:t>2</m:t>
                            </m:r>
                            <m:ctrlPr>
                              <w:rPr>
                                <w:rFonts w:ascii="Cambria Math" w:hAnsi="Cambria Math" w:eastAsia="Cambria Math"/>
                                <w:i/>
                              </w:rPr>
                            </m:ctrlPr>
                          </m:sup>
                        </m:sSup>
                        <m:ctrlPr>
                          <w:rPr>
                            <w:rFonts w:ascii="Cambria Math" w:hAnsi="Cambria Math" w:eastAsia="Cambria Math"/>
                            <w:i/>
                          </w:rPr>
                        </m:ctrlPr>
                      </m:sup>
                    </m:sSubSup>
                    <m:ctrlPr>
                      <w:rPr>
                        <w:rFonts w:ascii="Cambria Math" w:hAnsi="Cambria Math" w:eastAsia="Cambria Math"/>
                        <w:i/>
                      </w:rPr>
                    </m:ctrlPr>
                  </m:e>
                </m:d>
                <m:rad>
                  <m:radPr>
                    <m:degHide m:val="1"/>
                    <m:ctrlPr>
                      <w:rPr>
                        <w:rFonts w:ascii="Cambria Math" w:hAnsi="Cambria Math" w:eastAsia="Cambria Math"/>
                        <w:i/>
                      </w:rPr>
                    </m:ctrlPr>
                  </m:radPr>
                  <m:deg>
                    <m:ctrlPr>
                      <w:rPr>
                        <w:rFonts w:ascii="Cambria Math" w:hAnsi="Cambria Math" w:eastAsia="Cambria Math"/>
                        <w:i/>
                      </w:rPr>
                    </m:ctrlPr>
                  </m:deg>
                  <m:e>
                    <m:sSubSup>
                      <m:sSubSupPr>
                        <m:ctrlPr>
                          <w:rPr>
                            <w:rFonts w:ascii="Cambria Math" w:hAnsi="Cambria Math" w:eastAsia="Cambria Math"/>
                            <w:i/>
                          </w:rPr>
                        </m:ctrlPr>
                      </m:sSubSupPr>
                      <m:e>
                        <m:r>
                          <m:rPr/>
                          <w:rPr>
                            <w:rFonts w:ascii="Cambria Math" w:hAnsi="Cambria Math" w:eastAsia="Cambria Math"/>
                          </w:rPr>
                          <m:t>Σ</m:t>
                        </m:r>
                        <m:ctrlPr>
                          <w:rPr>
                            <w:rFonts w:ascii="Cambria Math" w:hAnsi="Cambria Math" w:eastAsia="Cambria Math"/>
                            <w:i/>
                          </w:rPr>
                        </m:ctrlPr>
                      </m:e>
                      <m:sub>
                        <m:r>
                          <m:rPr/>
                          <w:rPr>
                            <w:rFonts w:ascii="Cambria Math" w:hAnsi="Cambria Math" w:eastAsia="Cambria Math"/>
                          </w:rPr>
                          <m:t>i=1</m:t>
                        </m:r>
                        <m:ctrlPr>
                          <w:rPr>
                            <w:rFonts w:ascii="Cambria Math" w:hAnsi="Cambria Math" w:eastAsia="Cambria Math"/>
                            <w:i/>
                          </w:rPr>
                        </m:ctrlPr>
                      </m:sub>
                      <m:sup>
                        <m:r>
                          <m:rPr/>
                          <w:rPr>
                            <w:rFonts w:ascii="Cambria Math" w:hAnsi="Cambria Math" w:eastAsia="Cambria Math"/>
                          </w:rPr>
                          <m:t>n</m:t>
                        </m:r>
                        <m:sSup>
                          <m:sSupPr>
                            <m:ctrlPr>
                              <w:rPr>
                                <w:rFonts w:ascii="Cambria Math" w:hAnsi="Cambria Math" w:eastAsia="Cambria Math"/>
                                <w:i/>
                              </w:rPr>
                            </m:ctrlPr>
                          </m:sSupPr>
                          <m:e>
                            <m:d>
                              <m:dPr>
                                <m:ctrlPr>
                                  <w:rPr>
                                    <w:rFonts w:ascii="Cambria Math" w:hAnsi="Cambria Math" w:eastAsia="Cambria Math"/>
                                    <w:i/>
                                  </w:rPr>
                                </m:ctrlPr>
                              </m:dPr>
                              <m:e>
                                <m:sSub>
                                  <m:sSubPr>
                                    <m:ctrlPr>
                                      <w:rPr>
                                        <w:rFonts w:ascii="Cambria Math" w:hAnsi="Cambria Math" w:eastAsia="Cambria Math"/>
                                        <w:i/>
                                      </w:rPr>
                                    </m:ctrlPr>
                                  </m:sSubPr>
                                  <m:e>
                                    <m:r>
                                      <m:rPr/>
                                      <w:rPr>
                                        <w:rFonts w:ascii="Cambria Math" w:hAnsi="Cambria Math" w:eastAsia="Cambria Math"/>
                                      </w:rPr>
                                      <m:t>y</m:t>
                                    </m:r>
                                    <m:ctrlPr>
                                      <w:rPr>
                                        <w:rFonts w:ascii="Cambria Math" w:hAnsi="Cambria Math" w:eastAsia="Cambria Math"/>
                                        <w:i/>
                                      </w:rPr>
                                    </m:ctrlPr>
                                  </m:e>
                                  <m:sub>
                                    <m:r>
                                      <m:rPr/>
                                      <w:rPr>
                                        <w:rFonts w:ascii="Cambria Math" w:hAnsi="Cambria Math" w:eastAsia="Cambria Math"/>
                                      </w:rPr>
                                      <m:t>i</m:t>
                                    </m:r>
                                    <m:ctrlPr>
                                      <w:rPr>
                                        <w:rFonts w:ascii="Cambria Math" w:hAnsi="Cambria Math" w:eastAsia="Cambria Math"/>
                                        <w:i/>
                                      </w:rPr>
                                    </m:ctrlPr>
                                  </m:sub>
                                </m:sSub>
                                <m:r>
                                  <m:rPr/>
                                  <w:rPr>
                                    <w:rFonts w:ascii="Cambria Math" w:hAnsi="Cambria Math" w:eastAsia="Cambria Math"/>
                                  </w:rPr>
                                  <m:t>−ȳ</m:t>
                                </m:r>
                                <m:ctrlPr>
                                  <w:rPr>
                                    <w:rFonts w:ascii="Cambria Math" w:hAnsi="Cambria Math" w:eastAsia="Cambria Math"/>
                                    <w:i/>
                                  </w:rPr>
                                </m:ctrlPr>
                              </m:e>
                            </m:d>
                            <m:ctrlPr>
                              <w:rPr>
                                <w:rFonts w:ascii="Cambria Math" w:hAnsi="Cambria Math" w:eastAsia="Cambria Math"/>
                                <w:i/>
                              </w:rPr>
                            </m:ctrlPr>
                          </m:e>
                          <m:sup>
                            <m:r>
                              <m:rPr/>
                              <w:rPr>
                                <w:rFonts w:ascii="Cambria Math" w:hAnsi="Cambria Math" w:eastAsia="Cambria Math"/>
                              </w:rPr>
                              <m:t>2</m:t>
                            </m:r>
                            <m:ctrlPr>
                              <w:rPr>
                                <w:rFonts w:ascii="Cambria Math" w:hAnsi="Cambria Math" w:eastAsia="Cambria Math"/>
                                <w:i/>
                              </w:rPr>
                            </m:ctrlPr>
                          </m:sup>
                        </m:sSup>
                        <m:ctrlPr>
                          <w:rPr>
                            <w:rFonts w:ascii="Cambria Math" w:hAnsi="Cambria Math" w:eastAsia="Cambria Math"/>
                            <w:i/>
                          </w:rPr>
                        </m:ctrlPr>
                      </m:sup>
                    </m:sSubSup>
                    <m:ctrlPr>
                      <w:rPr>
                        <w:rFonts w:ascii="Cambria Math" w:hAnsi="Cambria Math" w:eastAsia="Cambria Math"/>
                        <w:i/>
                      </w:rPr>
                    </m:ctrlPr>
                  </m:e>
                </m:rad>
                <m:ctrlPr>
                  <w:rPr>
                    <w:rFonts w:ascii="Cambria Math" w:hAnsi="Cambria Math" w:eastAsia="Cambria Math"/>
                    <w:i/>
                  </w:rPr>
                </m:ctrlPr>
              </m:e>
            </m:rad>
            <m:ctrlPr>
              <w:rPr>
                <w:rFonts w:ascii="Cambria Math" w:hAnsi="Cambria Math" w:eastAsia="Cambria Math"/>
                <w:i/>
              </w:rPr>
            </m:ctrlPr>
          </m:den>
        </m:f>
      </m:oMath>
      <w:r>
        <w:t>（2-5）</w:t>
      </w:r>
    </w:p>
    <w:p w14:paraId="2B17B63C">
      <w:r>
        <w:t>上述公式共同构成了系统分析层的理论基础。其中，收益率与滚动波动率用于描述市场短期变化，EWMA 用于增强近期波动信息的权重，历史模拟法 VaR 用于给出风险阈值，相关系数用于观察期货与宏观变量之间的联动关系。相较于复杂深度学习模型，这套方法更适合毕业设计阶段强调可解释性、可验证性和工程可控性的系统实现。</w:t>
      </w:r>
    </w:p>
    <w:p w14:paraId="47B6F27D">
      <w:pPr>
        <w:pStyle w:val="3"/>
        <w:spacing w:lineRule="exact" w:line="460" w:before="240" w:after="240"/>
        <w:jc w:val="left"/>
      </w:pPr>
      <w:bookmarkStart w:id="9" w:name="_Toc224859760"/>
      <w:r>
        <w:rPr>
          <w:rFonts w:ascii="Times New Roman" w:hAnsi="Times New Roman" w:eastAsia="黑体"/>
          <w:b/>
          <w:sz w:val="28"/>
        </w:rPr>
        <w:t>2.4 本文方案的适用性说明</w:t>
      </w:r>
      <w:bookmarkEnd w:id="9"/>
    </w:p>
    <w:p w14:paraId="50818551">
      <w:r>
        <w:t>开题报告中提出了基于大数据框架和机器学习的扩展设想，这一方向具有合理性，但在毕业设计当前交付范围内，最重要的是保证系统具备真实数据来源、清晰工程结构和稳定运行能力。基于此，本文采取“轻量数据仓 + 经典金融分析方法 + 快速可视化展示”的方案。该方案既能够保留未来向分布式处理和更复杂预测模型扩展的空间，又能够确保当前论文中的每个模块都有明确代码、明确数据和明确结果支撑。</w:t>
      </w:r>
    </w:p>
    <w:p w14:paraId="13E46173">
      <w:r>
        <w:br w:type="page"/>
      </w:r>
    </w:p>
    <w:p w14:paraId="3B7B3745">
      <w:pPr>
        <w:pStyle w:val="2"/>
        <w:spacing w:lineRule="exact" w:line="460" w:before="360" w:after="240"/>
        <w:jc w:val="center"/>
        <w:rPr>
          <w:rFonts w:hint="default"/>
        </w:rPr>
      </w:pPr>
      <w:bookmarkStart w:id="10" w:name="_Toc224859761"/>
      <w:r>
        <w:rPr>
          <w:rFonts w:ascii="Times New Roman" w:hAnsi="Times New Roman" w:eastAsia="黑体"/>
          <w:b/>
          <w:sz w:val="36"/>
        </w:rPr>
        <w:t>3 需求分析与数据资源设计</w:t>
      </w:r>
      <w:bookmarkEnd w:id="10"/>
    </w:p>
    <w:p w14:paraId="01041847">
      <w:pPr>
        <w:pStyle w:val="3"/>
        <w:spacing w:lineRule="exact" w:line="460" w:before="240" w:after="240"/>
        <w:jc w:val="left"/>
      </w:pPr>
      <w:bookmarkStart w:id="11" w:name="_Toc224859762"/>
      <w:r>
        <w:rPr>
          <w:rFonts w:ascii="Times New Roman" w:hAnsi="Times New Roman" w:eastAsia="黑体"/>
          <w:b/>
          <w:sz w:val="28"/>
        </w:rPr>
        <w:t>3.1 系统建设目标</w:t>
      </w:r>
      <w:bookmarkEnd w:id="11"/>
    </w:p>
    <w:p w14:paraId="152416D7">
      <w:r>
        <w:t>结合开题报告与实际项目实现，本文系统的建设目标可以概括为三个层面。第一，完成对中国金融期货公开数据的统一采集和结构化管理，解决多源数据分散的问题。第二，实现趋势、波动率、相关性和 VaR 等核心分析功能，形成可解释的盘后分析结果。第三，提供便于课程展示和论文取证的界面输出，使系统页面、图表和数据表能够直接服务于毕业设计文档。</w:t>
      </w:r>
    </w:p>
    <w:p w14:paraId="248CEEAE">
      <w:pPr>
        <w:pStyle w:val="3"/>
        <w:spacing w:lineRule="exact" w:line="460" w:before="240" w:after="240"/>
        <w:jc w:val="left"/>
      </w:pPr>
      <w:bookmarkStart w:id="12" w:name="_Toc224859763"/>
      <w:r>
        <w:rPr>
          <w:rFonts w:ascii="Times New Roman" w:hAnsi="Times New Roman" w:eastAsia="黑体"/>
          <w:b/>
          <w:sz w:val="28"/>
        </w:rPr>
        <w:t>3.2 功能需求分析</w:t>
      </w:r>
      <w:bookmarkEnd w:id="12"/>
    </w:p>
    <w:p w14:paraId="4DAD4D82">
      <w:pPr>
        <w:keepLines/>
        <w:spacing w:before="0" w:after="0" w:lineRule="exact" w:line="460"/>
        <w:ind w:firstLine="0" w:left="0"/>
        <w:jc w:val="center"/>
      </w:pPr>
      <w:r>
        <w:rPr>
          <w:rFonts w:ascii="Times New Roman" w:hAnsi="Times New Roman" w:eastAsia="黑体"/>
          <w:b/>
          <w:sz w:val="24"/>
        </w:rPr>
        <w:t>表3.1 系统功能需求汇总</w:t>
      </w:r>
    </w:p>
    <w:tbl>
      <w:tblPr>
        <w:tblStyle w:val="21"/>
        <w:tblW w:w="0" w:type="auto"/>
        <w:jc w:val="center"/>
        <w:tblLayout w:type="autofit"/>
        <w:tblCellMar>
          <w:top w:w="0" w:type="dxa"/>
          <w:left w:w="108" w:type="dxa"/>
          <w:bottom w:w="0" w:type="dxa"/>
          <w:right w:w="108" w:type="dxa"/>
        </w:tblCellMar>
      </w:tblPr>
      <w:tblGrid>
        <w:gridCol w:w="2835"/>
        <w:gridCol w:w="2835"/>
        <w:gridCol w:w="2835"/>
      </w:tblGrid>
      <w:tr w14:paraId="335DBDAC">
        <w:tblPrEx>
          <w:tblCellMar>
            <w:top w:w="0" w:type="dxa"/>
            <w:left w:w="108" w:type="dxa"/>
            <w:bottom w:w="0" w:type="dxa"/>
            <w:right w:w="108" w:type="dxa"/>
          </w:tblCellMar>
        </w:tblPrEx>
        <w:trPr>
          <w:jc w:val="center"/>
        </w:trPr>
        <w:tc>
          <w:tcPr>
            <w:tcW w:w="2835" w:type="dxa"/>
            <w:tcBorders>
              <w:top w:val="single" w:color="000000" w:sz="12" w:space="0"/>
              <w:bottom w:val="single" w:color="000000" w:sz="12" w:space="0"/>
            </w:tcBorders>
            <w:vAlign w:val="center"/>
          </w:tcPr>
          <w:p w14:paraId="0C835094">
            <w:pPr>
              <w:spacing w:line="360" w:lineRule="exact"/>
              <w:ind w:firstLine="0"/>
              <w:jc w:val="center"/>
            </w:pPr>
            <w:r>
              <w:rPr>
                <w:b/>
                <w:sz w:val="20"/>
              </w:rPr>
              <w:t>功能模块</w:t>
            </w:r>
          </w:p>
        </w:tc>
        <w:tc>
          <w:tcPr>
            <w:tcW w:w="2835" w:type="dxa"/>
            <w:tcBorders>
              <w:top w:val="single" w:color="000000" w:sz="12" w:space="0"/>
              <w:bottom w:val="single" w:color="000000" w:sz="12" w:space="0"/>
            </w:tcBorders>
            <w:vAlign w:val="center"/>
          </w:tcPr>
          <w:p w14:paraId="24B6FF8E">
            <w:pPr>
              <w:spacing w:line="360" w:lineRule="exact"/>
              <w:ind w:firstLine="0"/>
              <w:jc w:val="center"/>
            </w:pPr>
            <w:r>
              <w:rPr>
                <w:b/>
                <w:sz w:val="20"/>
              </w:rPr>
              <w:t>具体需求</w:t>
            </w:r>
          </w:p>
        </w:tc>
        <w:tc>
          <w:tcPr>
            <w:tcW w:w="2835" w:type="dxa"/>
            <w:tcBorders>
              <w:top w:val="single" w:color="000000" w:sz="12" w:space="0"/>
              <w:bottom w:val="single" w:color="000000" w:sz="12" w:space="0"/>
            </w:tcBorders>
            <w:vAlign w:val="center"/>
          </w:tcPr>
          <w:p w14:paraId="1B76B07F">
            <w:pPr>
              <w:spacing w:line="360" w:lineRule="exact"/>
              <w:ind w:firstLine="0"/>
              <w:jc w:val="center"/>
            </w:pPr>
            <w:r>
              <w:rPr>
                <w:b/>
                <w:sz w:val="20"/>
              </w:rPr>
              <w:t>对应实现</w:t>
            </w:r>
          </w:p>
        </w:tc>
      </w:tr>
      <w:tr w14:paraId="776454CC">
        <w:tblPrEx>
          <w:tblCellMar>
            <w:top w:w="0" w:type="dxa"/>
            <w:left w:w="108" w:type="dxa"/>
            <w:bottom w:w="0" w:type="dxa"/>
            <w:right w:w="108" w:type="dxa"/>
          </w:tblCellMar>
        </w:tblPrEx>
        <w:trPr>
          <w:jc w:val="center"/>
        </w:trPr>
        <w:tc>
          <w:tcPr>
            <w:tcW w:w="2835" w:type="dxa"/>
            <w:vAlign w:val="center"/>
          </w:tcPr>
          <w:p w14:paraId="2E42388A">
            <w:pPr>
              <w:spacing w:line="360" w:lineRule="exact"/>
              <w:ind w:firstLine="0"/>
              <w:jc w:val="center"/>
            </w:pPr>
            <w:r>
              <w:rPr>
                <w:sz w:val="20"/>
              </w:rPr>
              <w:t>数据采集</w:t>
            </w:r>
          </w:p>
        </w:tc>
        <w:tc>
          <w:tcPr>
            <w:tcW w:w="2835" w:type="dxa"/>
            <w:vAlign w:val="center"/>
          </w:tcPr>
          <w:p w14:paraId="3D7FE3CB">
            <w:pPr>
              <w:spacing w:line="360" w:lineRule="exact"/>
              <w:ind w:firstLine="0"/>
              <w:jc w:val="center"/>
            </w:pPr>
            <w:r>
              <w:rPr>
                <w:sz w:val="20"/>
              </w:rPr>
              <w:t>采集 CFFEX 日统计、交易所通知、PBC 金融统计报告、NBS 宏观数据发布</w:t>
            </w:r>
          </w:p>
        </w:tc>
        <w:tc>
          <w:tcPr>
            <w:tcW w:w="2835" w:type="dxa"/>
            <w:vAlign w:val="center"/>
          </w:tcPr>
          <w:p w14:paraId="6E52BE88">
            <w:pPr>
              <w:spacing w:line="360" w:lineRule="exact"/>
              <w:ind w:firstLine="0"/>
              <w:jc w:val="center"/>
            </w:pPr>
            <w:r>
              <w:rPr>
                <w:sz w:val="20"/>
              </w:rPr>
              <w:t>`ingest/` 模块</w:t>
            </w:r>
          </w:p>
        </w:tc>
      </w:tr>
      <w:tr w14:paraId="4F0FE97B">
        <w:tblPrEx>
          <w:tblCellMar>
            <w:top w:w="0" w:type="dxa"/>
            <w:left w:w="108" w:type="dxa"/>
            <w:bottom w:w="0" w:type="dxa"/>
            <w:right w:w="108" w:type="dxa"/>
          </w:tblCellMar>
        </w:tblPrEx>
        <w:trPr>
          <w:jc w:val="center"/>
        </w:trPr>
        <w:tc>
          <w:tcPr>
            <w:tcW w:w="2835" w:type="dxa"/>
            <w:vAlign w:val="center"/>
          </w:tcPr>
          <w:p w14:paraId="5F161DCE">
            <w:pPr>
              <w:spacing w:line="360" w:lineRule="exact"/>
              <w:ind w:firstLine="0"/>
              <w:jc w:val="center"/>
            </w:pPr>
            <w:r>
              <w:rPr>
                <w:sz w:val="20"/>
              </w:rPr>
              <w:t>数据存储</w:t>
            </w:r>
          </w:p>
        </w:tc>
        <w:tc>
          <w:tcPr>
            <w:tcW w:w="2835" w:type="dxa"/>
            <w:vAlign w:val="center"/>
          </w:tcPr>
          <w:p w14:paraId="6E823FE0">
            <w:pPr>
              <w:spacing w:line="360" w:lineRule="exact"/>
              <w:ind w:firstLine="0"/>
              <w:jc w:val="center"/>
            </w:pPr>
            <w:r>
              <w:rPr>
                <w:sz w:val="20"/>
              </w:rPr>
              <w:t>保留原始网页和 XML，建设统一数仓</w:t>
            </w:r>
          </w:p>
        </w:tc>
        <w:tc>
          <w:tcPr>
            <w:tcW w:w="2835" w:type="dxa"/>
            <w:vAlign w:val="center"/>
          </w:tcPr>
          <w:p w14:paraId="15D95EA0">
            <w:pPr>
              <w:spacing w:line="360" w:lineRule="exact"/>
              <w:ind w:firstLine="0"/>
              <w:jc w:val="center"/>
            </w:pPr>
            <w:r>
              <w:rPr>
                <w:sz w:val="20"/>
              </w:rPr>
              <w:t>`data/raw`、DuckDB、Parquet</w:t>
            </w:r>
          </w:p>
        </w:tc>
      </w:tr>
      <w:tr w14:paraId="4A18AD2C">
        <w:tblPrEx>
          <w:tblCellMar>
            <w:top w:w="0" w:type="dxa"/>
            <w:left w:w="108" w:type="dxa"/>
            <w:bottom w:w="0" w:type="dxa"/>
            <w:right w:w="108" w:type="dxa"/>
          </w:tblCellMar>
        </w:tblPrEx>
        <w:trPr>
          <w:jc w:val="center"/>
        </w:trPr>
        <w:tc>
          <w:tcPr>
            <w:tcW w:w="2835" w:type="dxa"/>
            <w:vAlign w:val="center"/>
          </w:tcPr>
          <w:p w14:paraId="307CE6DB">
            <w:pPr>
              <w:spacing w:line="360" w:lineRule="exact"/>
              <w:ind w:firstLine="0"/>
              <w:jc w:val="center"/>
            </w:pPr>
            <w:r>
              <w:rPr>
                <w:sz w:val="20"/>
              </w:rPr>
              <w:t>行情分析</w:t>
            </w:r>
          </w:p>
        </w:tc>
        <w:tc>
          <w:tcPr>
            <w:tcW w:w="2835" w:type="dxa"/>
            <w:vAlign w:val="center"/>
          </w:tcPr>
          <w:p w14:paraId="42B12ADD">
            <w:pPr>
              <w:spacing w:line="360" w:lineRule="exact"/>
              <w:ind w:firstLine="0"/>
              <w:jc w:val="center"/>
            </w:pPr>
            <w:r>
              <w:rPr>
                <w:sz w:val="20"/>
              </w:rPr>
              <w:t>查询期货日行情、主力连续走势、成交量与持仓量</w:t>
            </w:r>
          </w:p>
        </w:tc>
        <w:tc>
          <w:tcPr>
            <w:tcW w:w="2835" w:type="dxa"/>
            <w:vAlign w:val="center"/>
          </w:tcPr>
          <w:p w14:paraId="21C628D1">
            <w:pPr>
              <w:spacing w:line="360" w:lineRule="exact"/>
              <w:ind w:firstLine="0"/>
              <w:jc w:val="center"/>
            </w:pPr>
            <w:r>
              <w:rPr>
                <w:sz w:val="20"/>
              </w:rPr>
              <w:t>`main_contract_daily`、市场页面</w:t>
            </w:r>
          </w:p>
        </w:tc>
      </w:tr>
      <w:tr w14:paraId="0208E53F">
        <w:tblPrEx>
          <w:tblCellMar>
            <w:top w:w="0" w:type="dxa"/>
            <w:left w:w="108" w:type="dxa"/>
            <w:bottom w:w="0" w:type="dxa"/>
            <w:right w:w="108" w:type="dxa"/>
          </w:tblCellMar>
        </w:tblPrEx>
        <w:trPr>
          <w:jc w:val="center"/>
        </w:trPr>
        <w:tc>
          <w:tcPr>
            <w:tcW w:w="2835" w:type="dxa"/>
            <w:vAlign w:val="center"/>
          </w:tcPr>
          <w:p w14:paraId="2FB84342">
            <w:pPr>
              <w:spacing w:line="360" w:lineRule="exact"/>
              <w:ind w:firstLine="0"/>
              <w:jc w:val="center"/>
            </w:pPr>
            <w:r>
              <w:rPr>
                <w:sz w:val="20"/>
              </w:rPr>
              <w:t>趋势分析</w:t>
            </w:r>
          </w:p>
        </w:tc>
        <w:tc>
          <w:tcPr>
            <w:tcW w:w="2835" w:type="dxa"/>
            <w:vAlign w:val="center"/>
          </w:tcPr>
          <w:p w14:paraId="4AF8FF63">
            <w:pPr>
              <w:spacing w:line="360" w:lineRule="exact"/>
              <w:ind w:firstLine="0"/>
              <w:jc w:val="center"/>
            </w:pPr>
            <w:r>
              <w:rPr>
                <w:sz w:val="20"/>
              </w:rPr>
              <w:t>计算均线、累计收益、回撤与滚动波动率</w:t>
            </w:r>
          </w:p>
        </w:tc>
        <w:tc>
          <w:tcPr>
            <w:tcW w:w="2835" w:type="dxa"/>
            <w:vAlign w:val="center"/>
          </w:tcPr>
          <w:p w14:paraId="4D6A4C96">
            <w:pPr>
              <w:spacing w:line="360" w:lineRule="exact"/>
              <w:ind w:firstLine="0"/>
              <w:jc w:val="center"/>
            </w:pPr>
            <w:r>
              <w:rPr>
                <w:sz w:val="20"/>
              </w:rPr>
              <w:t>`analysis/metrics.py`</w:t>
            </w:r>
          </w:p>
        </w:tc>
      </w:tr>
      <w:tr w14:paraId="3DE8ACC7">
        <w:tblPrEx>
          <w:tblCellMar>
            <w:top w:w="0" w:type="dxa"/>
            <w:left w:w="108" w:type="dxa"/>
            <w:bottom w:w="0" w:type="dxa"/>
            <w:right w:w="108" w:type="dxa"/>
          </w:tblCellMar>
        </w:tblPrEx>
        <w:trPr>
          <w:jc w:val="center"/>
        </w:trPr>
        <w:tc>
          <w:tcPr>
            <w:tcW w:w="2835" w:type="dxa"/>
            <w:vAlign w:val="center"/>
          </w:tcPr>
          <w:p w14:paraId="2A4F51B1">
            <w:pPr>
              <w:spacing w:line="360" w:lineRule="exact"/>
              <w:ind w:firstLine="0"/>
              <w:jc w:val="center"/>
            </w:pPr>
            <w:r>
              <w:rPr>
                <w:sz w:val="20"/>
              </w:rPr>
              <w:t>风险分析</w:t>
            </w:r>
          </w:p>
        </w:tc>
        <w:tc>
          <w:tcPr>
            <w:tcW w:w="2835" w:type="dxa"/>
            <w:vAlign w:val="center"/>
          </w:tcPr>
          <w:p w14:paraId="3FFDC8CC">
            <w:pPr>
              <w:spacing w:line="360" w:lineRule="exact"/>
              <w:ind w:firstLine="0"/>
              <w:jc w:val="center"/>
            </w:pPr>
            <w:r>
              <w:rPr>
                <w:sz w:val="20"/>
              </w:rPr>
              <w:t>计算波动率预测、历史模拟 VaR、相关性矩阵</w:t>
            </w:r>
          </w:p>
        </w:tc>
        <w:tc>
          <w:tcPr>
            <w:tcW w:w="2835" w:type="dxa"/>
            <w:vAlign w:val="center"/>
          </w:tcPr>
          <w:p w14:paraId="060D0E42">
            <w:pPr>
              <w:spacing w:line="360" w:lineRule="exact"/>
              <w:ind w:firstLine="0"/>
              <w:jc w:val="center"/>
            </w:pPr>
            <w:r>
              <w:rPr>
                <w:sz w:val="20"/>
              </w:rPr>
              <w:t>波动率预测与风险页面</w:t>
            </w:r>
          </w:p>
        </w:tc>
      </w:tr>
      <w:tr w14:paraId="55EC0414">
        <w:tblPrEx>
          <w:tblCellMar>
            <w:top w:w="0" w:type="dxa"/>
            <w:left w:w="108" w:type="dxa"/>
            <w:bottom w:w="0" w:type="dxa"/>
            <w:right w:w="108" w:type="dxa"/>
          </w:tblCellMar>
        </w:tblPrEx>
        <w:trPr>
          <w:jc w:val="center"/>
        </w:trPr>
        <w:tc>
          <w:tcPr>
            <w:tcW w:w="2835" w:type="dxa"/>
            <w:vAlign w:val="center"/>
          </w:tcPr>
          <w:p w14:paraId="22392DFB">
            <w:pPr>
              <w:spacing w:line="360" w:lineRule="exact"/>
              <w:ind w:firstLine="0"/>
              <w:jc w:val="center"/>
            </w:pPr>
            <w:r>
              <w:rPr>
                <w:sz w:val="20"/>
              </w:rPr>
              <w:t>可视化展示</w:t>
            </w:r>
          </w:p>
        </w:tc>
        <w:tc>
          <w:tcPr>
            <w:tcW w:w="2835" w:type="dxa"/>
            <w:vAlign w:val="center"/>
          </w:tcPr>
          <w:p w14:paraId="06A5A7F1">
            <w:pPr>
              <w:spacing w:line="360" w:lineRule="exact"/>
              <w:ind w:firstLine="0"/>
              <w:jc w:val="center"/>
            </w:pPr>
            <w:r>
              <w:rPr>
                <w:sz w:val="20"/>
              </w:rPr>
              <w:t>页面化展示分析结果并输出论文截图</w:t>
            </w:r>
          </w:p>
        </w:tc>
        <w:tc>
          <w:tcPr>
            <w:tcW w:w="2835" w:type="dxa"/>
            <w:vAlign w:val="center"/>
          </w:tcPr>
          <w:p w14:paraId="1C286D0B">
            <w:pPr>
              <w:spacing w:line="360" w:lineRule="exact"/>
              <w:ind w:firstLine="0"/>
              <w:jc w:val="center"/>
            </w:pPr>
            <w:r>
              <w:rPr>
                <w:sz w:val="20"/>
              </w:rPr>
              <w:t>`app/streamlit_app.py`</w:t>
            </w:r>
          </w:p>
        </w:tc>
      </w:tr>
      <w:tr w14:paraId="2DC9A646">
        <w:tblPrEx>
          <w:tblCellMar>
            <w:top w:w="0" w:type="dxa"/>
            <w:left w:w="108" w:type="dxa"/>
            <w:bottom w:w="0" w:type="dxa"/>
            <w:right w:w="108" w:type="dxa"/>
          </w:tblCellMar>
        </w:tblPrEx>
        <w:trPr>
          <w:jc w:val="center"/>
        </w:trPr>
        <w:tc>
          <w:tcPr>
            <w:tcW w:w="2835" w:type="dxa"/>
            <w:tcBorders>
              <w:bottom w:val="single" w:color="000000" w:sz="12" w:space="0"/>
            </w:tcBorders>
            <w:vAlign w:val="center"/>
          </w:tcPr>
          <w:p w14:paraId="5A655F3C">
            <w:pPr>
              <w:spacing w:line="360" w:lineRule="exact"/>
              <w:ind w:firstLine="0"/>
              <w:jc w:val="center"/>
            </w:pPr>
            <w:r>
              <w:rPr>
                <w:sz w:val="20"/>
              </w:rPr>
              <w:t>数据质量</w:t>
            </w:r>
          </w:p>
        </w:tc>
        <w:tc>
          <w:tcPr>
            <w:tcW w:w="2835" w:type="dxa"/>
            <w:tcBorders>
              <w:bottom w:val="single" w:color="000000" w:sz="12" w:space="0"/>
            </w:tcBorders>
            <w:vAlign w:val="center"/>
          </w:tcPr>
          <w:p w14:paraId="7E03772E">
            <w:pPr>
              <w:spacing w:line="360" w:lineRule="exact"/>
              <w:ind w:firstLine="0"/>
              <w:jc w:val="center"/>
            </w:pPr>
            <w:r>
              <w:rPr>
                <w:sz w:val="20"/>
              </w:rPr>
              <w:t>统计数据规模、缺失率、抓取成功率</w:t>
            </w:r>
          </w:p>
        </w:tc>
        <w:tc>
          <w:tcPr>
            <w:tcW w:w="2835" w:type="dxa"/>
            <w:tcBorders>
              <w:bottom w:val="single" w:color="000000" w:sz="12" w:space="0"/>
            </w:tcBorders>
            <w:vAlign w:val="center"/>
          </w:tcPr>
          <w:p w14:paraId="66001F9D">
            <w:pPr>
              <w:spacing w:line="360" w:lineRule="exact"/>
              <w:ind w:firstLine="0"/>
              <w:jc w:val="center"/>
            </w:pPr>
            <w:r>
              <w:rPr>
                <w:sz w:val="20"/>
              </w:rPr>
              <w:t>`quality_report`</w:t>
            </w:r>
          </w:p>
        </w:tc>
      </w:tr>
    </w:tbl>
    <w:p w14:paraId="2BFC95E9">
      <w:r>
        <w:t>从功能上看，系统并不面向实盘自动交易，而是定位于盘后分析平台。这一定位决定了系统应重点强调数据真实性、指标解释性和结果展示完整性，而不是追求毫秒级交易时延。该定位与学校毕业设计要求更为匹配，也符合公开数据授权边界。</w:t>
      </w:r>
    </w:p>
    <w:p w14:paraId="140FD441">
      <w:pPr>
        <w:pStyle w:val="3"/>
        <w:spacing w:lineRule="exact" w:line="460" w:before="240" w:after="240"/>
        <w:jc w:val="left"/>
      </w:pPr>
      <w:bookmarkStart w:id="13" w:name="_Toc224859764"/>
      <w:r>
        <w:rPr>
          <w:rFonts w:ascii="Times New Roman" w:hAnsi="Times New Roman" w:eastAsia="黑体"/>
          <w:b/>
          <w:sz w:val="28"/>
        </w:rPr>
        <w:t>3.3 非功能需求分析</w:t>
      </w:r>
      <w:bookmarkEnd w:id="13"/>
    </w:p>
    <w:p w14:paraId="3E4E7577">
      <w:pPr>
        <w:keepLines/>
        <w:spacing w:before="0" w:after="0" w:lineRule="exact" w:line="460"/>
        <w:ind w:firstLine="0" w:left="0"/>
        <w:jc w:val="center"/>
      </w:pPr>
      <w:r>
        <w:rPr>
          <w:rFonts w:ascii="Times New Roman" w:hAnsi="Times New Roman" w:eastAsia="黑体"/>
          <w:b/>
          <w:sz w:val="24"/>
        </w:rPr>
        <w:t>表3.2 系统非功能需求汇总</w:t>
      </w:r>
    </w:p>
    <w:tbl>
      <w:tblPr>
        <w:tblStyle w:val="21"/>
        <w:tblW w:w="0" w:type="auto"/>
        <w:jc w:val="center"/>
        <w:tblLayout w:type="autofit"/>
        <w:tblCellMar>
          <w:top w:w="0" w:type="dxa"/>
          <w:left w:w="108" w:type="dxa"/>
          <w:bottom w:w="0" w:type="dxa"/>
          <w:right w:w="108" w:type="dxa"/>
        </w:tblCellMar>
      </w:tblPr>
      <w:tblGrid>
        <w:gridCol w:w="2835"/>
        <w:gridCol w:w="2835"/>
        <w:gridCol w:w="2835"/>
      </w:tblGrid>
      <w:tr w14:paraId="07025C53">
        <w:tblPrEx>
          <w:tblCellMar>
            <w:top w:w="0" w:type="dxa"/>
            <w:left w:w="108" w:type="dxa"/>
            <w:bottom w:w="0" w:type="dxa"/>
            <w:right w:w="108" w:type="dxa"/>
          </w:tblCellMar>
        </w:tblPrEx>
        <w:trPr>
          <w:jc w:val="center"/>
        </w:trPr>
        <w:tc>
          <w:tcPr>
            <w:tcW w:w="2835" w:type="dxa"/>
            <w:tcBorders>
              <w:top w:val="single" w:color="000000" w:sz="12" w:space="0"/>
              <w:bottom w:val="single" w:color="000000" w:sz="12" w:space="0"/>
            </w:tcBorders>
            <w:vAlign w:val="center"/>
          </w:tcPr>
          <w:p w14:paraId="62FD2461">
            <w:pPr>
              <w:spacing w:line="360" w:lineRule="exact"/>
              <w:ind w:firstLine="0"/>
              <w:jc w:val="center"/>
            </w:pPr>
            <w:r>
              <w:rPr>
                <w:b/>
                <w:sz w:val="20"/>
              </w:rPr>
              <w:t>非功能需求</w:t>
            </w:r>
          </w:p>
        </w:tc>
        <w:tc>
          <w:tcPr>
            <w:tcW w:w="2835" w:type="dxa"/>
            <w:tcBorders>
              <w:top w:val="single" w:color="000000" w:sz="12" w:space="0"/>
              <w:bottom w:val="single" w:color="000000" w:sz="12" w:space="0"/>
            </w:tcBorders>
            <w:vAlign w:val="center"/>
          </w:tcPr>
          <w:p w14:paraId="24698863">
            <w:pPr>
              <w:spacing w:line="360" w:lineRule="exact"/>
              <w:ind w:firstLine="0"/>
              <w:jc w:val="center"/>
            </w:pPr>
            <w:r>
              <w:rPr>
                <w:b/>
                <w:sz w:val="20"/>
              </w:rPr>
              <w:t>具体要求</w:t>
            </w:r>
          </w:p>
        </w:tc>
        <w:tc>
          <w:tcPr>
            <w:tcW w:w="2835" w:type="dxa"/>
            <w:tcBorders>
              <w:top w:val="single" w:color="000000" w:sz="12" w:space="0"/>
              <w:bottom w:val="single" w:color="000000" w:sz="12" w:space="0"/>
            </w:tcBorders>
            <w:vAlign w:val="center"/>
          </w:tcPr>
          <w:p w14:paraId="7FA20E0F">
            <w:pPr>
              <w:spacing w:line="360" w:lineRule="exact"/>
              <w:ind w:firstLine="0"/>
              <w:jc w:val="center"/>
            </w:pPr>
            <w:r>
              <w:rPr>
                <w:b/>
                <w:sz w:val="20"/>
              </w:rPr>
              <w:t>实现方式</w:t>
            </w:r>
          </w:p>
        </w:tc>
      </w:tr>
      <w:tr w14:paraId="47FD5861">
        <w:tblPrEx>
          <w:tblCellMar>
            <w:top w:w="0" w:type="dxa"/>
            <w:left w:w="108" w:type="dxa"/>
            <w:bottom w:w="0" w:type="dxa"/>
            <w:right w:w="108" w:type="dxa"/>
          </w:tblCellMar>
        </w:tblPrEx>
        <w:trPr>
          <w:jc w:val="center"/>
        </w:trPr>
        <w:tc>
          <w:tcPr>
            <w:tcW w:w="2835" w:type="dxa"/>
            <w:vAlign w:val="center"/>
          </w:tcPr>
          <w:p w14:paraId="009C8DD6">
            <w:pPr>
              <w:spacing w:line="360" w:lineRule="exact"/>
              <w:ind w:firstLine="0"/>
              <w:jc w:val="center"/>
            </w:pPr>
            <w:r>
              <w:rPr>
                <w:sz w:val="20"/>
              </w:rPr>
              <w:t>真实性</w:t>
            </w:r>
          </w:p>
        </w:tc>
        <w:tc>
          <w:tcPr>
            <w:tcW w:w="2835" w:type="dxa"/>
            <w:vAlign w:val="center"/>
          </w:tcPr>
          <w:p w14:paraId="10F9E844">
            <w:pPr>
              <w:spacing w:line="360" w:lineRule="exact"/>
              <w:ind w:firstLine="0"/>
              <w:jc w:val="center"/>
            </w:pPr>
            <w:r>
              <w:rPr>
                <w:sz w:val="20"/>
              </w:rPr>
              <w:t>数据必须来自官方公开渠道，能够追溯源地址</w:t>
            </w:r>
          </w:p>
        </w:tc>
        <w:tc>
          <w:tcPr>
            <w:tcW w:w="2835" w:type="dxa"/>
            <w:vAlign w:val="center"/>
          </w:tcPr>
          <w:p w14:paraId="5E5041E8">
            <w:pPr>
              <w:spacing w:line="360" w:lineRule="exact"/>
              <w:ind w:firstLine="0"/>
              <w:jc w:val="center"/>
            </w:pPr>
            <w:r>
              <w:rPr>
                <w:sz w:val="20"/>
              </w:rPr>
              <w:t>记录 `source_url` 与 `fetch_time`</w:t>
            </w:r>
          </w:p>
        </w:tc>
      </w:tr>
      <w:tr w14:paraId="7EED697F">
        <w:tblPrEx>
          <w:tblCellMar>
            <w:top w:w="0" w:type="dxa"/>
            <w:left w:w="108" w:type="dxa"/>
            <w:bottom w:w="0" w:type="dxa"/>
            <w:right w:w="108" w:type="dxa"/>
          </w:tblCellMar>
        </w:tblPrEx>
        <w:trPr>
          <w:jc w:val="center"/>
        </w:trPr>
        <w:tc>
          <w:tcPr>
            <w:tcW w:w="2835" w:type="dxa"/>
            <w:vAlign w:val="center"/>
          </w:tcPr>
          <w:p w14:paraId="5D346365">
            <w:pPr>
              <w:spacing w:line="360" w:lineRule="exact"/>
              <w:ind w:firstLine="0"/>
              <w:jc w:val="center"/>
            </w:pPr>
            <w:r>
              <w:rPr>
                <w:sz w:val="20"/>
              </w:rPr>
              <w:t>稳定性</w:t>
            </w:r>
          </w:p>
        </w:tc>
        <w:tc>
          <w:tcPr>
            <w:tcW w:w="2835" w:type="dxa"/>
            <w:vAlign w:val="center"/>
          </w:tcPr>
          <w:p w14:paraId="3DD5F195">
            <w:pPr>
              <w:spacing w:line="360" w:lineRule="exact"/>
              <w:ind w:firstLine="0"/>
              <w:jc w:val="center"/>
            </w:pPr>
            <w:r>
              <w:rPr>
                <w:sz w:val="20"/>
              </w:rPr>
              <w:t>本地环境可重复运行，主要流程不依赖复杂集群</w:t>
            </w:r>
          </w:p>
        </w:tc>
        <w:tc>
          <w:tcPr>
            <w:tcW w:w="2835" w:type="dxa"/>
            <w:vAlign w:val="center"/>
          </w:tcPr>
          <w:p w14:paraId="53A1BD71">
            <w:pPr>
              <w:spacing w:line="360" w:lineRule="exact"/>
              <w:ind w:firstLine="0"/>
              <w:jc w:val="center"/>
            </w:pPr>
            <w:r>
              <w:rPr>
                <w:sz w:val="20"/>
              </w:rPr>
              <w:t>`DuckDB + Parquet`、本地脚本</w:t>
            </w:r>
          </w:p>
        </w:tc>
      </w:tr>
      <w:tr w14:paraId="4DB2803D">
        <w:tblPrEx>
          <w:tblCellMar>
            <w:top w:w="0" w:type="dxa"/>
            <w:left w:w="108" w:type="dxa"/>
            <w:bottom w:w="0" w:type="dxa"/>
            <w:right w:w="108" w:type="dxa"/>
          </w:tblCellMar>
        </w:tblPrEx>
        <w:trPr>
          <w:jc w:val="center"/>
        </w:trPr>
        <w:tc>
          <w:tcPr>
            <w:tcW w:w="2835" w:type="dxa"/>
            <w:vAlign w:val="center"/>
          </w:tcPr>
          <w:p w14:paraId="74F517FB">
            <w:pPr>
              <w:spacing w:line="360" w:lineRule="exact"/>
              <w:ind w:firstLine="0"/>
              <w:jc w:val="center"/>
            </w:pPr>
            <w:r>
              <w:rPr>
                <w:sz w:val="20"/>
              </w:rPr>
              <w:t>可维护性</w:t>
            </w:r>
          </w:p>
        </w:tc>
        <w:tc>
          <w:tcPr>
            <w:tcW w:w="2835" w:type="dxa"/>
            <w:vAlign w:val="center"/>
          </w:tcPr>
          <w:p w14:paraId="79A5F948">
            <w:pPr>
              <w:spacing w:line="360" w:lineRule="exact"/>
              <w:ind w:firstLine="0"/>
              <w:jc w:val="center"/>
            </w:pPr>
            <w:r>
              <w:rPr>
                <w:sz w:val="20"/>
              </w:rPr>
              <w:t>模块边界清晰，便于扩展数据源和分析方法</w:t>
            </w:r>
          </w:p>
        </w:tc>
        <w:tc>
          <w:tcPr>
            <w:tcW w:w="2835" w:type="dxa"/>
            <w:vAlign w:val="center"/>
          </w:tcPr>
          <w:p w14:paraId="6F593E28">
            <w:pPr>
              <w:spacing w:line="360" w:lineRule="exact"/>
              <w:ind w:firstLine="0"/>
              <w:jc w:val="center"/>
            </w:pPr>
            <w:r>
              <w:rPr>
                <w:sz w:val="20"/>
              </w:rPr>
              <w:t>按 `ingest`、`analysis`、`api`、`app` 分层</w:t>
            </w:r>
          </w:p>
        </w:tc>
      </w:tr>
      <w:tr w14:paraId="6D942651">
        <w:tblPrEx>
          <w:tblCellMar>
            <w:top w:w="0" w:type="dxa"/>
            <w:left w:w="108" w:type="dxa"/>
            <w:bottom w:w="0" w:type="dxa"/>
            <w:right w:w="108" w:type="dxa"/>
          </w:tblCellMar>
        </w:tblPrEx>
        <w:trPr>
          <w:jc w:val="center"/>
        </w:trPr>
        <w:tc>
          <w:tcPr>
            <w:tcW w:w="2835" w:type="dxa"/>
            <w:vAlign w:val="center"/>
          </w:tcPr>
          <w:p w14:paraId="53EE79CD">
            <w:pPr>
              <w:spacing w:line="360" w:lineRule="exact"/>
              <w:ind w:firstLine="0"/>
              <w:jc w:val="center"/>
            </w:pPr>
            <w:r>
              <w:rPr>
                <w:sz w:val="20"/>
              </w:rPr>
              <w:t>可展示性</w:t>
            </w:r>
          </w:p>
        </w:tc>
        <w:tc>
          <w:tcPr>
            <w:tcW w:w="2835" w:type="dxa"/>
            <w:vAlign w:val="center"/>
          </w:tcPr>
          <w:p w14:paraId="7EC39EE9">
            <w:pPr>
              <w:spacing w:line="360" w:lineRule="exact"/>
              <w:ind w:firstLine="0"/>
              <w:jc w:val="center"/>
            </w:pPr>
            <w:r>
              <w:rPr>
                <w:sz w:val="20"/>
              </w:rPr>
              <w:t>页面结构清晰，支持论文截图与答辩展示</w:t>
            </w:r>
          </w:p>
        </w:tc>
        <w:tc>
          <w:tcPr>
            <w:tcW w:w="2835" w:type="dxa"/>
            <w:vAlign w:val="center"/>
          </w:tcPr>
          <w:p w14:paraId="31B450FF">
            <w:pPr>
              <w:spacing w:line="360" w:lineRule="exact"/>
              <w:ind w:firstLine="0"/>
              <w:jc w:val="center"/>
            </w:pPr>
            <w:r>
              <w:rPr>
                <w:sz w:val="20"/>
              </w:rPr>
              <w:t>Streamlit 页面与截图脚本</w:t>
            </w:r>
          </w:p>
        </w:tc>
      </w:tr>
      <w:tr w14:paraId="7095873A">
        <w:tblPrEx>
          <w:tblCellMar>
            <w:top w:w="0" w:type="dxa"/>
            <w:left w:w="108" w:type="dxa"/>
            <w:bottom w:w="0" w:type="dxa"/>
            <w:right w:w="108" w:type="dxa"/>
          </w:tblCellMar>
        </w:tblPrEx>
        <w:trPr>
          <w:jc w:val="center"/>
        </w:trPr>
        <w:tc>
          <w:tcPr>
            <w:tcW w:w="2835" w:type="dxa"/>
            <w:tcBorders>
              <w:bottom w:val="single" w:color="000000" w:sz="12" w:space="0"/>
            </w:tcBorders>
            <w:vAlign w:val="center"/>
          </w:tcPr>
          <w:p w14:paraId="678EEFE7">
            <w:pPr>
              <w:spacing w:line="360" w:lineRule="exact"/>
              <w:ind w:firstLine="0"/>
              <w:jc w:val="center"/>
            </w:pPr>
            <w:r>
              <w:rPr>
                <w:sz w:val="20"/>
              </w:rPr>
              <w:t>可复核性</w:t>
            </w:r>
          </w:p>
        </w:tc>
        <w:tc>
          <w:tcPr>
            <w:tcW w:w="2835" w:type="dxa"/>
            <w:tcBorders>
              <w:bottom w:val="single" w:color="000000" w:sz="12" w:space="0"/>
            </w:tcBorders>
            <w:vAlign w:val="center"/>
          </w:tcPr>
          <w:p w14:paraId="71966222">
            <w:pPr>
              <w:spacing w:line="360" w:lineRule="exact"/>
              <w:ind w:firstLine="0"/>
              <w:jc w:val="center"/>
            </w:pPr>
            <w:r>
              <w:rPr>
                <w:sz w:val="20"/>
              </w:rPr>
              <w:t>图表、快照、测试结果能够与代码和数据库对应</w:t>
            </w:r>
          </w:p>
        </w:tc>
        <w:tc>
          <w:tcPr>
            <w:tcW w:w="2835" w:type="dxa"/>
            <w:tcBorders>
              <w:bottom w:val="single" w:color="000000" w:sz="12" w:space="0"/>
            </w:tcBorders>
            <w:vAlign w:val="center"/>
          </w:tcPr>
          <w:p w14:paraId="313F9DCD">
            <w:pPr>
              <w:spacing w:line="360" w:lineRule="exact"/>
              <w:ind w:firstLine="0"/>
              <w:jc w:val="center"/>
            </w:pPr>
            <w:r>
              <w:rPr>
                <w:sz w:val="20"/>
              </w:rPr>
              <w:t>导出图表脚本与测试脚本</w:t>
            </w:r>
          </w:p>
        </w:tc>
      </w:tr>
    </w:tbl>
    <w:p w14:paraId="3371C065">
      <w:pPr>
        <w:pStyle w:val="3"/>
        <w:spacing w:lineRule="exact" w:line="460" w:before="240" w:after="240"/>
        <w:jc w:val="left"/>
      </w:pPr>
      <w:bookmarkStart w:id="14" w:name="_Toc224859765"/>
      <w:r>
        <w:rPr>
          <w:rFonts w:ascii="Times New Roman" w:hAnsi="Times New Roman" w:eastAsia="黑体"/>
          <w:b/>
          <w:sz w:val="28"/>
        </w:rPr>
        <w:t>3.4 数据源设计</w:t>
      </w:r>
      <w:bookmarkEnd w:id="14"/>
    </w:p>
    <w:p w14:paraId="2DEEB424">
      <w:r>
        <w:t>系统采用三类官方公开数据源，分别承担行情、宏观金融和宏观经济三个层面的信息供给。</w:t>
      </w:r>
    </w:p>
    <w:p w14:paraId="39818D90">
      <w:pPr>
        <w:keepLines/>
        <w:spacing w:before="0" w:after="0" w:lineRule="exact" w:line="460"/>
        <w:ind w:firstLine="0" w:left="0"/>
        <w:jc w:val="center"/>
      </w:pPr>
      <w:r>
        <w:rPr>
          <w:rFonts w:ascii="Times New Roman" w:hAnsi="Times New Roman" w:eastAsia="黑体"/>
          <w:b/>
          <w:sz w:val="24"/>
        </w:rPr>
        <w:t>表3.3 官方数据源及采集内容</w:t>
      </w:r>
    </w:p>
    <w:tbl>
      <w:tblPr>
        <w:tblStyle w:val="21"/>
        <w:tblW w:w="0" w:type="auto"/>
        <w:jc w:val="center"/>
        <w:tblLayout w:type="autofit"/>
        <w:tblCellMar>
          <w:top w:w="0" w:type="dxa"/>
          <w:left w:w="108" w:type="dxa"/>
          <w:bottom w:w="0" w:type="dxa"/>
          <w:right w:w="108" w:type="dxa"/>
        </w:tblCellMar>
      </w:tblPr>
      <w:tblGrid>
        <w:gridCol w:w="2835"/>
        <w:gridCol w:w="2835"/>
        <w:gridCol w:w="2835"/>
      </w:tblGrid>
      <w:tr w14:paraId="35871964">
        <w:tblPrEx>
          <w:tblCellMar>
            <w:top w:w="0" w:type="dxa"/>
            <w:left w:w="108" w:type="dxa"/>
            <w:bottom w:w="0" w:type="dxa"/>
            <w:right w:w="108" w:type="dxa"/>
          </w:tblCellMar>
        </w:tblPrEx>
        <w:trPr>
          <w:jc w:val="center"/>
        </w:trPr>
        <w:tc>
          <w:tcPr>
            <w:tcW w:w="2835" w:type="dxa"/>
            <w:tcBorders>
              <w:top w:val="single" w:color="000000" w:sz="12" w:space="0"/>
              <w:bottom w:val="single" w:color="000000" w:sz="12" w:space="0"/>
            </w:tcBorders>
            <w:vAlign w:val="center"/>
          </w:tcPr>
          <w:p w14:paraId="3A20A7E7">
            <w:pPr>
              <w:spacing w:line="360" w:lineRule="exact"/>
              <w:ind w:firstLine="0"/>
              <w:jc w:val="center"/>
            </w:pPr>
            <w:r>
              <w:rPr>
                <w:b/>
                <w:sz w:val="20"/>
              </w:rPr>
              <w:t>数据源</w:t>
            </w:r>
          </w:p>
        </w:tc>
        <w:tc>
          <w:tcPr>
            <w:tcW w:w="2835" w:type="dxa"/>
            <w:tcBorders>
              <w:top w:val="single" w:color="000000" w:sz="12" w:space="0"/>
              <w:bottom w:val="single" w:color="000000" w:sz="12" w:space="0"/>
            </w:tcBorders>
            <w:vAlign w:val="center"/>
          </w:tcPr>
          <w:p w14:paraId="11D6138D">
            <w:pPr>
              <w:spacing w:line="360" w:lineRule="exact"/>
              <w:ind w:firstLine="0"/>
              <w:jc w:val="center"/>
            </w:pPr>
            <w:r>
              <w:rPr>
                <w:b/>
                <w:sz w:val="20"/>
              </w:rPr>
              <w:t>主要内容</w:t>
            </w:r>
          </w:p>
        </w:tc>
        <w:tc>
          <w:tcPr>
            <w:tcW w:w="2835" w:type="dxa"/>
            <w:tcBorders>
              <w:top w:val="single" w:color="000000" w:sz="12" w:space="0"/>
              <w:bottom w:val="single" w:color="000000" w:sz="12" w:space="0"/>
            </w:tcBorders>
            <w:vAlign w:val="center"/>
          </w:tcPr>
          <w:p w14:paraId="5CB8B866">
            <w:pPr>
              <w:spacing w:line="360" w:lineRule="exact"/>
              <w:ind w:firstLine="0"/>
              <w:jc w:val="center"/>
            </w:pPr>
            <w:r>
              <w:rPr>
                <w:b/>
                <w:sz w:val="20"/>
              </w:rPr>
              <w:t>在系统中的作用</w:t>
            </w:r>
          </w:p>
        </w:tc>
      </w:tr>
      <w:tr w14:paraId="734FADE9">
        <w:tblPrEx>
          <w:tblCellMar>
            <w:top w:w="0" w:type="dxa"/>
            <w:left w:w="108" w:type="dxa"/>
            <w:bottom w:w="0" w:type="dxa"/>
            <w:right w:w="108" w:type="dxa"/>
          </w:tblCellMar>
        </w:tblPrEx>
        <w:trPr>
          <w:jc w:val="center"/>
        </w:trPr>
        <w:tc>
          <w:tcPr>
            <w:tcW w:w="2835" w:type="dxa"/>
            <w:vAlign w:val="center"/>
          </w:tcPr>
          <w:p w14:paraId="1AE5E03B">
            <w:pPr>
              <w:spacing w:line="360" w:lineRule="exact"/>
              <w:ind w:firstLine="0"/>
              <w:jc w:val="center"/>
            </w:pPr>
            <w:r>
              <w:rPr>
                <w:sz w:val="20"/>
              </w:rPr>
              <w:t>中国金融期货交易所</w:t>
            </w:r>
          </w:p>
        </w:tc>
        <w:tc>
          <w:tcPr>
            <w:tcW w:w="2835" w:type="dxa"/>
            <w:vAlign w:val="center"/>
          </w:tcPr>
          <w:p w14:paraId="7FD7F52C">
            <w:pPr>
              <w:spacing w:line="360" w:lineRule="exact"/>
              <w:ind w:firstLine="0"/>
              <w:jc w:val="center"/>
            </w:pPr>
            <w:r>
              <w:rPr>
                <w:sz w:val="20"/>
              </w:rPr>
              <w:t>四类股指期货日统计、交易所通知</w:t>
            </w:r>
          </w:p>
        </w:tc>
        <w:tc>
          <w:tcPr>
            <w:tcW w:w="2835" w:type="dxa"/>
            <w:vAlign w:val="center"/>
          </w:tcPr>
          <w:p w14:paraId="1AE58C9A">
            <w:pPr>
              <w:spacing w:line="360" w:lineRule="exact"/>
              <w:ind w:firstLine="0"/>
              <w:jc w:val="center"/>
            </w:pPr>
            <w:r>
              <w:rPr>
                <w:sz w:val="20"/>
              </w:rPr>
              <w:t>构建行情数据、主力连续、通知摘要</w:t>
            </w:r>
          </w:p>
        </w:tc>
      </w:tr>
      <w:tr w14:paraId="0F1BC951">
        <w:tblPrEx>
          <w:tblCellMar>
            <w:top w:w="0" w:type="dxa"/>
            <w:left w:w="108" w:type="dxa"/>
            <w:bottom w:w="0" w:type="dxa"/>
            <w:right w:w="108" w:type="dxa"/>
          </w:tblCellMar>
        </w:tblPrEx>
        <w:trPr>
          <w:jc w:val="center"/>
        </w:trPr>
        <w:tc>
          <w:tcPr>
            <w:tcW w:w="2835" w:type="dxa"/>
            <w:vAlign w:val="center"/>
          </w:tcPr>
          <w:p w14:paraId="52CFA5CD">
            <w:pPr>
              <w:spacing w:line="360" w:lineRule="exact"/>
              <w:ind w:firstLine="0"/>
              <w:jc w:val="center"/>
            </w:pPr>
            <w:r>
              <w:rPr>
                <w:sz w:val="20"/>
              </w:rPr>
              <w:t>中国人民银行调查统计司</w:t>
            </w:r>
          </w:p>
        </w:tc>
        <w:tc>
          <w:tcPr>
            <w:tcW w:w="2835" w:type="dxa"/>
            <w:vAlign w:val="center"/>
          </w:tcPr>
          <w:p w14:paraId="03188184">
            <w:pPr>
              <w:spacing w:line="360" w:lineRule="exact"/>
              <w:ind w:firstLine="0"/>
              <w:jc w:val="center"/>
            </w:pPr>
            <w:r>
              <w:rPr>
                <w:sz w:val="20"/>
              </w:rPr>
              <w:t>M2、M1、贷款同比、社融存量、同业拆借利率</w:t>
            </w:r>
          </w:p>
        </w:tc>
        <w:tc>
          <w:tcPr>
            <w:tcW w:w="2835" w:type="dxa"/>
            <w:vAlign w:val="center"/>
          </w:tcPr>
          <w:p w14:paraId="5E2D68D6">
            <w:pPr>
              <w:spacing w:line="360" w:lineRule="exact"/>
              <w:ind w:firstLine="0"/>
              <w:jc w:val="center"/>
            </w:pPr>
            <w:r>
              <w:rPr>
                <w:sz w:val="20"/>
              </w:rPr>
              <w:t>作为宏观金融因子参与相关性分析</w:t>
            </w:r>
          </w:p>
        </w:tc>
      </w:tr>
      <w:tr w14:paraId="470B05AD">
        <w:tblPrEx>
          <w:tblCellMar>
            <w:top w:w="0" w:type="dxa"/>
            <w:left w:w="108" w:type="dxa"/>
            <w:bottom w:w="0" w:type="dxa"/>
            <w:right w:w="108" w:type="dxa"/>
          </w:tblCellMar>
        </w:tblPrEx>
        <w:trPr>
          <w:jc w:val="center"/>
        </w:trPr>
        <w:tc>
          <w:tcPr>
            <w:tcW w:w="2835" w:type="dxa"/>
            <w:tcBorders>
              <w:bottom w:val="single" w:color="000000" w:sz="12" w:space="0"/>
            </w:tcBorders>
            <w:vAlign w:val="center"/>
          </w:tcPr>
          <w:p w14:paraId="3806DE4D">
            <w:pPr>
              <w:spacing w:line="360" w:lineRule="exact"/>
              <w:ind w:firstLine="0"/>
              <w:jc w:val="center"/>
            </w:pPr>
            <w:r>
              <w:rPr>
                <w:sz w:val="20"/>
              </w:rPr>
              <w:t>国家统计局数据发布</w:t>
            </w:r>
          </w:p>
        </w:tc>
        <w:tc>
          <w:tcPr>
            <w:tcW w:w="2835" w:type="dxa"/>
            <w:tcBorders>
              <w:bottom w:val="single" w:color="000000" w:sz="12" w:space="0"/>
            </w:tcBorders>
            <w:vAlign w:val="center"/>
          </w:tcPr>
          <w:p w14:paraId="7A8AFA73">
            <w:pPr>
              <w:spacing w:line="360" w:lineRule="exact"/>
              <w:ind w:firstLine="0"/>
              <w:jc w:val="center"/>
            </w:pPr>
            <w:r>
              <w:rPr>
                <w:sz w:val="20"/>
              </w:rPr>
              <w:t>CPI、PPI、工业增加值等</w:t>
            </w:r>
          </w:p>
        </w:tc>
        <w:tc>
          <w:tcPr>
            <w:tcW w:w="2835" w:type="dxa"/>
            <w:tcBorders>
              <w:bottom w:val="single" w:color="000000" w:sz="12" w:space="0"/>
            </w:tcBorders>
            <w:vAlign w:val="center"/>
          </w:tcPr>
          <w:p w14:paraId="40B6FCBF">
            <w:pPr>
              <w:spacing w:line="360" w:lineRule="exact"/>
              <w:ind w:firstLine="0"/>
              <w:jc w:val="center"/>
            </w:pPr>
            <w:r>
              <w:rPr>
                <w:sz w:val="20"/>
              </w:rPr>
              <w:t>作为宏观经济因子参与相关性分析</w:t>
            </w:r>
          </w:p>
        </w:tc>
      </w:tr>
    </w:tbl>
    <w:p w14:paraId="0CE592F8">
      <w:r>
        <w:t>截至 2026 年 3 月 20 日，系统已入仓 912 条期货日频记录、18 条宏观指标记录和 20 条交易所通知记录。其中，四个品种各拥有 228 条日频行情记录，各 57 条主力连续记录；宏观指标包含 m2_yoy、m1_yoy、loan_yoy、interbank_rate、social_financing_stock_yoy、cpi_yoy、ppi_yoy 和 industrial_output_yoy 等序列。这些数据规模虽然尚不足以支持极长周期统计研究，但足以支撑毕业设计场景下的系统功能验证与结果展示。</w:t>
      </w:r>
    </w:p>
    <w:p w14:paraId="5E43F4C1">
      <w:pPr>
        <w:pStyle w:val="3"/>
        <w:spacing w:lineRule="exact" w:line="460" w:before="240" w:after="240"/>
        <w:jc w:val="left"/>
      </w:pPr>
      <w:bookmarkStart w:id="15" w:name="_Toc224859766"/>
      <w:r>
        <w:rPr>
          <w:rFonts w:ascii="Times New Roman" w:hAnsi="Times New Roman" w:eastAsia="黑体"/>
          <w:b/>
          <w:sz w:val="28"/>
        </w:rPr>
        <w:t>3.5 数据模型设计</w:t>
      </w:r>
      <w:bookmarkEnd w:id="15"/>
    </w:p>
    <w:p w14:paraId="701186F2">
      <w:r>
        <w:t>系统采用“原始层、标准层、分析层”三层数据设计。原始层保存网页、HTML 和 XML 文件，以保证数据可追溯；标准层统一字段命名和数据类型，形成 contracts、futures_daily、macro_series、notice_events 等基础表；分析层基于标准层继续生成 main_contract_daily、analysis_snapshot、volatility_forecast、correlation_matrix 和 quality_report 等结果表。</w:t>
      </w:r>
    </w:p>
    <w:p w14:paraId="6B72F543">
      <w:pPr>
        <w:keepNext/>
        <w:keepLines/>
        <w:spacing w:line="240" w:lineRule="auto"/>
        <w:ind w:firstLine="0"/>
        <w:jc w:val="center"/>
      </w:pPr>
      <w:r>
        <w:drawing>
          <wp:inline distT="0" distB="0" distL="0" distR="0">
            <wp:extent cx="5120640" cy="19418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tretch>
                      <a:fillRect/>
                    </a:stretch>
                  </pic:blipFill>
                  <pic:spPr>
                    <a:xfrm>
                      <a:off x="0" y="0"/>
                      <a:ext cx="5120640" cy="1942312"/>
                    </a:xfrm>
                    <a:prstGeom prst="rect">
                      <a:avLst/>
                    </a:prstGeom>
                  </pic:spPr>
                </pic:pic>
              </a:graphicData>
            </a:graphic>
          </wp:inline>
        </w:drawing>
      </w:r>
    </w:p>
    <w:p w14:paraId="3437F537">
      <w:pPr>
        <w:keepLines/>
        <w:spacing w:before="0" w:after="0" w:lineRule="exact" w:line="460"/>
        <w:ind w:firstLine="0" w:left="0"/>
        <w:jc w:val="center"/>
      </w:pPr>
      <w:r>
        <w:rPr>
          <w:rFonts w:ascii="Times New Roman" w:hAnsi="Times New Roman" w:eastAsia="黑体"/>
          <w:b/>
          <w:sz w:val="24"/>
        </w:rPr>
        <w:t>图3.1 核心数据模型图</w:t>
      </w:r>
    </w:p>
    <w:p w14:paraId="61C70BC8">
      <w:r>
        <w:t>这种数据模型的优势在于既能支持逐表查询和接口返回，也能直接服务于论文中的表格和图表输出。对于毕业设计而言，这种兼顾分析与交付的模型设计比仅保存单个 CSV 文件更具工程意义。</w:t>
      </w:r>
    </w:p>
    <w:p w14:paraId="2C1BD877">
      <w:r>
        <w:br w:type="page"/>
      </w:r>
    </w:p>
    <w:p w14:paraId="434C1AC8">
      <w:pPr>
        <w:pStyle w:val="2"/>
        <w:spacing w:lineRule="exact" w:line="460" w:before="360" w:after="240"/>
        <w:jc w:val="center"/>
        <w:rPr>
          <w:rFonts w:hint="default"/>
        </w:rPr>
      </w:pPr>
      <w:bookmarkStart w:id="16" w:name="_Toc224859767"/>
      <w:r>
        <w:rPr>
          <w:rFonts w:ascii="Times New Roman" w:hAnsi="Times New Roman" w:eastAsia="黑体"/>
          <w:b/>
          <w:sz w:val="36"/>
        </w:rPr>
        <w:t>4 系统总体设计</w:t>
      </w:r>
      <w:bookmarkEnd w:id="16"/>
    </w:p>
    <w:p w14:paraId="59AC446B">
      <w:pPr>
        <w:pStyle w:val="3"/>
        <w:spacing w:lineRule="exact" w:line="460" w:before="240" w:after="240"/>
        <w:jc w:val="left"/>
      </w:pPr>
      <w:bookmarkStart w:id="17" w:name="_Toc224859768"/>
      <w:r>
        <w:rPr>
          <w:rFonts w:ascii="Times New Roman" w:hAnsi="Times New Roman" w:eastAsia="黑体"/>
          <w:b/>
          <w:sz w:val="28"/>
        </w:rPr>
        <w:t>4.1 总体架构设计</w:t>
      </w:r>
      <w:bookmarkEnd w:id="17"/>
    </w:p>
    <w:p w14:paraId="40C9ADF0">
      <w:r>
        <w:t>系统总体上采用“采集层、存储层、分析层、服务层、展示层”五层结构。采集层负责访问官方站点并提取结构化字段；存储层负责原始数据落盘和 DuckDB/Parquet 持久化；分析层负责主力连续、波动率预测、VaR 和相关性等指标计算；服务层通过 FastAPI 对外提供统一接口；展示层通过 Streamlit 进行可视化交互与论文截图输出。该结构既保证了模块之间的低耦合，也便于后续替换数据源和扩展分析方法。</w:t>
      </w:r>
    </w:p>
    <w:p w14:paraId="1422ADB3">
      <w:pPr>
        <w:keepNext/>
        <w:keepLines/>
        <w:spacing w:line="240" w:lineRule="auto"/>
        <w:ind w:firstLine="0"/>
        <w:jc w:val="center"/>
      </w:pPr>
      <w:r>
        <w:drawing>
          <wp:inline distT="0" distB="0" distL="0" distR="0">
            <wp:extent cx="5120640" cy="19418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7"/>
                    <a:stretch>
                      <a:fillRect/>
                    </a:stretch>
                  </pic:blipFill>
                  <pic:spPr>
                    <a:xfrm>
                      <a:off x="0" y="0"/>
                      <a:ext cx="5120640" cy="1942312"/>
                    </a:xfrm>
                    <a:prstGeom prst="rect">
                      <a:avLst/>
                    </a:prstGeom>
                  </pic:spPr>
                </pic:pic>
              </a:graphicData>
            </a:graphic>
          </wp:inline>
        </w:drawing>
      </w:r>
    </w:p>
    <w:p w14:paraId="116E79E2">
      <w:pPr>
        <w:keepLines/>
        <w:spacing w:before="0" w:after="0" w:lineRule="exact" w:line="460"/>
        <w:ind w:firstLine="0" w:left="0"/>
        <w:jc w:val="center"/>
      </w:pPr>
      <w:r>
        <w:rPr>
          <w:rFonts w:ascii="Times New Roman" w:hAnsi="Times New Roman" w:eastAsia="黑体"/>
          <w:b/>
          <w:sz w:val="24"/>
        </w:rPr>
        <w:t>图4.1 系统总体架构图</w:t>
      </w:r>
    </w:p>
    <w:p w14:paraId="56467C03">
      <w:pPr>
        <w:spacing w:lineRule="exact" w:line="460" w:before="0" w:after="0"/>
        <w:ind w:firstLine="420"/>
        <w:jc w:val="both"/>
      </w:pPr>
      <w:r>
        <w:rPr>
          <w:rFonts w:ascii="Times New Roman" w:hAnsi="Times New Roman" w:eastAsia="宋体"/>
          <w:sz w:val="24"/>
        </w:rPr>
        <w:t>从数据流角度看，系统按照“原始行情获取 -&gt; DuckDB/Parquet 存储 -&gt; 算法模型计算 -&gt; FastAPI 接口输出 -&gt; Streamlit 页面渲染”的流程运行。CFFEX 日统计与通知、PBC 报告和 NBS 数据发布首先进入采集层，然后以原始文件形式写入 data/raw/；经过解析与标准化后，被写入 DuckDB 与 Parquet；分析层读取数仓表后生成主力连续、EWMA 波动率预测、历史模拟 VaR、快照和质量报告等结果表，再由 API 与前端页面进行消费。这一链路实现了“原始数据可追溯、分析结果可复用、页面展示可重建”的闭环。</w:t>
      </w:r>
    </w:p>
    <w:p w14:paraId="69105FAC">
      <w:pPr>
        <w:keepNext/>
        <w:keepLines/>
        <w:spacing w:line="240" w:lineRule="auto"/>
        <w:ind w:firstLine="0"/>
        <w:jc w:val="center"/>
      </w:pPr>
      <w:r>
        <w:drawing>
          <wp:inline distT="0" distB="0" distL="0" distR="0">
            <wp:extent cx="5120640" cy="19418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8"/>
                    <a:stretch>
                      <a:fillRect/>
                    </a:stretch>
                  </pic:blipFill>
                  <pic:spPr>
                    <a:xfrm>
                      <a:off x="0" y="0"/>
                      <a:ext cx="5120640" cy="1942312"/>
                    </a:xfrm>
                    <a:prstGeom prst="rect">
                      <a:avLst/>
                    </a:prstGeom>
                  </pic:spPr>
                </pic:pic>
              </a:graphicData>
            </a:graphic>
          </wp:inline>
        </w:drawing>
      </w:r>
    </w:p>
    <w:p w14:paraId="3433287F">
      <w:pPr>
        <w:keepLines/>
        <w:spacing w:before="0" w:after="0" w:lineRule="exact" w:line="460"/>
        <w:ind w:firstLine="0" w:left="0"/>
        <w:jc w:val="center"/>
      </w:pPr>
      <w:r>
        <w:rPr>
          <w:rFonts w:ascii="Times New Roman" w:hAnsi="Times New Roman" w:eastAsia="黑体"/>
          <w:b/>
          <w:sz w:val="24"/>
        </w:rPr>
        <w:t>图4.2 数据处理流程图</w:t>
      </w:r>
    </w:p>
    <w:p w14:paraId="29A54FE7">
      <w:pPr>
        <w:pStyle w:val="3"/>
        <w:spacing w:lineRule="exact" w:line="460" w:before="240" w:after="240"/>
        <w:jc w:val="left"/>
      </w:pPr>
      <w:bookmarkStart w:id="18" w:name="_Toc224859769"/>
      <w:r>
        <w:rPr>
          <w:rFonts w:ascii="Times New Roman" w:hAnsi="Times New Roman" w:eastAsia="黑体"/>
          <w:b/>
          <w:sz w:val="28"/>
        </w:rPr>
        <w:t>4.2 模块划分设计</w:t>
      </w:r>
      <w:bookmarkEnd w:id="18"/>
    </w:p>
    <w:p w14:paraId="45F71A7F">
      <w:r>
        <w:t>系统按目录结构完成了较清晰的模块划分。ingest/ 用于不同来源数据的抓取与解析；warehouse/ 负责表写入、表读取和行数统计；analysis/ 聚焦指标和业务逻辑；api/ 负责接口暴露；app/ 负责页面交互；scripts/ 负责数据刷新、图表导出和截图生成。这种目录设计与论文章节之间有天然对应关系，便于在正文中展开说明。</w:t>
      </w:r>
    </w:p>
    <w:p w14:paraId="33C06237">
      <w:pPr>
        <w:pStyle w:val="3"/>
        <w:spacing w:lineRule="exact" w:line="460" w:before="240" w:after="240"/>
        <w:jc w:val="left"/>
      </w:pPr>
      <w:bookmarkStart w:id="19" w:name="_Toc224859770"/>
      <w:r>
        <w:rPr>
          <w:rFonts w:ascii="Times New Roman" w:hAnsi="Times New Roman" w:eastAsia="黑体"/>
          <w:b/>
          <w:sz w:val="28"/>
        </w:rPr>
        <w:t>4.3 核心数据表设计</w:t>
      </w:r>
      <w:bookmarkEnd w:id="19"/>
    </w:p>
    <w:p w14:paraId="768496EB">
      <w:pPr>
        <w:keepLines/>
        <w:spacing w:before="0" w:after="0" w:lineRule="exact" w:line="460"/>
        <w:ind w:firstLine="0" w:left="0"/>
        <w:jc w:val="center"/>
      </w:pPr>
      <w:r>
        <w:rPr>
          <w:rFonts w:ascii="Times New Roman" w:hAnsi="Times New Roman" w:eastAsia="黑体"/>
          <w:b/>
          <w:sz w:val="24"/>
        </w:rPr>
        <w:t>表4.1 核心数据表设计</w:t>
      </w:r>
    </w:p>
    <w:tbl>
      <w:tblPr>
        <w:tblStyle w:val="21"/>
        <w:tblW w:w="0" w:type="auto"/>
        <w:jc w:val="center"/>
        <w:tblLayout w:type="autofit"/>
        <w:tblCellMar>
          <w:top w:w="0" w:type="dxa"/>
          <w:left w:w="108" w:type="dxa"/>
          <w:bottom w:w="0" w:type="dxa"/>
          <w:right w:w="108" w:type="dxa"/>
        </w:tblCellMar>
      </w:tblPr>
      <w:tblGrid>
        <w:gridCol w:w="2835"/>
        <w:gridCol w:w="2835"/>
        <w:gridCol w:w="2835"/>
      </w:tblGrid>
      <w:tr w14:paraId="3C2D5DB7">
        <w:tblPrEx>
          <w:tblCellMar>
            <w:top w:w="0" w:type="dxa"/>
            <w:left w:w="108" w:type="dxa"/>
            <w:bottom w:w="0" w:type="dxa"/>
            <w:right w:w="108" w:type="dxa"/>
          </w:tblCellMar>
        </w:tblPrEx>
        <w:trPr>
          <w:jc w:val="center"/>
        </w:trPr>
        <w:tc>
          <w:tcPr>
            <w:tcW w:w="2835" w:type="dxa"/>
            <w:tcBorders>
              <w:top w:val="single" w:color="000000" w:sz="12" w:space="0"/>
              <w:bottom w:val="single" w:color="000000" w:sz="12" w:space="0"/>
            </w:tcBorders>
            <w:vAlign w:val="center"/>
          </w:tcPr>
          <w:p w14:paraId="579EA563">
            <w:pPr>
              <w:spacing w:line="360" w:lineRule="exact"/>
              <w:ind w:firstLine="0"/>
              <w:jc w:val="center"/>
            </w:pPr>
            <w:r>
              <w:rPr>
                <w:b/>
                <w:sz w:val="20"/>
              </w:rPr>
              <w:t>数据表</w:t>
            </w:r>
          </w:p>
        </w:tc>
        <w:tc>
          <w:tcPr>
            <w:tcW w:w="2835" w:type="dxa"/>
            <w:tcBorders>
              <w:top w:val="single" w:color="000000" w:sz="12" w:space="0"/>
              <w:bottom w:val="single" w:color="000000" w:sz="12" w:space="0"/>
            </w:tcBorders>
            <w:vAlign w:val="center"/>
          </w:tcPr>
          <w:p w14:paraId="7C3BB615">
            <w:pPr>
              <w:spacing w:line="360" w:lineRule="exact"/>
              <w:ind w:firstLine="0"/>
              <w:jc w:val="center"/>
            </w:pPr>
            <w:r>
              <w:rPr>
                <w:b/>
                <w:sz w:val="20"/>
              </w:rPr>
              <w:t>关键字段</w:t>
            </w:r>
          </w:p>
        </w:tc>
        <w:tc>
          <w:tcPr>
            <w:tcW w:w="2835" w:type="dxa"/>
            <w:tcBorders>
              <w:top w:val="single" w:color="000000" w:sz="12" w:space="0"/>
              <w:bottom w:val="single" w:color="000000" w:sz="12" w:space="0"/>
            </w:tcBorders>
            <w:vAlign w:val="center"/>
          </w:tcPr>
          <w:p w14:paraId="19C52BC8">
            <w:pPr>
              <w:spacing w:line="360" w:lineRule="exact"/>
              <w:ind w:firstLine="0"/>
              <w:jc w:val="center"/>
            </w:pPr>
            <w:r>
              <w:rPr>
                <w:b/>
                <w:sz w:val="20"/>
              </w:rPr>
              <w:t>主要用途</w:t>
            </w:r>
          </w:p>
        </w:tc>
      </w:tr>
      <w:tr w14:paraId="0B99F6F8">
        <w:tblPrEx>
          <w:tblCellMar>
            <w:top w:w="0" w:type="dxa"/>
            <w:left w:w="108" w:type="dxa"/>
            <w:bottom w:w="0" w:type="dxa"/>
            <w:right w:w="108" w:type="dxa"/>
          </w:tblCellMar>
        </w:tblPrEx>
        <w:trPr>
          <w:jc w:val="center"/>
        </w:trPr>
        <w:tc>
          <w:tcPr>
            <w:tcW w:w="2835" w:type="dxa"/>
            <w:vAlign w:val="center"/>
          </w:tcPr>
          <w:p w14:paraId="337108F4">
            <w:pPr>
              <w:spacing w:line="360" w:lineRule="exact"/>
              <w:ind w:firstLine="0"/>
              <w:jc w:val="center"/>
            </w:pPr>
            <w:r>
              <w:rPr>
                <w:sz w:val="20"/>
              </w:rPr>
              <w:t>contracts</w:t>
            </w:r>
          </w:p>
        </w:tc>
        <w:tc>
          <w:tcPr>
            <w:tcW w:w="2835" w:type="dxa"/>
            <w:vAlign w:val="center"/>
          </w:tcPr>
          <w:p w14:paraId="12713975">
            <w:pPr>
              <w:spacing w:line="360" w:lineRule="exact"/>
              <w:ind w:firstLine="0"/>
              <w:jc w:val="center"/>
            </w:pPr>
            <w:r>
              <w:rPr>
                <w:sz w:val="20"/>
              </w:rPr>
              <w:t>`instrument_id`、`product_id`、`contract_month`</w:t>
            </w:r>
          </w:p>
        </w:tc>
        <w:tc>
          <w:tcPr>
            <w:tcW w:w="2835" w:type="dxa"/>
            <w:vAlign w:val="center"/>
          </w:tcPr>
          <w:p w14:paraId="1CB5F58E">
            <w:pPr>
              <w:spacing w:line="360" w:lineRule="exact"/>
              <w:ind w:firstLine="0"/>
              <w:jc w:val="center"/>
            </w:pPr>
            <w:r>
              <w:rPr>
                <w:sz w:val="20"/>
              </w:rPr>
              <w:t>管理合约元数据</w:t>
            </w:r>
          </w:p>
        </w:tc>
      </w:tr>
      <w:tr w14:paraId="54BC52AB">
        <w:tblPrEx>
          <w:tblCellMar>
            <w:top w:w="0" w:type="dxa"/>
            <w:left w:w="108" w:type="dxa"/>
            <w:bottom w:w="0" w:type="dxa"/>
            <w:right w:w="108" w:type="dxa"/>
          </w:tblCellMar>
        </w:tblPrEx>
        <w:trPr>
          <w:jc w:val="center"/>
        </w:trPr>
        <w:tc>
          <w:tcPr>
            <w:tcW w:w="2835" w:type="dxa"/>
            <w:vAlign w:val="center"/>
          </w:tcPr>
          <w:p w14:paraId="2CA44C48">
            <w:pPr>
              <w:spacing w:line="360" w:lineRule="exact"/>
              <w:ind w:firstLine="0"/>
              <w:jc w:val="center"/>
            </w:pPr>
            <w:r>
              <w:rPr>
                <w:sz w:val="20"/>
              </w:rPr>
              <w:t>futures_daily</w:t>
            </w:r>
          </w:p>
        </w:tc>
        <w:tc>
          <w:tcPr>
            <w:tcW w:w="2835" w:type="dxa"/>
            <w:vAlign w:val="center"/>
          </w:tcPr>
          <w:p w14:paraId="360F24DF">
            <w:pPr>
              <w:spacing w:line="360" w:lineRule="exact"/>
              <w:ind w:firstLine="0"/>
              <w:jc w:val="center"/>
            </w:pPr>
            <w:r>
              <w:rPr>
                <w:sz w:val="20"/>
              </w:rPr>
              <w:t>`trading_date`、`close_price`、`volume`、`open_interest`</w:t>
            </w:r>
          </w:p>
        </w:tc>
        <w:tc>
          <w:tcPr>
            <w:tcW w:w="2835" w:type="dxa"/>
            <w:vAlign w:val="center"/>
          </w:tcPr>
          <w:p w14:paraId="7E065A1F">
            <w:pPr>
              <w:spacing w:line="360" w:lineRule="exact"/>
              <w:ind w:firstLine="0"/>
              <w:jc w:val="center"/>
            </w:pPr>
            <w:r>
              <w:rPr>
                <w:sz w:val="20"/>
              </w:rPr>
              <w:t>保存日行情原始标准化结果</w:t>
            </w:r>
          </w:p>
        </w:tc>
      </w:tr>
      <w:tr w14:paraId="42BF1083">
        <w:tblPrEx>
          <w:tblCellMar>
            <w:top w:w="0" w:type="dxa"/>
            <w:left w:w="108" w:type="dxa"/>
            <w:bottom w:w="0" w:type="dxa"/>
            <w:right w:w="108" w:type="dxa"/>
          </w:tblCellMar>
        </w:tblPrEx>
        <w:trPr>
          <w:jc w:val="center"/>
        </w:trPr>
        <w:tc>
          <w:tcPr>
            <w:tcW w:w="2835" w:type="dxa"/>
            <w:vAlign w:val="center"/>
          </w:tcPr>
          <w:p w14:paraId="57BC4A41">
            <w:pPr>
              <w:spacing w:line="360" w:lineRule="exact"/>
              <w:ind w:firstLine="0"/>
              <w:jc w:val="center"/>
            </w:pPr>
            <w:r>
              <w:rPr>
                <w:sz w:val="20"/>
              </w:rPr>
              <w:t>macro_series</w:t>
            </w:r>
          </w:p>
        </w:tc>
        <w:tc>
          <w:tcPr>
            <w:tcW w:w="2835" w:type="dxa"/>
            <w:vAlign w:val="center"/>
          </w:tcPr>
          <w:p w14:paraId="6D797B2C">
            <w:pPr>
              <w:spacing w:line="360" w:lineRule="exact"/>
              <w:ind w:firstLine="0"/>
              <w:jc w:val="center"/>
            </w:pPr>
            <w:r>
              <w:rPr>
                <w:sz w:val="20"/>
              </w:rPr>
              <w:t>`series_name`、`observation_date`、`value`</w:t>
            </w:r>
          </w:p>
        </w:tc>
        <w:tc>
          <w:tcPr>
            <w:tcW w:w="2835" w:type="dxa"/>
            <w:vAlign w:val="center"/>
          </w:tcPr>
          <w:p w14:paraId="687745D6">
            <w:pPr>
              <w:spacing w:line="360" w:lineRule="exact"/>
              <w:ind w:firstLine="0"/>
              <w:jc w:val="center"/>
            </w:pPr>
            <w:r>
              <w:rPr>
                <w:sz w:val="20"/>
              </w:rPr>
              <w:t>保存宏观指标</w:t>
            </w:r>
          </w:p>
        </w:tc>
      </w:tr>
      <w:tr w14:paraId="2E203F7F">
        <w:tblPrEx>
          <w:tblCellMar>
            <w:top w:w="0" w:type="dxa"/>
            <w:left w:w="108" w:type="dxa"/>
            <w:bottom w:w="0" w:type="dxa"/>
            <w:right w:w="108" w:type="dxa"/>
          </w:tblCellMar>
        </w:tblPrEx>
        <w:trPr>
          <w:jc w:val="center"/>
        </w:trPr>
        <w:tc>
          <w:tcPr>
            <w:tcW w:w="2835" w:type="dxa"/>
            <w:vAlign w:val="center"/>
          </w:tcPr>
          <w:p w14:paraId="36E94F67">
            <w:pPr>
              <w:spacing w:line="360" w:lineRule="exact"/>
              <w:ind w:firstLine="0"/>
              <w:jc w:val="center"/>
            </w:pPr>
            <w:r>
              <w:rPr>
                <w:sz w:val="20"/>
              </w:rPr>
              <w:t>main_contract_daily</w:t>
            </w:r>
          </w:p>
        </w:tc>
        <w:tc>
          <w:tcPr>
            <w:tcW w:w="2835" w:type="dxa"/>
            <w:vAlign w:val="center"/>
          </w:tcPr>
          <w:p w14:paraId="2F97E5C8">
            <w:pPr>
              <w:spacing w:line="360" w:lineRule="exact"/>
              <w:ind w:firstLine="0"/>
              <w:jc w:val="center"/>
            </w:pPr>
            <w:r>
              <w:rPr>
                <w:sz w:val="20"/>
              </w:rPr>
              <w:t>`daily_return`、`rolling_vol_20`、`drawdown`</w:t>
            </w:r>
          </w:p>
        </w:tc>
        <w:tc>
          <w:tcPr>
            <w:tcW w:w="2835" w:type="dxa"/>
            <w:vAlign w:val="center"/>
          </w:tcPr>
          <w:p w14:paraId="7156E872">
            <w:pPr>
              <w:spacing w:line="360" w:lineRule="exact"/>
              <w:ind w:firstLine="0"/>
              <w:jc w:val="center"/>
            </w:pPr>
            <w:r>
              <w:rPr>
                <w:sz w:val="20"/>
              </w:rPr>
              <w:t>保存主力连续分析结果</w:t>
            </w:r>
          </w:p>
        </w:tc>
      </w:tr>
      <w:tr w14:paraId="3BE56C8F">
        <w:tblPrEx>
          <w:tblCellMar>
            <w:top w:w="0" w:type="dxa"/>
            <w:left w:w="108" w:type="dxa"/>
            <w:bottom w:w="0" w:type="dxa"/>
            <w:right w:w="108" w:type="dxa"/>
          </w:tblCellMar>
        </w:tblPrEx>
        <w:trPr>
          <w:jc w:val="center"/>
        </w:trPr>
        <w:tc>
          <w:tcPr>
            <w:tcW w:w="2835" w:type="dxa"/>
            <w:vAlign w:val="center"/>
          </w:tcPr>
          <w:p w14:paraId="2630BC23">
            <w:pPr>
              <w:spacing w:line="360" w:lineRule="exact"/>
              <w:ind w:firstLine="0"/>
              <w:jc w:val="center"/>
            </w:pPr>
            <w:r>
              <w:rPr>
                <w:sz w:val="20"/>
              </w:rPr>
              <w:t>volatility_forecast</w:t>
            </w:r>
          </w:p>
        </w:tc>
        <w:tc>
          <w:tcPr>
            <w:tcW w:w="2835" w:type="dxa"/>
            <w:vAlign w:val="center"/>
          </w:tcPr>
          <w:p w14:paraId="36AE4BC1">
            <w:pPr>
              <w:spacing w:line="360" w:lineRule="exact"/>
              <w:ind w:firstLine="0"/>
              <w:jc w:val="center"/>
            </w:pPr>
            <w:r>
              <w:rPr>
                <w:sz w:val="20"/>
              </w:rPr>
              <w:t>`forecast_vol_5d`、`future_realized_vol_5d`、`model_mae_60`</w:t>
            </w:r>
          </w:p>
        </w:tc>
        <w:tc>
          <w:tcPr>
            <w:tcW w:w="2835" w:type="dxa"/>
            <w:vAlign w:val="center"/>
          </w:tcPr>
          <w:p w14:paraId="579CF810">
            <w:pPr>
              <w:spacing w:line="360" w:lineRule="exact"/>
              <w:ind w:firstLine="0"/>
              <w:jc w:val="center"/>
            </w:pPr>
            <w:r>
              <w:rPr>
                <w:sz w:val="20"/>
              </w:rPr>
              <w:t>保存波动率预测结果</w:t>
            </w:r>
          </w:p>
        </w:tc>
      </w:tr>
      <w:tr w14:paraId="767FC6FC">
        <w:tblPrEx>
          <w:tblCellMar>
            <w:top w:w="0" w:type="dxa"/>
            <w:left w:w="108" w:type="dxa"/>
            <w:bottom w:w="0" w:type="dxa"/>
            <w:right w:w="108" w:type="dxa"/>
          </w:tblCellMar>
        </w:tblPrEx>
        <w:trPr>
          <w:jc w:val="center"/>
        </w:trPr>
        <w:tc>
          <w:tcPr>
            <w:tcW w:w="2835" w:type="dxa"/>
            <w:tcBorders>
              <w:bottom w:val="single" w:color="000000" w:sz="12" w:space="0"/>
            </w:tcBorders>
            <w:vAlign w:val="center"/>
          </w:tcPr>
          <w:p w14:paraId="6B826F41">
            <w:pPr>
              <w:spacing w:line="360" w:lineRule="exact"/>
              <w:ind w:firstLine="0"/>
              <w:jc w:val="center"/>
            </w:pPr>
            <w:r>
              <w:rPr>
                <w:sz w:val="20"/>
              </w:rPr>
              <w:t>analysis_snapshot</w:t>
            </w:r>
          </w:p>
        </w:tc>
        <w:tc>
          <w:tcPr>
            <w:tcW w:w="2835" w:type="dxa"/>
            <w:tcBorders>
              <w:bottom w:val="single" w:color="000000" w:sz="12" w:space="0"/>
            </w:tcBorders>
            <w:vAlign w:val="center"/>
          </w:tcPr>
          <w:p w14:paraId="05F3117E">
            <w:pPr>
              <w:spacing w:line="360" w:lineRule="exact"/>
              <w:ind w:firstLine="0"/>
              <w:jc w:val="center"/>
            </w:pPr>
            <w:r>
              <w:rPr>
                <w:sz w:val="20"/>
              </w:rPr>
              <w:t>`trend_signal`、`risk_level`、`var_95_hist_60`</w:t>
            </w:r>
          </w:p>
        </w:tc>
        <w:tc>
          <w:tcPr>
            <w:tcW w:w="2835" w:type="dxa"/>
            <w:tcBorders>
              <w:bottom w:val="single" w:color="000000" w:sz="12" w:space="0"/>
            </w:tcBorders>
            <w:vAlign w:val="center"/>
          </w:tcPr>
          <w:p w14:paraId="58F2D26F">
            <w:pPr>
              <w:spacing w:line="360" w:lineRule="exact"/>
              <w:ind w:firstLine="0"/>
              <w:jc w:val="center"/>
            </w:pPr>
            <w:r>
              <w:rPr>
                <w:sz w:val="20"/>
              </w:rPr>
              <w:t>保存最新快照</w:t>
            </w:r>
          </w:p>
        </w:tc>
      </w:tr>
    </w:tbl>
    <w:p w14:paraId="1F01A982">
      <w:r>
        <w:t>从数据结构上看，系统没有采用高度复杂的星型模型，而是使用适合项目规模的宽表式分析结果设计。这种设计在本地查询与接口返回时更直接，也有利于论文中快速组织测试表和结果表。</w:t>
      </w:r>
    </w:p>
    <w:p w14:paraId="1DD0B2BA">
      <w:pPr>
        <w:pStyle w:val="3"/>
        <w:spacing w:lineRule="exact" w:line="460" w:before="240" w:after="240"/>
        <w:jc w:val="left"/>
      </w:pPr>
      <w:bookmarkStart w:id="20" w:name="_Toc224859771"/>
      <w:r>
        <w:rPr>
          <w:rFonts w:ascii="Times New Roman" w:hAnsi="Times New Roman" w:eastAsia="黑体"/>
          <w:b/>
          <w:sz w:val="28"/>
        </w:rPr>
        <w:t>4.4 API 与页面设计</w:t>
      </w:r>
      <w:bookmarkEnd w:id="20"/>
    </w:p>
    <w:p w14:paraId="6A653C85">
      <w:r>
        <w:t>服务层通过 FastAPI 暴露多个分析接口，为前端展示和外部查询提供统一入口。</w:t>
      </w:r>
    </w:p>
    <w:p w14:paraId="48CFA7F0">
      <w:pPr>
        <w:keepLines/>
        <w:spacing w:before="0" w:after="0" w:lineRule="exact" w:line="460"/>
        <w:ind w:firstLine="0" w:left="0"/>
        <w:jc w:val="center"/>
      </w:pPr>
      <w:r>
        <w:rPr>
          <w:rFonts w:ascii="Times New Roman" w:hAnsi="Times New Roman" w:eastAsia="黑体"/>
          <w:b/>
          <w:sz w:val="24"/>
        </w:rPr>
        <w:t>表4.2 主要 API 接口设计</w:t>
      </w:r>
    </w:p>
    <w:tbl>
      <w:tblPr>
        <w:tblStyle w:val="21"/>
        <w:tblW w:w="0" w:type="auto"/>
        <w:jc w:val="center"/>
        <w:tblLayout w:type="autofit"/>
        <w:tblCellMar>
          <w:top w:w="0" w:type="dxa"/>
          <w:left w:w="108" w:type="dxa"/>
          <w:bottom w:w="0" w:type="dxa"/>
          <w:right w:w="108" w:type="dxa"/>
        </w:tblCellMar>
      </w:tblPr>
      <w:tblGrid>
        <w:gridCol w:w="4252"/>
        <w:gridCol w:w="4252"/>
      </w:tblGrid>
      <w:tr w14:paraId="51A515E9">
        <w:tblPrEx>
          <w:tblCellMar>
            <w:top w:w="0" w:type="dxa"/>
            <w:left w:w="108" w:type="dxa"/>
            <w:bottom w:w="0" w:type="dxa"/>
            <w:right w:w="108" w:type="dxa"/>
          </w:tblCellMar>
        </w:tblPrEx>
        <w:trPr>
          <w:jc w:val="center"/>
        </w:trPr>
        <w:tc>
          <w:tcPr>
            <w:tcW w:w="4252" w:type="dxa"/>
            <w:tcBorders>
              <w:top w:val="single" w:color="000000" w:sz="12" w:space="0"/>
              <w:bottom w:val="single" w:color="000000" w:sz="12" w:space="0"/>
            </w:tcBorders>
            <w:vAlign w:val="center"/>
          </w:tcPr>
          <w:p w14:paraId="616A720F">
            <w:pPr>
              <w:spacing w:line="360" w:lineRule="exact"/>
              <w:ind w:firstLine="0"/>
              <w:jc w:val="center"/>
            </w:pPr>
            <w:r>
              <w:rPr>
                <w:b/>
                <w:sz w:val="20"/>
              </w:rPr>
              <w:t>接口路径</w:t>
            </w:r>
          </w:p>
        </w:tc>
        <w:tc>
          <w:tcPr>
            <w:tcW w:w="4252" w:type="dxa"/>
            <w:tcBorders>
              <w:top w:val="single" w:color="000000" w:sz="12" w:space="0"/>
              <w:bottom w:val="single" w:color="000000" w:sz="12" w:space="0"/>
            </w:tcBorders>
            <w:vAlign w:val="center"/>
          </w:tcPr>
          <w:p w14:paraId="4BA69B6A">
            <w:pPr>
              <w:spacing w:line="360" w:lineRule="exact"/>
              <w:ind w:firstLine="0"/>
              <w:jc w:val="center"/>
            </w:pPr>
            <w:r>
              <w:rPr>
                <w:b/>
                <w:sz w:val="20"/>
              </w:rPr>
              <w:t>作用</w:t>
            </w:r>
          </w:p>
        </w:tc>
      </w:tr>
      <w:tr w14:paraId="36A728EE">
        <w:tblPrEx>
          <w:tblCellMar>
            <w:top w:w="0" w:type="dxa"/>
            <w:left w:w="108" w:type="dxa"/>
            <w:bottom w:w="0" w:type="dxa"/>
            <w:right w:w="108" w:type="dxa"/>
          </w:tblCellMar>
        </w:tblPrEx>
        <w:trPr>
          <w:jc w:val="center"/>
        </w:trPr>
        <w:tc>
          <w:tcPr>
            <w:tcW w:w="4252" w:type="dxa"/>
            <w:vAlign w:val="center"/>
          </w:tcPr>
          <w:p w14:paraId="454674C5">
            <w:pPr>
              <w:spacing w:line="360" w:lineRule="exact"/>
              <w:ind w:firstLine="0"/>
              <w:jc w:val="center"/>
            </w:pPr>
            <w:r>
              <w:rPr>
                <w:sz w:val="20"/>
              </w:rPr>
              <w:t>`/api/system/health`</w:t>
            </w:r>
          </w:p>
        </w:tc>
        <w:tc>
          <w:tcPr>
            <w:tcW w:w="4252" w:type="dxa"/>
            <w:vAlign w:val="center"/>
          </w:tcPr>
          <w:p w14:paraId="3AFA7D56">
            <w:pPr>
              <w:spacing w:line="360" w:lineRule="exact"/>
              <w:ind w:firstLine="0"/>
              <w:jc w:val="center"/>
            </w:pPr>
            <w:r>
              <w:rPr>
                <w:sz w:val="20"/>
              </w:rPr>
              <w:t>返回系统健康状态和表准备情况</w:t>
            </w:r>
          </w:p>
        </w:tc>
      </w:tr>
      <w:tr w14:paraId="59D449B7">
        <w:tblPrEx>
          <w:tblCellMar>
            <w:top w:w="0" w:type="dxa"/>
            <w:left w:w="108" w:type="dxa"/>
            <w:bottom w:w="0" w:type="dxa"/>
            <w:right w:w="108" w:type="dxa"/>
          </w:tblCellMar>
        </w:tblPrEx>
        <w:trPr>
          <w:jc w:val="center"/>
        </w:trPr>
        <w:tc>
          <w:tcPr>
            <w:tcW w:w="4252" w:type="dxa"/>
            <w:vAlign w:val="center"/>
          </w:tcPr>
          <w:p w14:paraId="45DA0063">
            <w:pPr>
              <w:spacing w:line="360" w:lineRule="exact"/>
              <w:ind w:firstLine="0"/>
              <w:jc w:val="center"/>
            </w:pPr>
            <w:r>
              <w:rPr>
                <w:sz w:val="20"/>
              </w:rPr>
              <w:t>`/api/contracts`</w:t>
            </w:r>
          </w:p>
        </w:tc>
        <w:tc>
          <w:tcPr>
            <w:tcW w:w="4252" w:type="dxa"/>
            <w:vAlign w:val="center"/>
          </w:tcPr>
          <w:p w14:paraId="574DAC35">
            <w:pPr>
              <w:spacing w:line="360" w:lineRule="exact"/>
              <w:ind w:firstLine="0"/>
              <w:jc w:val="center"/>
            </w:pPr>
            <w:r>
              <w:rPr>
                <w:sz w:val="20"/>
              </w:rPr>
              <w:t>查询合约元数据</w:t>
            </w:r>
          </w:p>
        </w:tc>
      </w:tr>
      <w:tr w14:paraId="1B14562B">
        <w:tblPrEx>
          <w:tblCellMar>
            <w:top w:w="0" w:type="dxa"/>
            <w:left w:w="108" w:type="dxa"/>
            <w:bottom w:w="0" w:type="dxa"/>
            <w:right w:w="108" w:type="dxa"/>
          </w:tblCellMar>
        </w:tblPrEx>
        <w:trPr>
          <w:jc w:val="center"/>
        </w:trPr>
        <w:tc>
          <w:tcPr>
            <w:tcW w:w="4252" w:type="dxa"/>
            <w:vAlign w:val="center"/>
          </w:tcPr>
          <w:p w14:paraId="401CD0DD">
            <w:pPr>
              <w:spacing w:line="360" w:lineRule="exact"/>
              <w:ind w:firstLine="0"/>
              <w:jc w:val="center"/>
            </w:pPr>
            <w:r>
              <w:rPr>
                <w:sz w:val="20"/>
              </w:rPr>
              <w:t>`/api/market/daily`</w:t>
            </w:r>
          </w:p>
        </w:tc>
        <w:tc>
          <w:tcPr>
            <w:tcW w:w="4252" w:type="dxa"/>
            <w:vAlign w:val="center"/>
          </w:tcPr>
          <w:p w14:paraId="2C8590E4">
            <w:pPr>
              <w:spacing w:line="360" w:lineRule="exact"/>
              <w:ind w:firstLine="0"/>
              <w:jc w:val="center"/>
            </w:pPr>
            <w:r>
              <w:rPr>
                <w:sz w:val="20"/>
              </w:rPr>
              <w:t>查询日频行情与主力连续行情</w:t>
            </w:r>
          </w:p>
        </w:tc>
      </w:tr>
      <w:tr w14:paraId="4E9FBF12">
        <w:tblPrEx>
          <w:tblCellMar>
            <w:top w:w="0" w:type="dxa"/>
            <w:left w:w="108" w:type="dxa"/>
            <w:bottom w:w="0" w:type="dxa"/>
            <w:right w:w="108" w:type="dxa"/>
          </w:tblCellMar>
        </w:tblPrEx>
        <w:trPr>
          <w:jc w:val="center"/>
        </w:trPr>
        <w:tc>
          <w:tcPr>
            <w:tcW w:w="4252" w:type="dxa"/>
            <w:vAlign w:val="center"/>
          </w:tcPr>
          <w:p w14:paraId="763A7334">
            <w:pPr>
              <w:spacing w:line="360" w:lineRule="exact"/>
              <w:ind w:firstLine="0"/>
              <w:jc w:val="center"/>
            </w:pPr>
            <w:r>
              <w:rPr>
                <w:sz w:val="20"/>
              </w:rPr>
              <w:t>`/api/analysis/trend`</w:t>
            </w:r>
          </w:p>
        </w:tc>
        <w:tc>
          <w:tcPr>
            <w:tcW w:w="4252" w:type="dxa"/>
            <w:vAlign w:val="center"/>
          </w:tcPr>
          <w:p w14:paraId="3B628BF3">
            <w:pPr>
              <w:spacing w:line="360" w:lineRule="exact"/>
              <w:ind w:firstLine="0"/>
              <w:jc w:val="center"/>
            </w:pPr>
            <w:r>
              <w:rPr>
                <w:sz w:val="20"/>
              </w:rPr>
              <w:t>返回趋势分析结果</w:t>
            </w:r>
          </w:p>
        </w:tc>
      </w:tr>
      <w:tr w14:paraId="375C903D">
        <w:tblPrEx>
          <w:tblCellMar>
            <w:top w:w="0" w:type="dxa"/>
            <w:left w:w="108" w:type="dxa"/>
            <w:bottom w:w="0" w:type="dxa"/>
            <w:right w:w="108" w:type="dxa"/>
          </w:tblCellMar>
        </w:tblPrEx>
        <w:trPr>
          <w:jc w:val="center"/>
        </w:trPr>
        <w:tc>
          <w:tcPr>
            <w:tcW w:w="4252" w:type="dxa"/>
            <w:vAlign w:val="center"/>
          </w:tcPr>
          <w:p w14:paraId="6171EE8D">
            <w:pPr>
              <w:spacing w:line="360" w:lineRule="exact"/>
              <w:ind w:firstLine="0"/>
              <w:jc w:val="center"/>
            </w:pPr>
            <w:r>
              <w:rPr>
                <w:sz w:val="20"/>
              </w:rPr>
              <w:t>`/api/analysis/volatility`</w:t>
            </w:r>
          </w:p>
        </w:tc>
        <w:tc>
          <w:tcPr>
            <w:tcW w:w="4252" w:type="dxa"/>
            <w:vAlign w:val="center"/>
          </w:tcPr>
          <w:p w14:paraId="6AD98F55">
            <w:pPr>
              <w:spacing w:line="360" w:lineRule="exact"/>
              <w:ind w:firstLine="0"/>
              <w:jc w:val="center"/>
            </w:pPr>
            <w:r>
              <w:rPr>
                <w:sz w:val="20"/>
              </w:rPr>
              <w:t>返回波动率分析结果</w:t>
            </w:r>
          </w:p>
        </w:tc>
      </w:tr>
      <w:tr w14:paraId="54B7C1C4">
        <w:tblPrEx>
          <w:tblCellMar>
            <w:top w:w="0" w:type="dxa"/>
            <w:left w:w="108" w:type="dxa"/>
            <w:bottom w:w="0" w:type="dxa"/>
            <w:right w:w="108" w:type="dxa"/>
          </w:tblCellMar>
        </w:tblPrEx>
        <w:trPr>
          <w:jc w:val="center"/>
        </w:trPr>
        <w:tc>
          <w:tcPr>
            <w:tcW w:w="4252" w:type="dxa"/>
            <w:vAlign w:val="center"/>
          </w:tcPr>
          <w:p w14:paraId="75163E69">
            <w:pPr>
              <w:spacing w:line="360" w:lineRule="exact"/>
              <w:ind w:firstLine="0"/>
              <w:jc w:val="center"/>
            </w:pPr>
            <w:r>
              <w:rPr>
                <w:sz w:val="20"/>
              </w:rPr>
              <w:t>`/api/analysis/volatility-forecast`</w:t>
            </w:r>
          </w:p>
        </w:tc>
        <w:tc>
          <w:tcPr>
            <w:tcW w:w="4252" w:type="dxa"/>
            <w:vAlign w:val="center"/>
          </w:tcPr>
          <w:p w14:paraId="71654292">
            <w:pPr>
              <w:spacing w:line="360" w:lineRule="exact"/>
              <w:ind w:firstLine="0"/>
              <w:jc w:val="center"/>
            </w:pPr>
            <w:r>
              <w:rPr>
                <w:sz w:val="20"/>
              </w:rPr>
              <w:t>返回未来五日波动率预测结果</w:t>
            </w:r>
          </w:p>
        </w:tc>
      </w:tr>
      <w:tr w14:paraId="4A12D8C3">
        <w:tblPrEx>
          <w:tblCellMar>
            <w:top w:w="0" w:type="dxa"/>
            <w:left w:w="108" w:type="dxa"/>
            <w:bottom w:w="0" w:type="dxa"/>
            <w:right w:w="108" w:type="dxa"/>
          </w:tblCellMar>
        </w:tblPrEx>
        <w:trPr>
          <w:jc w:val="center"/>
        </w:trPr>
        <w:tc>
          <w:tcPr>
            <w:tcW w:w="4252" w:type="dxa"/>
            <w:vAlign w:val="center"/>
          </w:tcPr>
          <w:p w14:paraId="2891573E">
            <w:pPr>
              <w:spacing w:line="360" w:lineRule="exact"/>
              <w:ind w:firstLine="0"/>
              <w:jc w:val="center"/>
            </w:pPr>
            <w:r>
              <w:rPr>
                <w:sz w:val="20"/>
              </w:rPr>
              <w:t>`/api/analysis/correlation`</w:t>
            </w:r>
          </w:p>
        </w:tc>
        <w:tc>
          <w:tcPr>
            <w:tcW w:w="4252" w:type="dxa"/>
            <w:vAlign w:val="center"/>
          </w:tcPr>
          <w:p w14:paraId="6ACCB399">
            <w:pPr>
              <w:spacing w:line="360" w:lineRule="exact"/>
              <w:ind w:firstLine="0"/>
              <w:jc w:val="center"/>
            </w:pPr>
            <w:r>
              <w:rPr>
                <w:sz w:val="20"/>
              </w:rPr>
              <w:t>返回相关性矩阵</w:t>
            </w:r>
          </w:p>
        </w:tc>
      </w:tr>
      <w:tr w14:paraId="623D4995">
        <w:tblPrEx>
          <w:tblCellMar>
            <w:top w:w="0" w:type="dxa"/>
            <w:left w:w="108" w:type="dxa"/>
            <w:bottom w:w="0" w:type="dxa"/>
            <w:right w:w="108" w:type="dxa"/>
          </w:tblCellMar>
        </w:tblPrEx>
        <w:trPr>
          <w:jc w:val="center"/>
        </w:trPr>
        <w:tc>
          <w:tcPr>
            <w:tcW w:w="4252" w:type="dxa"/>
            <w:vAlign w:val="center"/>
          </w:tcPr>
          <w:p w14:paraId="50128522">
            <w:pPr>
              <w:spacing w:line="360" w:lineRule="exact"/>
              <w:ind w:firstLine="0"/>
              <w:jc w:val="center"/>
            </w:pPr>
            <w:r>
              <w:rPr>
                <w:sz w:val="20"/>
              </w:rPr>
              <w:t>`/api/analysis/var`</w:t>
            </w:r>
          </w:p>
        </w:tc>
        <w:tc>
          <w:tcPr>
            <w:tcW w:w="4252" w:type="dxa"/>
            <w:vAlign w:val="center"/>
          </w:tcPr>
          <w:p w14:paraId="718A5073">
            <w:pPr>
              <w:spacing w:line="360" w:lineRule="exact"/>
              <w:ind w:firstLine="0"/>
              <w:jc w:val="center"/>
            </w:pPr>
            <w:r>
              <w:rPr>
                <w:sz w:val="20"/>
              </w:rPr>
              <w:t>返回历史模拟法 VaR 结果</w:t>
            </w:r>
          </w:p>
        </w:tc>
      </w:tr>
      <w:tr w14:paraId="0D5932E8">
        <w:tblPrEx>
          <w:tblCellMar>
            <w:top w:w="0" w:type="dxa"/>
            <w:left w:w="108" w:type="dxa"/>
            <w:bottom w:w="0" w:type="dxa"/>
            <w:right w:w="108" w:type="dxa"/>
          </w:tblCellMar>
        </w:tblPrEx>
        <w:trPr>
          <w:jc w:val="center"/>
        </w:trPr>
        <w:tc>
          <w:tcPr>
            <w:tcW w:w="4252" w:type="dxa"/>
            <w:tcBorders>
              <w:bottom w:val="single" w:color="000000" w:sz="12" w:space="0"/>
            </w:tcBorders>
            <w:vAlign w:val="center"/>
          </w:tcPr>
          <w:p w14:paraId="643CB211">
            <w:pPr>
              <w:spacing w:line="360" w:lineRule="exact"/>
              <w:ind w:firstLine="0"/>
              <w:jc w:val="center"/>
            </w:pPr>
            <w:r>
              <w:rPr>
                <w:sz w:val="20"/>
              </w:rPr>
              <w:t>`/api/metadata/quality`</w:t>
            </w:r>
          </w:p>
        </w:tc>
        <w:tc>
          <w:tcPr>
            <w:tcW w:w="4252" w:type="dxa"/>
            <w:tcBorders>
              <w:bottom w:val="single" w:color="000000" w:sz="12" w:space="0"/>
            </w:tcBorders>
            <w:vAlign w:val="center"/>
          </w:tcPr>
          <w:p w14:paraId="07882752">
            <w:pPr>
              <w:spacing w:line="360" w:lineRule="exact"/>
              <w:ind w:firstLine="0"/>
              <w:jc w:val="center"/>
            </w:pPr>
            <w:r>
              <w:rPr>
                <w:sz w:val="20"/>
              </w:rPr>
              <w:t>返回数据质量报告</w:t>
            </w:r>
          </w:p>
        </w:tc>
      </w:tr>
    </w:tbl>
    <w:p w14:paraId="3202B803">
      <w:r>
        <w:t>页面层则按照使用场景划分为首页、市场总览、合约行情、趋势与波动、相关性与风险、数据来源六类页面。其中首页用于整体展示，市场和趋势页面强调单品种分析，风险页面突出 VaR 与相关性，数据来源页面则专门负责说明数据边界与质量情况。这种页面设计使系统既适合课堂展示，也便于在论文中截取具有代表性的界面。</w:t>
      </w:r>
    </w:p>
    <w:p w14:paraId="2D5A1ABD">
      <w:r>
        <w:br w:type="page"/>
      </w:r>
    </w:p>
    <w:p w14:paraId="74C0A1B8">
      <w:pPr>
        <w:pStyle w:val="2"/>
        <w:spacing w:lineRule="exact" w:line="460" w:before="360" w:after="240"/>
        <w:jc w:val="center"/>
        <w:rPr>
          <w:rFonts w:hint="default"/>
        </w:rPr>
      </w:pPr>
      <w:bookmarkStart w:id="21" w:name="_Toc224859772"/>
      <w:r>
        <w:rPr>
          <w:rFonts w:ascii="Times New Roman" w:hAnsi="Times New Roman" w:eastAsia="黑体"/>
          <w:b/>
          <w:sz w:val="36"/>
        </w:rPr>
        <w:t>5 系统详细实现与关键技术</w:t>
      </w:r>
      <w:bookmarkEnd w:id="21"/>
    </w:p>
    <w:p w14:paraId="1D09009D">
      <w:pPr>
        <w:pStyle w:val="3"/>
        <w:spacing w:lineRule="exact" w:line="460" w:before="240" w:after="240"/>
        <w:jc w:val="left"/>
      </w:pPr>
      <w:bookmarkStart w:id="22" w:name="_Toc224859773"/>
      <w:r>
        <w:rPr>
          <w:rFonts w:ascii="Times New Roman" w:hAnsi="Times New Roman" w:eastAsia="黑体"/>
          <w:b/>
          <w:sz w:val="28"/>
        </w:rPr>
        <w:t>5.1 数据采集实现</w:t>
      </w:r>
      <w:bookmarkEnd w:id="22"/>
    </w:p>
    <w:p w14:paraId="7D6948BE">
      <w:r>
        <w:t>数据采集模块的核心目标是将不同格式的官方公开数据统一转化为结构化记录。以中金所日统计 XML 为例，系统在解析时会读取交易日、合约代码、开高低收、成交量和持仓量等字段，并同时保留来源网址、抓取时间和使用说明，确保数据来源可以回溯。</w:t>
      </w:r>
    </w:p>
    <w:p w14:paraId="4B18ACB0">
      <w:pPr>
        <w:keepLines/>
        <w:ind w:firstLine="0"/>
        <w:jc w:val="center"/>
      </w:pPr>
      <w:r>
        <w:t>代码5-1 CFFEX 日统计 XML 解析核心实现</w:t>
      </w:r>
    </w:p>
    <w:p w14:paraId="0CA5CBF5">
      <w:pPr>
        <w:spacing w:line="280" w:lineRule="exact"/>
        <w:ind w:left="360" w:firstLine="0"/>
        <w:jc w:val="left"/>
      </w:pPr>
      <w:r>
        <w:rPr>
          <w:rFonts w:ascii="Consolas" w:hAnsi="Consolas" w:eastAsia="Consolas"/>
          <w:sz w:val="16"/>
        </w:rPr>
        <w:t xml:space="preserve"> 32:     def fetch_daily_xml(self, trading_day: date) -&gt; tuple[str, bytes]:</w:t>
      </w:r>
    </w:p>
    <w:p w14:paraId="4F8E3EAF">
      <w:pPr>
        <w:spacing w:line="280" w:lineRule="exact"/>
        <w:ind w:left="360" w:firstLine="0"/>
        <w:jc w:val="left"/>
      </w:pPr>
      <w:r>
        <w:rPr>
          <w:rFonts w:ascii="Consolas" w:hAnsi="Consolas" w:eastAsia="Consolas"/>
          <w:sz w:val="16"/>
        </w:rPr>
        <w:t xml:space="preserve"> 33:         relative_path = f"/sj/hqsj/rtj/{trading_day:%Y%m}/{trading_day:%d}/index.xml"</w:t>
      </w:r>
    </w:p>
    <w:p w14:paraId="1F07A0C2">
      <w:pPr>
        <w:spacing w:line="280" w:lineRule="exact"/>
        <w:ind w:left="360" w:firstLine="0"/>
        <w:jc w:val="left"/>
      </w:pPr>
      <w:r>
        <w:rPr>
          <w:rFonts w:ascii="Consolas" w:hAnsi="Consolas" w:eastAsia="Consolas"/>
          <w:sz w:val="16"/>
        </w:rPr>
        <w:t xml:space="preserve"> 34:         url, payload = fetch_from_bases(self.session, relative_path)</w:t>
      </w:r>
    </w:p>
    <w:p w14:paraId="02AEFC83">
      <w:pPr>
        <w:spacing w:line="280" w:lineRule="exact"/>
        <w:ind w:left="360" w:firstLine="0"/>
        <w:jc w:val="left"/>
      </w:pPr>
      <w:r>
        <w:rPr>
          <w:rFonts w:ascii="Consolas" w:hAnsi="Consolas" w:eastAsia="Consolas"/>
          <w:sz w:val="16"/>
        </w:rPr>
        <w:t xml:space="preserve"> 35:         persist_raw_bytes("cffex", f"rtj/{trading_day:%Y%m}/{trading_day:%d}.xml", payload)</w:t>
      </w:r>
    </w:p>
    <w:p w14:paraId="0E19CC64">
      <w:pPr>
        <w:spacing w:line="280" w:lineRule="exact"/>
        <w:ind w:left="360" w:firstLine="0"/>
        <w:jc w:val="left"/>
      </w:pPr>
      <w:r>
        <w:rPr>
          <w:rFonts w:ascii="Consolas" w:hAnsi="Consolas" w:eastAsia="Consolas"/>
          <w:sz w:val="16"/>
        </w:rPr>
        <w:t xml:space="preserve"> 36:         return url, payload</w:t>
      </w:r>
    </w:p>
    <w:p w14:paraId="0EC2BE8C">
      <w:pPr>
        <w:spacing w:line="280" w:lineRule="exact"/>
        <w:ind w:left="360" w:firstLine="0"/>
        <w:jc w:val="left"/>
      </w:pPr>
      <w:r>
        <w:rPr>
          <w:rFonts w:ascii="Consolas" w:hAnsi="Consolas" w:eastAsia="Consolas"/>
          <w:sz w:val="16"/>
        </w:rPr>
        <w:t xml:space="preserve"> 37: </w:t>
      </w:r>
    </w:p>
    <w:p w14:paraId="6014BD66">
      <w:pPr>
        <w:spacing w:line="280" w:lineRule="exact"/>
        <w:ind w:left="360" w:firstLine="0"/>
        <w:jc w:val="left"/>
      </w:pPr>
      <w:r>
        <w:rPr>
          <w:rFonts w:ascii="Consolas" w:hAnsi="Consolas" w:eastAsia="Consolas"/>
          <w:sz w:val="16"/>
        </w:rPr>
        <w:t xml:space="preserve"> 38:     def parse_daily_xml(self, xml_bytes: bytes, source_url: str) -&gt; pd.DataFrame:</w:t>
      </w:r>
    </w:p>
    <w:p w14:paraId="16B2E945">
      <w:pPr>
        <w:spacing w:line="280" w:lineRule="exact"/>
        <w:ind w:left="360" w:firstLine="0"/>
        <w:jc w:val="left"/>
      </w:pPr>
      <w:r>
        <w:rPr>
          <w:rFonts w:ascii="Consolas" w:hAnsi="Consolas" w:eastAsia="Consolas"/>
          <w:sz w:val="16"/>
        </w:rPr>
        <w:t xml:space="preserve"> 39:         root = ET.fromstring(xml_bytes)</w:t>
      </w:r>
    </w:p>
    <w:p w14:paraId="68ABAF2A">
      <w:pPr>
        <w:spacing w:line="280" w:lineRule="exact"/>
        <w:ind w:left="360" w:firstLine="0"/>
        <w:jc w:val="left"/>
      </w:pPr>
      <w:r>
        <w:rPr>
          <w:rFonts w:ascii="Consolas" w:hAnsi="Consolas" w:eastAsia="Consolas"/>
          <w:sz w:val="16"/>
        </w:rPr>
        <w:t xml:space="preserve"> 40:         records: list[dict[str, object]] = []</w:t>
      </w:r>
    </w:p>
    <w:p w14:paraId="1D6BD9D1">
      <w:pPr>
        <w:spacing w:line="280" w:lineRule="exact"/>
        <w:ind w:left="360" w:firstLine="0"/>
        <w:jc w:val="left"/>
      </w:pPr>
      <w:r>
        <w:rPr>
          <w:rFonts w:ascii="Consolas" w:hAnsi="Consolas" w:eastAsia="Consolas"/>
          <w:sz w:val="16"/>
        </w:rPr>
        <w:t xml:space="preserve"> 41:         fetched_at = timestamp_utc()</w:t>
      </w:r>
    </w:p>
    <w:p w14:paraId="4D8FEE8F">
      <w:pPr>
        <w:spacing w:line="280" w:lineRule="exact"/>
        <w:ind w:left="360" w:firstLine="0"/>
        <w:jc w:val="left"/>
      </w:pPr>
      <w:r>
        <w:rPr>
          <w:rFonts w:ascii="Consolas" w:hAnsi="Consolas" w:eastAsia="Consolas"/>
          <w:sz w:val="16"/>
        </w:rPr>
        <w:t xml:space="preserve"> 42: </w:t>
      </w:r>
    </w:p>
    <w:p w14:paraId="25BFB04E">
      <w:pPr>
        <w:spacing w:line="280" w:lineRule="exact"/>
        <w:ind w:left="360" w:firstLine="0"/>
        <w:jc w:val="left"/>
      </w:pPr>
      <w:r>
        <w:rPr>
          <w:rFonts w:ascii="Consolas" w:hAnsi="Consolas" w:eastAsia="Consolas"/>
          <w:sz w:val="16"/>
        </w:rPr>
        <w:t xml:space="preserve"> 43:         for node in root.findall(".//dailydata"):</w:t>
      </w:r>
    </w:p>
    <w:p w14:paraId="45DB5755">
      <w:pPr>
        <w:spacing w:line="280" w:lineRule="exact"/>
        <w:ind w:left="360" w:firstLine="0"/>
        <w:jc w:val="left"/>
      </w:pPr>
      <w:r>
        <w:rPr>
          <w:rFonts w:ascii="Consolas" w:hAnsi="Consolas" w:eastAsia="Consolas"/>
          <w:sz w:val="16"/>
        </w:rPr>
        <w:t xml:space="preserve"> 44:             record = {child.tag: (child.text or "").strip() for child in node}</w:t>
      </w:r>
    </w:p>
    <w:p w14:paraId="0AB23E29">
      <w:pPr>
        <w:spacing w:line="280" w:lineRule="exact"/>
        <w:ind w:left="360" w:firstLine="0"/>
        <w:jc w:val="left"/>
      </w:pPr>
      <w:r>
        <w:rPr>
          <w:rFonts w:ascii="Consolas" w:hAnsi="Consolas" w:eastAsia="Consolas"/>
          <w:sz w:val="16"/>
        </w:rPr>
        <w:t xml:space="preserve"> 45:             product_id = record.get("productid", "")</w:t>
      </w:r>
    </w:p>
    <w:p w14:paraId="73075C0B">
      <w:pPr>
        <w:spacing w:line="280" w:lineRule="exact"/>
        <w:ind w:left="360" w:firstLine="0"/>
        <w:jc w:val="left"/>
      </w:pPr>
      <w:r>
        <w:rPr>
          <w:rFonts w:ascii="Consolas" w:hAnsi="Consolas" w:eastAsia="Consolas"/>
          <w:sz w:val="16"/>
        </w:rPr>
        <w:t xml:space="preserve"> 46:             instrument_id = record.get("instrumentid", "")</w:t>
      </w:r>
    </w:p>
    <w:p w14:paraId="7C631830">
      <w:pPr>
        <w:spacing w:line="280" w:lineRule="exact"/>
        <w:ind w:left="360" w:firstLine="0"/>
        <w:jc w:val="left"/>
      </w:pPr>
      <w:r>
        <w:rPr>
          <w:rFonts w:ascii="Consolas" w:hAnsi="Consolas" w:eastAsia="Consolas"/>
          <w:sz w:val="16"/>
        </w:rPr>
        <w:t xml:space="preserve"> 47:             if product_id not in SUPPORTED_PRODUCTS:</w:t>
      </w:r>
    </w:p>
    <w:p w14:paraId="00A3F5EF">
      <w:pPr>
        <w:spacing w:line="280" w:lineRule="exact"/>
        <w:ind w:left="360" w:firstLine="0"/>
        <w:jc w:val="left"/>
      </w:pPr>
      <w:r>
        <w:rPr>
          <w:rFonts w:ascii="Consolas" w:hAnsi="Consolas" w:eastAsia="Consolas"/>
          <w:sz w:val="16"/>
        </w:rPr>
        <w:t xml:space="preserve"> 48:                 continue</w:t>
      </w:r>
    </w:p>
    <w:p w14:paraId="2D1E751E">
      <w:pPr>
        <w:spacing w:line="280" w:lineRule="exact"/>
        <w:ind w:left="360" w:firstLine="0"/>
        <w:jc w:val="left"/>
      </w:pPr>
      <w:r>
        <w:rPr>
          <w:rFonts w:ascii="Consolas" w:hAnsi="Consolas" w:eastAsia="Consolas"/>
          <w:sz w:val="16"/>
        </w:rPr>
        <w:t xml:space="preserve"> 49:             match = CONTRACT_PATTERN.match(instrument_id)</w:t>
      </w:r>
    </w:p>
    <w:p w14:paraId="047FC896">
      <w:pPr>
        <w:spacing w:line="280" w:lineRule="exact"/>
        <w:ind w:left="360" w:firstLine="0"/>
        <w:jc w:val="left"/>
      </w:pPr>
      <w:r>
        <w:rPr>
          <w:rFonts w:ascii="Consolas" w:hAnsi="Consolas" w:eastAsia="Consolas"/>
          <w:sz w:val="16"/>
        </w:rPr>
        <w:t xml:space="preserve"> 50:             if not match:</w:t>
      </w:r>
    </w:p>
    <w:p w14:paraId="353EC273">
      <w:pPr>
        <w:spacing w:line="280" w:lineRule="exact"/>
        <w:ind w:left="360" w:firstLine="0"/>
        <w:jc w:val="left"/>
      </w:pPr>
      <w:r>
        <w:rPr>
          <w:rFonts w:ascii="Consolas" w:hAnsi="Consolas" w:eastAsia="Consolas"/>
          <w:sz w:val="16"/>
        </w:rPr>
        <w:t xml:space="preserve"> 51:                 continue</w:t>
      </w:r>
    </w:p>
    <w:p w14:paraId="43B68E74">
      <w:pPr>
        <w:spacing w:line="280" w:lineRule="exact"/>
        <w:ind w:left="360" w:firstLine="0"/>
        <w:jc w:val="left"/>
      </w:pPr>
      <w:r>
        <w:rPr>
          <w:rFonts w:ascii="Consolas" w:hAnsi="Consolas" w:eastAsia="Consolas"/>
          <w:sz w:val="16"/>
        </w:rPr>
        <w:t xml:space="preserve"> 52: </w:t>
      </w:r>
    </w:p>
    <w:p w14:paraId="4D83E413">
      <w:pPr>
        <w:spacing w:line="280" w:lineRule="exact"/>
        <w:ind w:left="360" w:firstLine="0"/>
        <w:jc w:val="left"/>
      </w:pPr>
      <w:r>
        <w:rPr>
          <w:rFonts w:ascii="Consolas" w:hAnsi="Consolas" w:eastAsia="Consolas"/>
          <w:sz w:val="16"/>
        </w:rPr>
        <w:t xml:space="preserve"> 53:             contract_month = match.group(2)</w:t>
      </w:r>
    </w:p>
    <w:p w14:paraId="57D18CA9">
      <w:pPr>
        <w:spacing w:line="280" w:lineRule="exact"/>
        <w:ind w:left="360" w:firstLine="0"/>
        <w:jc w:val="left"/>
      </w:pPr>
      <w:r>
        <w:rPr>
          <w:rFonts w:ascii="Consolas" w:hAnsi="Consolas" w:eastAsia="Consolas"/>
          <w:sz w:val="16"/>
        </w:rPr>
        <w:t xml:space="preserve"> 54:             open_interest = _to_float(record.get("openinterest"))</w:t>
      </w:r>
    </w:p>
    <w:p w14:paraId="1D0E0E7B">
      <w:pPr>
        <w:spacing w:line="280" w:lineRule="exact"/>
        <w:ind w:left="360" w:firstLine="0"/>
        <w:jc w:val="left"/>
      </w:pPr>
      <w:r>
        <w:rPr>
          <w:rFonts w:ascii="Consolas" w:hAnsi="Consolas" w:eastAsia="Consolas"/>
          <w:sz w:val="16"/>
        </w:rPr>
        <w:t xml:space="preserve"> 55:             pre_open_interest = _to_float(record.get("preopeninterest"))</w:t>
      </w:r>
    </w:p>
    <w:p w14:paraId="3F4E4B6B">
      <w:pPr>
        <w:spacing w:line="280" w:lineRule="exact"/>
        <w:ind w:left="360" w:firstLine="0"/>
        <w:jc w:val="left"/>
      </w:pPr>
      <w:r>
        <w:rPr>
          <w:rFonts w:ascii="Consolas" w:hAnsi="Consolas" w:eastAsia="Consolas"/>
          <w:sz w:val="16"/>
        </w:rPr>
        <w:t xml:space="preserve"> 56:             records.append(</w:t>
      </w:r>
    </w:p>
    <w:p w14:paraId="39B00D55">
      <w:pPr>
        <w:spacing w:line="280" w:lineRule="exact"/>
        <w:ind w:left="360" w:firstLine="0"/>
        <w:jc w:val="left"/>
      </w:pPr>
      <w:r>
        <w:rPr>
          <w:rFonts w:ascii="Consolas" w:hAnsi="Consolas" w:eastAsia="Consolas"/>
          <w:sz w:val="16"/>
        </w:rPr>
        <w:t xml:space="preserve"> 57:                 {</w:t>
      </w:r>
    </w:p>
    <w:p w14:paraId="31FC37F8">
      <w:pPr>
        <w:spacing w:line="280" w:lineRule="exact"/>
        <w:ind w:left="360" w:firstLine="0"/>
        <w:jc w:val="left"/>
      </w:pPr>
      <w:r>
        <w:rPr>
          <w:rFonts w:ascii="Consolas" w:hAnsi="Consolas" w:eastAsia="Consolas"/>
          <w:sz w:val="16"/>
        </w:rPr>
        <w:t xml:space="preserve"> 58:                     "trading_date": pd.to_datetime(record.get("tradingday"), format="%Y%m%d"),</w:t>
      </w:r>
    </w:p>
    <w:p w14:paraId="33FBE083">
      <w:pPr>
        <w:spacing w:line="280" w:lineRule="exact"/>
        <w:ind w:left="360" w:firstLine="0"/>
        <w:jc w:val="left"/>
      </w:pPr>
      <w:r>
        <w:rPr>
          <w:rFonts w:ascii="Consolas" w:hAnsi="Consolas" w:eastAsia="Consolas"/>
          <w:sz w:val="16"/>
        </w:rPr>
        <w:t xml:space="preserve"> 59:                     "product_id": product_id,</w:t>
      </w:r>
    </w:p>
    <w:p w14:paraId="60E0DD00">
      <w:pPr>
        <w:spacing w:line="280" w:lineRule="exact"/>
        <w:ind w:left="360" w:firstLine="0"/>
        <w:jc w:val="left"/>
      </w:pPr>
      <w:r>
        <w:rPr>
          <w:rFonts w:ascii="Consolas" w:hAnsi="Consolas" w:eastAsia="Consolas"/>
          <w:sz w:val="16"/>
        </w:rPr>
        <w:t xml:space="preserve"> 60:                     "product_name": PRODUCT_NAMES[product_id],</w:t>
      </w:r>
    </w:p>
    <w:p w14:paraId="2D8B39EB">
      <w:pPr>
        <w:spacing w:line="280" w:lineRule="exact"/>
        <w:ind w:left="360" w:firstLine="0"/>
        <w:jc w:val="left"/>
      </w:pPr>
      <w:r>
        <w:rPr>
          <w:rFonts w:ascii="Consolas" w:hAnsi="Consolas" w:eastAsia="Consolas"/>
          <w:sz w:val="16"/>
        </w:rPr>
        <w:t xml:space="preserve"> 61:                     "instrument_id": instrument_id,</w:t>
      </w:r>
    </w:p>
    <w:p w14:paraId="5139BBF2">
      <w:pPr>
        <w:spacing w:line="280" w:lineRule="exact"/>
        <w:ind w:left="360" w:firstLine="0"/>
        <w:jc w:val="left"/>
      </w:pPr>
      <w:r>
        <w:rPr>
          <w:rFonts w:ascii="Consolas" w:hAnsi="Consolas" w:eastAsia="Consolas"/>
          <w:sz w:val="16"/>
        </w:rPr>
        <w:t xml:space="preserve"> 62:                     "contract_month": contract_month,</w:t>
      </w:r>
    </w:p>
    <w:p w14:paraId="2EEC0902">
      <w:pPr>
        <w:spacing w:line="280" w:lineRule="exact"/>
        <w:ind w:left="360" w:firstLine="0"/>
        <w:jc w:val="left"/>
      </w:pPr>
      <w:r>
        <w:rPr>
          <w:rFonts w:ascii="Consolas" w:hAnsi="Consolas" w:eastAsia="Consolas"/>
          <w:sz w:val="16"/>
        </w:rPr>
        <w:t xml:space="preserve"> 63:                     "open_price": _to_float(record.get("openprice")),</w:t>
      </w:r>
    </w:p>
    <w:p w14:paraId="30226041">
      <w:pPr>
        <w:spacing w:line="280" w:lineRule="exact"/>
        <w:ind w:left="360" w:firstLine="0"/>
        <w:jc w:val="left"/>
      </w:pPr>
      <w:r>
        <w:rPr>
          <w:rFonts w:ascii="Consolas" w:hAnsi="Consolas" w:eastAsia="Consolas"/>
          <w:sz w:val="16"/>
        </w:rPr>
        <w:t xml:space="preserve"> 64:                     "high_price": _to_float(record.get("highestprice")),</w:t>
      </w:r>
    </w:p>
    <w:p w14:paraId="31D35EE1">
      <w:pPr>
        <w:spacing w:line="280" w:lineRule="exact"/>
        <w:ind w:left="360" w:firstLine="0"/>
        <w:jc w:val="left"/>
      </w:pPr>
      <w:r>
        <w:rPr>
          <w:rFonts w:ascii="Consolas" w:hAnsi="Consolas" w:eastAsia="Consolas"/>
          <w:sz w:val="16"/>
        </w:rPr>
        <w:t xml:space="preserve"> 65:                     "low_price": _to_float(record.get("lowestprice")),</w:t>
      </w:r>
    </w:p>
    <w:p w14:paraId="14EB993C">
      <w:pPr>
        <w:spacing w:line="280" w:lineRule="exact"/>
        <w:ind w:left="360" w:firstLine="0"/>
        <w:jc w:val="left"/>
      </w:pPr>
      <w:r>
        <w:rPr>
          <w:rFonts w:ascii="Consolas" w:hAnsi="Consolas" w:eastAsia="Consolas"/>
          <w:sz w:val="16"/>
        </w:rPr>
        <w:t xml:space="preserve"> 66:                     "close_price": _to_float(record.get("closeprice")),</w:t>
      </w:r>
    </w:p>
    <w:p w14:paraId="2D624ED1">
      <w:pPr>
        <w:spacing w:line="280" w:lineRule="exact"/>
        <w:ind w:left="360" w:firstLine="0"/>
        <w:jc w:val="left"/>
      </w:pPr>
      <w:r>
        <w:rPr>
          <w:rFonts w:ascii="Consolas" w:hAnsi="Consolas" w:eastAsia="Consolas"/>
          <w:sz w:val="16"/>
        </w:rPr>
        <w:t xml:space="preserve"> 67:                     "settlement_price": _to_float(record.get("settlementprice")),</w:t>
      </w:r>
    </w:p>
    <w:p w14:paraId="2F766E5C">
      <w:pPr>
        <w:spacing w:line="280" w:lineRule="exact"/>
        <w:ind w:left="360" w:firstLine="0"/>
        <w:jc w:val="left"/>
      </w:pPr>
      <w:r>
        <w:rPr>
          <w:rFonts w:ascii="Consolas" w:hAnsi="Consolas" w:eastAsia="Consolas"/>
          <w:sz w:val="16"/>
        </w:rPr>
        <w:t xml:space="preserve"> 68:                     "pre_settlement_price": _to_float(record.get("presettlementprice")),</w:t>
      </w:r>
    </w:p>
    <w:p w14:paraId="6D748F5E">
      <w:pPr>
        <w:spacing w:line="280" w:lineRule="exact"/>
        <w:ind w:left="360" w:firstLine="0"/>
        <w:jc w:val="left"/>
      </w:pPr>
      <w:r>
        <w:rPr>
          <w:rFonts w:ascii="Consolas" w:hAnsi="Consolas" w:eastAsia="Consolas"/>
          <w:sz w:val="16"/>
        </w:rPr>
        <w:t xml:space="preserve"> 69:                     "volume": _to_float(record.get("volume")),</w:t>
      </w:r>
    </w:p>
    <w:p w14:paraId="2BAD0216">
      <w:pPr>
        <w:spacing w:line="280" w:lineRule="exact"/>
        <w:ind w:left="360" w:firstLine="0"/>
        <w:jc w:val="left"/>
      </w:pPr>
      <w:r>
        <w:rPr>
          <w:rFonts w:ascii="Consolas" w:hAnsi="Consolas" w:eastAsia="Consolas"/>
          <w:sz w:val="16"/>
        </w:rPr>
        <w:t xml:space="preserve"> 70:                     "turnover": _to_float(record.get("turnover")),</w:t>
      </w:r>
    </w:p>
    <w:p w14:paraId="2735C010">
      <w:pPr>
        <w:spacing w:line="280" w:lineRule="exact"/>
        <w:ind w:left="360" w:firstLine="0"/>
        <w:jc w:val="left"/>
      </w:pPr>
      <w:r>
        <w:rPr>
          <w:rFonts w:ascii="Consolas" w:hAnsi="Consolas" w:eastAsia="Consolas"/>
          <w:sz w:val="16"/>
        </w:rPr>
        <w:t xml:space="preserve"> 71:                     "open_interest": open_interest,</w:t>
      </w:r>
    </w:p>
    <w:p w14:paraId="5415F6E2">
      <w:pPr>
        <w:spacing w:line="280" w:lineRule="exact"/>
        <w:ind w:left="360" w:firstLine="0"/>
        <w:jc w:val="left"/>
      </w:pPr>
      <w:r>
        <w:rPr>
          <w:rFonts w:ascii="Consolas" w:hAnsi="Consolas" w:eastAsia="Consolas"/>
          <w:sz w:val="16"/>
        </w:rPr>
        <w:t xml:space="preserve"> 72:                     "open_interest_change": open_interest - pre_open_interest,</w:t>
      </w:r>
    </w:p>
    <w:p w14:paraId="69AD2A78">
      <w:pPr>
        <w:spacing w:line="280" w:lineRule="exact"/>
        <w:ind w:left="360" w:firstLine="0"/>
        <w:jc w:val="left"/>
      </w:pPr>
      <w:r>
        <w:rPr>
          <w:rFonts w:ascii="Consolas" w:hAnsi="Consolas" w:eastAsia="Consolas"/>
          <w:sz w:val="16"/>
        </w:rPr>
        <w:t xml:space="preserve"> 73:                     "source": "CFFEX",</w:t>
      </w:r>
    </w:p>
    <w:p w14:paraId="33432CCA">
      <w:pPr>
        <w:spacing w:line="280" w:lineRule="exact"/>
        <w:ind w:left="360" w:firstLine="0"/>
        <w:jc w:val="left"/>
      </w:pPr>
      <w:r>
        <w:rPr>
          <w:rFonts w:ascii="Consolas" w:hAnsi="Consolas" w:eastAsia="Consolas"/>
          <w:sz w:val="16"/>
        </w:rPr>
        <w:t xml:space="preserve"> 74:                     "source_url": source_url,</w:t>
      </w:r>
    </w:p>
    <w:p w14:paraId="331A0A24">
      <w:pPr>
        <w:spacing w:line="280" w:lineRule="exact"/>
        <w:ind w:left="360" w:firstLine="0"/>
        <w:jc w:val="left"/>
      </w:pPr>
      <w:r>
        <w:rPr>
          <w:rFonts w:ascii="Consolas" w:hAnsi="Consolas" w:eastAsia="Consolas"/>
          <w:sz w:val="16"/>
        </w:rPr>
        <w:t xml:space="preserve"> 75:                     "fetch_time": fetched_at,</w:t>
      </w:r>
    </w:p>
    <w:p w14:paraId="0903C8DE">
      <w:pPr>
        <w:spacing w:line="280" w:lineRule="exact"/>
        <w:ind w:left="360" w:firstLine="0"/>
        <w:jc w:val="left"/>
      </w:pPr>
      <w:r>
        <w:rPr>
          <w:rFonts w:ascii="Consolas" w:hAnsi="Consolas" w:eastAsia="Consolas"/>
          <w:sz w:val="16"/>
        </w:rPr>
        <w:t xml:space="preserve"> 76:                     "license_note": LICENSE_NOTE,</w:t>
      </w:r>
    </w:p>
    <w:p w14:paraId="713DB28E">
      <w:r>
        <w:t>上述实现说明系统不是简单下载页面，而是围绕期货业务字段进行结构化建模。对 instrument_id 的正则校验、对 product_id 的过滤以及对 open_interest_change 的计算，都直接服务于后续主力合约筛选和风险分析。</w:t>
      </w:r>
    </w:p>
    <w:p w14:paraId="66F7DD7B">
      <w:r>
        <w:t>对于 PBC 和 NBS 两类宏观数据，系统采取“列表页提取链接 + 文章页正文规则解析”的方式提取核心指标。虽然这类数据量远小于期货日频数据，但其在相关性分析中具有重要辅助价值。通过统一字段 series_name、observation_date 和 value，系统把原本分散的文本公告转化为可计算的时间序列。</w:t>
      </w:r>
    </w:p>
    <w:p w14:paraId="4DF8A71A">
      <w:pPr>
        <w:pStyle w:val="3"/>
        <w:spacing w:lineRule="exact" w:line="460" w:before="240" w:after="240"/>
        <w:jc w:val="left"/>
      </w:pPr>
      <w:bookmarkStart w:id="23" w:name="_Toc224859774"/>
      <w:r>
        <w:rPr>
          <w:rFonts w:ascii="Times New Roman" w:hAnsi="Times New Roman" w:eastAsia="黑体"/>
          <w:b/>
          <w:sz w:val="28"/>
        </w:rPr>
        <w:t>5.2 主力连续序列构建</w:t>
      </w:r>
      <w:bookmarkEnd w:id="23"/>
    </w:p>
    <w:p w14:paraId="572F6E1B">
      <w:r>
        <w:t>由于同一品种在任一交易日往往对应多个月份合约，系统需要先确定每个交易日的主力合约，再开展趋势和风险分析。本文采用“持仓量优先、成交量次之、合约月份再次之”的排序规则选择主力合约。这一策略既符合期货市场实际交易重心，也便于在工程上稳定实现。</w:t>
      </w:r>
    </w:p>
    <w:p w14:paraId="519FDD98">
      <w:r>
        <w:t>在主力连续序列构建完成后，系统进一步计算日收益率、5 日与 20 日均线、累计收益率、回撤、20 日年化滚动波动率和成交量 Z-Score 等指标，为趋势研判和异常波动识别提供基础。该模块在 analysis/metrics.py 中以按品种分组的方式实现，保证四类股指期货可以在统一逻辑下并行处理。</w:t>
      </w:r>
    </w:p>
    <w:p w14:paraId="7D04FD9C">
      <w:pPr>
        <w:pStyle w:val="3"/>
        <w:spacing w:lineRule="exact" w:line="460" w:before="240" w:after="240"/>
        <w:jc w:val="left"/>
      </w:pPr>
      <w:bookmarkStart w:id="24" w:name="_Toc224859775"/>
      <w:r>
        <w:rPr>
          <w:rFonts w:ascii="Times New Roman" w:hAnsi="Times New Roman" w:eastAsia="黑体"/>
          <w:b/>
          <w:sz w:val="28"/>
        </w:rPr>
        <w:t>5.3 波动率预测与风险评估实现</w:t>
      </w:r>
      <w:bookmarkEnd w:id="24"/>
    </w:p>
    <w:p w14:paraId="4382515E">
      <w:r>
        <w:t>系统的波动率预测部分并未直接使用复杂黑箱模型，而是采用近端窗口波动率、20 日波动率和 EWMA 波动率的加权方式，对未来五日波动率进行预测。该方案具有实现简单、可解释性强、与毕业设计周期匹配度高的优势。</w:t>
      </w:r>
    </w:p>
    <w:p w14:paraId="79785B30">
      <w:pPr>
        <w:keepLines/>
        <w:ind w:firstLine="0"/>
        <w:jc w:val="center"/>
      </w:pPr>
      <w:r>
        <w:t>代码5-2 波动率预测与风险等级生成实现</w:t>
      </w:r>
    </w:p>
    <w:p w14:paraId="194F2AB0">
      <w:pPr>
        <w:spacing w:line="280" w:lineRule="exact"/>
        <w:ind w:left="360" w:firstLine="0"/>
        <w:jc w:val="left"/>
      </w:pPr>
      <w:r>
        <w:rPr>
          <w:rFonts w:ascii="Consolas" w:hAnsi="Consolas" w:eastAsia="Consolas"/>
          <w:sz w:val="16"/>
        </w:rPr>
        <w:t xml:space="preserve"> 41:     df = _prepare_main_contract(main_contract_daily)[</w:t>
      </w:r>
    </w:p>
    <w:p w14:paraId="0D256B4C">
      <w:pPr>
        <w:spacing w:line="280" w:lineRule="exact"/>
        <w:ind w:left="360" w:firstLine="0"/>
        <w:jc w:val="left"/>
      </w:pPr>
      <w:r>
        <w:rPr>
          <w:rFonts w:ascii="Consolas" w:hAnsi="Consolas" w:eastAsia="Consolas"/>
          <w:sz w:val="16"/>
        </w:rPr>
        <w:t xml:space="preserve"> 42:         [</w:t>
      </w:r>
    </w:p>
    <w:p w14:paraId="6F91EF6A">
      <w:pPr>
        <w:spacing w:line="280" w:lineRule="exact"/>
        <w:ind w:left="360" w:firstLine="0"/>
        <w:jc w:val="left"/>
      </w:pPr>
      <w:r>
        <w:rPr>
          <w:rFonts w:ascii="Consolas" w:hAnsi="Consolas" w:eastAsia="Consolas"/>
          <w:sz w:val="16"/>
        </w:rPr>
        <w:t xml:space="preserve"> 43:             "trading_date",</w:t>
      </w:r>
    </w:p>
    <w:p w14:paraId="4C9AA72C">
      <w:pPr>
        <w:spacing w:line="280" w:lineRule="exact"/>
        <w:ind w:left="360" w:firstLine="0"/>
        <w:jc w:val="left"/>
      </w:pPr>
      <w:r>
        <w:rPr>
          <w:rFonts w:ascii="Consolas" w:hAnsi="Consolas" w:eastAsia="Consolas"/>
          <w:sz w:val="16"/>
        </w:rPr>
        <w:t xml:space="preserve"> 44:             "product_id",</w:t>
      </w:r>
    </w:p>
    <w:p w14:paraId="640C31F4">
      <w:pPr>
        <w:spacing w:line="280" w:lineRule="exact"/>
        <w:ind w:left="360" w:firstLine="0"/>
        <w:jc w:val="left"/>
      </w:pPr>
      <w:r>
        <w:rPr>
          <w:rFonts w:ascii="Consolas" w:hAnsi="Consolas" w:eastAsia="Consolas"/>
          <w:sz w:val="16"/>
        </w:rPr>
        <w:t xml:space="preserve"> 45:             "instrument_id",</w:t>
      </w:r>
    </w:p>
    <w:p w14:paraId="42E537DB">
      <w:pPr>
        <w:spacing w:line="280" w:lineRule="exact"/>
        <w:ind w:left="360" w:firstLine="0"/>
        <w:jc w:val="left"/>
      </w:pPr>
      <w:r>
        <w:rPr>
          <w:rFonts w:ascii="Consolas" w:hAnsi="Consolas" w:eastAsia="Consolas"/>
          <w:sz w:val="16"/>
        </w:rPr>
        <w:t xml:space="preserve"> 46:             "daily_return",</w:t>
      </w:r>
    </w:p>
    <w:p w14:paraId="6E9C9AB5">
      <w:pPr>
        <w:spacing w:line="280" w:lineRule="exact"/>
        <w:ind w:left="360" w:firstLine="0"/>
        <w:jc w:val="left"/>
      </w:pPr>
      <w:r>
        <w:rPr>
          <w:rFonts w:ascii="Consolas" w:hAnsi="Consolas" w:eastAsia="Consolas"/>
          <w:sz w:val="16"/>
        </w:rPr>
        <w:t xml:space="preserve"> 47:             "rolling_vol_5",</w:t>
      </w:r>
    </w:p>
    <w:p w14:paraId="08E7FCE8">
      <w:pPr>
        <w:spacing w:line="280" w:lineRule="exact"/>
        <w:ind w:left="360" w:firstLine="0"/>
        <w:jc w:val="left"/>
      </w:pPr>
      <w:r>
        <w:rPr>
          <w:rFonts w:ascii="Consolas" w:hAnsi="Consolas" w:eastAsia="Consolas"/>
          <w:sz w:val="16"/>
        </w:rPr>
        <w:t xml:space="preserve"> 48:             "rolling_vol_20",</w:t>
      </w:r>
    </w:p>
    <w:p w14:paraId="46DDFA2B">
      <w:pPr>
        <w:spacing w:line="280" w:lineRule="exact"/>
        <w:ind w:left="360" w:firstLine="0"/>
        <w:jc w:val="left"/>
      </w:pPr>
      <w:r>
        <w:rPr>
          <w:rFonts w:ascii="Consolas" w:hAnsi="Consolas" w:eastAsia="Consolas"/>
          <w:sz w:val="16"/>
        </w:rPr>
        <w:t xml:space="preserve"> 49:             "rolling_vol_60",</w:t>
      </w:r>
    </w:p>
    <w:p w14:paraId="4CD30BB4">
      <w:pPr>
        <w:spacing w:line="280" w:lineRule="exact"/>
        <w:ind w:left="360" w:firstLine="0"/>
        <w:jc w:val="left"/>
      </w:pPr>
      <w:r>
        <w:rPr>
          <w:rFonts w:ascii="Consolas" w:hAnsi="Consolas" w:eastAsia="Consolas"/>
          <w:sz w:val="16"/>
        </w:rPr>
        <w:t xml:space="preserve"> 50:             "ewma_vol_20",</w:t>
      </w:r>
    </w:p>
    <w:p w14:paraId="5774C830">
      <w:pPr>
        <w:spacing w:line="280" w:lineRule="exact"/>
        <w:ind w:left="360" w:firstLine="0"/>
        <w:jc w:val="left"/>
      </w:pPr>
      <w:r>
        <w:rPr>
          <w:rFonts w:ascii="Consolas" w:hAnsi="Consolas" w:eastAsia="Consolas"/>
          <w:sz w:val="16"/>
        </w:rPr>
        <w:t xml:space="preserve"> 51:         ]</w:t>
      </w:r>
    </w:p>
    <w:p w14:paraId="3630C470">
      <w:pPr>
        <w:spacing w:line="280" w:lineRule="exact"/>
        <w:ind w:left="360" w:firstLine="0"/>
        <w:jc w:val="left"/>
      </w:pPr>
      <w:r>
        <w:rPr>
          <w:rFonts w:ascii="Consolas" w:hAnsi="Consolas" w:eastAsia="Consolas"/>
          <w:sz w:val="16"/>
        </w:rPr>
        <w:t xml:space="preserve"> 52:     ].copy()</w:t>
      </w:r>
    </w:p>
    <w:p w14:paraId="07ECBEDA">
      <w:pPr>
        <w:spacing w:line="280" w:lineRule="exact"/>
        <w:ind w:left="360" w:firstLine="0"/>
        <w:jc w:val="left"/>
      </w:pPr>
      <w:r>
        <w:rPr>
          <w:rFonts w:ascii="Consolas" w:hAnsi="Consolas" w:eastAsia="Consolas"/>
          <w:sz w:val="16"/>
        </w:rPr>
        <w:t xml:space="preserve"> 53: </w:t>
      </w:r>
    </w:p>
    <w:p w14:paraId="20627396">
      <w:pPr>
        <w:spacing w:line="280" w:lineRule="exact"/>
        <w:ind w:left="360" w:firstLine="0"/>
        <w:jc w:val="left"/>
      </w:pPr>
      <w:r>
        <w:rPr>
          <w:rFonts w:ascii="Consolas" w:hAnsi="Consolas" w:eastAsia="Consolas"/>
          <w:sz w:val="16"/>
        </w:rPr>
        <w:t xml:space="preserve"> 54:     df["forecast_vol_5d"] = (</w:t>
      </w:r>
    </w:p>
    <w:p w14:paraId="7BF8F26B">
      <w:pPr>
        <w:spacing w:line="280" w:lineRule="exact"/>
        <w:ind w:left="360" w:firstLine="0"/>
        <w:jc w:val="left"/>
      </w:pPr>
      <w:r>
        <w:rPr>
          <w:rFonts w:ascii="Consolas" w:hAnsi="Consolas" w:eastAsia="Consolas"/>
          <w:sz w:val="16"/>
        </w:rPr>
        <w:t xml:space="preserve"> 55:         0.45 * df["ewma_vol_20"].fillna(df["rolling_vol_20"])</w:t>
      </w:r>
    </w:p>
    <w:p w14:paraId="1878E42A">
      <w:pPr>
        <w:spacing w:line="280" w:lineRule="exact"/>
        <w:ind w:left="360" w:firstLine="0"/>
        <w:jc w:val="left"/>
      </w:pPr>
      <w:r>
        <w:rPr>
          <w:rFonts w:ascii="Consolas" w:hAnsi="Consolas" w:eastAsia="Consolas"/>
          <w:sz w:val="16"/>
        </w:rPr>
        <w:t xml:space="preserve"> 56:         + 0.35 * df["rolling_vol_5"].fillna(df["rolling_vol_20"])</w:t>
      </w:r>
    </w:p>
    <w:p w14:paraId="70D5EB4F">
      <w:pPr>
        <w:spacing w:line="280" w:lineRule="exact"/>
        <w:ind w:left="360" w:firstLine="0"/>
        <w:jc w:val="left"/>
      </w:pPr>
      <w:r>
        <w:rPr>
          <w:rFonts w:ascii="Consolas" w:hAnsi="Consolas" w:eastAsia="Consolas"/>
          <w:sz w:val="16"/>
        </w:rPr>
        <w:t xml:space="preserve"> 57:         + 0.20 * df["rolling_vol_20"].fillna(df["rolling_vol_60"])</w:t>
      </w:r>
    </w:p>
    <w:p w14:paraId="59B11D8C">
      <w:pPr>
        <w:spacing w:line="280" w:lineRule="exact"/>
        <w:ind w:left="360" w:firstLine="0"/>
        <w:jc w:val="left"/>
      </w:pPr>
      <w:r>
        <w:rPr>
          <w:rFonts w:ascii="Consolas" w:hAnsi="Consolas" w:eastAsia="Consolas"/>
          <w:sz w:val="16"/>
        </w:rPr>
        <w:t xml:space="preserve"> 58:     )</w:t>
      </w:r>
    </w:p>
    <w:p w14:paraId="7AC77AC4">
      <w:pPr>
        <w:spacing w:line="280" w:lineRule="exact"/>
        <w:ind w:left="360" w:firstLine="0"/>
        <w:jc w:val="left"/>
      </w:pPr>
      <w:r>
        <w:rPr>
          <w:rFonts w:ascii="Consolas" w:hAnsi="Consolas" w:eastAsia="Consolas"/>
          <w:sz w:val="16"/>
        </w:rPr>
        <w:t xml:space="preserve"> 59:     df["future_realized_vol_5d"] = df.groupby("product_id")["daily_return"].transform(</w:t>
      </w:r>
    </w:p>
    <w:p w14:paraId="51BDBB85">
      <w:pPr>
        <w:spacing w:line="280" w:lineRule="exact"/>
        <w:ind w:left="360" w:firstLine="0"/>
        <w:jc w:val="left"/>
      </w:pPr>
      <w:r>
        <w:rPr>
          <w:rFonts w:ascii="Consolas" w:hAnsi="Consolas" w:eastAsia="Consolas"/>
          <w:sz w:val="16"/>
        </w:rPr>
        <w:t xml:space="preserve"> 60:         lambda series: _forward_realized_vol(series, horizon=horizon)</w:t>
      </w:r>
    </w:p>
    <w:p w14:paraId="76CFC324">
      <w:pPr>
        <w:spacing w:line="280" w:lineRule="exact"/>
        <w:ind w:left="360" w:firstLine="0"/>
        <w:jc w:val="left"/>
      </w:pPr>
      <w:r>
        <w:rPr>
          <w:rFonts w:ascii="Consolas" w:hAnsi="Consolas" w:eastAsia="Consolas"/>
          <w:sz w:val="16"/>
        </w:rPr>
        <w:t xml:space="preserve"> 61:     )</w:t>
      </w:r>
    </w:p>
    <w:p w14:paraId="1B7E3683">
      <w:pPr>
        <w:spacing w:line="280" w:lineRule="exact"/>
        <w:ind w:left="360" w:firstLine="0"/>
        <w:jc w:val="left"/>
      </w:pPr>
      <w:r>
        <w:rPr>
          <w:rFonts w:ascii="Consolas" w:hAnsi="Consolas" w:eastAsia="Consolas"/>
          <w:sz w:val="16"/>
        </w:rPr>
        <w:t xml:space="preserve"> 62:     df["forecast_error"] = df["forecast_vol_5d"] - df["future_realized_vol_5d"]</w:t>
      </w:r>
    </w:p>
    <w:p w14:paraId="53FE11EF">
      <w:pPr>
        <w:spacing w:line="280" w:lineRule="exact"/>
        <w:ind w:left="360" w:firstLine="0"/>
        <w:jc w:val="left"/>
      </w:pPr>
      <w:r>
        <w:rPr>
          <w:rFonts w:ascii="Consolas" w:hAnsi="Consolas" w:eastAsia="Consolas"/>
          <w:sz w:val="16"/>
        </w:rPr>
        <w:t xml:space="preserve"> 63:     df["abs_error"] = df["forecast_error"].abs()</w:t>
      </w:r>
    </w:p>
    <w:p w14:paraId="5502EF90">
      <w:pPr>
        <w:spacing w:line="280" w:lineRule="exact"/>
        <w:ind w:left="360" w:firstLine="0"/>
        <w:jc w:val="left"/>
      </w:pPr>
      <w:r>
        <w:rPr>
          <w:rFonts w:ascii="Consolas" w:hAnsi="Consolas" w:eastAsia="Consolas"/>
          <w:sz w:val="16"/>
        </w:rPr>
        <w:t xml:space="preserve"> 64:     df["model_mae_60"] = df.groupby("product_id")["abs_error"].transform(lambda series: series.rolling(60, min_periods=10).mean())</w:t>
      </w:r>
    </w:p>
    <w:p w14:paraId="6CAD5D2C">
      <w:pPr>
        <w:spacing w:line="280" w:lineRule="exact"/>
        <w:ind w:left="360" w:firstLine="0"/>
        <w:jc w:val="left"/>
      </w:pPr>
      <w:r>
        <w:rPr>
          <w:rFonts w:ascii="Consolas" w:hAnsi="Consolas" w:eastAsia="Consolas"/>
          <w:sz w:val="16"/>
        </w:rPr>
        <w:t xml:space="preserve"> 65:     df["vol_regime"] = pd.cut(</w:t>
      </w:r>
    </w:p>
    <w:p w14:paraId="51DC5679">
      <w:pPr>
        <w:spacing w:line="280" w:lineRule="exact"/>
        <w:ind w:left="360" w:firstLine="0"/>
        <w:jc w:val="left"/>
      </w:pPr>
      <w:r>
        <w:rPr>
          <w:rFonts w:ascii="Consolas" w:hAnsi="Consolas" w:eastAsia="Consolas"/>
          <w:sz w:val="16"/>
        </w:rPr>
        <w:t xml:space="preserve"> 66:         df["forecast_vol_5d"],</w:t>
      </w:r>
    </w:p>
    <w:p w14:paraId="0CEE329B">
      <w:pPr>
        <w:spacing w:line="280" w:lineRule="exact"/>
        <w:ind w:left="360" w:firstLine="0"/>
        <w:jc w:val="left"/>
      </w:pPr>
      <w:r>
        <w:rPr>
          <w:rFonts w:ascii="Consolas" w:hAnsi="Consolas" w:eastAsia="Consolas"/>
          <w:sz w:val="16"/>
        </w:rPr>
        <w:t xml:space="preserve"> 67:         bins=[-np.inf, 0.12, 0.20, np.inf],</w:t>
      </w:r>
    </w:p>
    <w:p w14:paraId="29182533">
      <w:pPr>
        <w:spacing w:line="280" w:lineRule="exact"/>
        <w:ind w:left="360" w:firstLine="0"/>
        <w:jc w:val="left"/>
      </w:pPr>
      <w:r>
        <w:rPr>
          <w:rFonts w:ascii="Consolas" w:hAnsi="Consolas" w:eastAsia="Consolas"/>
          <w:sz w:val="16"/>
        </w:rPr>
        <w:t xml:space="preserve"> 68:         labels=["低波动", "中波动", "高波动"],</w:t>
      </w:r>
    </w:p>
    <w:p w14:paraId="1E57D48B">
      <w:pPr>
        <w:spacing w:line="280" w:lineRule="exact"/>
        <w:ind w:left="360" w:firstLine="0"/>
        <w:jc w:val="left"/>
      </w:pPr>
      <w:r>
        <w:rPr>
          <w:rFonts w:ascii="Consolas" w:hAnsi="Consolas" w:eastAsia="Consolas"/>
          <w:sz w:val="16"/>
        </w:rPr>
        <w:t xml:space="preserve"> 69:     ).astype("string")</w:t>
      </w:r>
    </w:p>
    <w:p w14:paraId="2A81A91F">
      <w:pPr>
        <w:spacing w:line="280" w:lineRule="exact"/>
        <w:ind w:left="360" w:firstLine="0"/>
        <w:jc w:val="left"/>
      </w:pPr>
      <w:r>
        <w:rPr>
          <w:rFonts w:ascii="Consolas" w:hAnsi="Consolas" w:eastAsia="Consolas"/>
          <w:sz w:val="16"/>
        </w:rPr>
        <w:t xml:space="preserve"> 70:     df["forecast_signal"] = np.select(</w:t>
      </w:r>
    </w:p>
    <w:p w14:paraId="4B41CED2">
      <w:pPr>
        <w:spacing w:line="280" w:lineRule="exact"/>
        <w:ind w:left="360" w:firstLine="0"/>
        <w:jc w:val="left"/>
      </w:pPr>
      <w:r>
        <w:rPr>
          <w:rFonts w:ascii="Consolas" w:hAnsi="Consolas" w:eastAsia="Consolas"/>
          <w:sz w:val="16"/>
        </w:rPr>
        <w:t xml:space="preserve"> 71:         [</w:t>
      </w:r>
    </w:p>
    <w:p w14:paraId="36A82FD9">
      <w:pPr>
        <w:spacing w:line="280" w:lineRule="exact"/>
        <w:ind w:left="360" w:firstLine="0"/>
        <w:jc w:val="left"/>
      </w:pPr>
      <w:r>
        <w:rPr>
          <w:rFonts w:ascii="Consolas" w:hAnsi="Consolas" w:eastAsia="Consolas"/>
          <w:sz w:val="16"/>
        </w:rPr>
        <w:t xml:space="preserve"> 72:             df["forecast_vol_5d"] &gt; df["rolling_vol_20"] * 1.05,</w:t>
      </w:r>
    </w:p>
    <w:p w14:paraId="6D405E56">
      <w:pPr>
        <w:spacing w:line="280" w:lineRule="exact"/>
        <w:ind w:left="360" w:firstLine="0"/>
        <w:jc w:val="left"/>
      </w:pPr>
      <w:r>
        <w:rPr>
          <w:rFonts w:ascii="Consolas" w:hAnsi="Consolas" w:eastAsia="Consolas"/>
          <w:sz w:val="16"/>
        </w:rPr>
        <w:t xml:space="preserve"> 73:             df["forecast_vol_5d"] &lt; df["rolling_vol_20"] * 0.95,</w:t>
      </w:r>
    </w:p>
    <w:p w14:paraId="59700685">
      <w:pPr>
        <w:spacing w:line="280" w:lineRule="exact"/>
        <w:ind w:left="360" w:firstLine="0"/>
        <w:jc w:val="left"/>
      </w:pPr>
      <w:r>
        <w:rPr>
          <w:rFonts w:ascii="Consolas" w:hAnsi="Consolas" w:eastAsia="Consolas"/>
          <w:sz w:val="16"/>
        </w:rPr>
        <w:t xml:space="preserve"> 74:         ],</w:t>
      </w:r>
    </w:p>
    <w:p w14:paraId="39B71121">
      <w:pPr>
        <w:spacing w:line="280" w:lineRule="exact"/>
        <w:ind w:left="360" w:firstLine="0"/>
        <w:jc w:val="left"/>
      </w:pPr>
      <w:r>
        <w:rPr>
          <w:rFonts w:ascii="Consolas" w:hAnsi="Consolas" w:eastAsia="Consolas"/>
          <w:sz w:val="16"/>
        </w:rPr>
        <w:t xml:space="preserve"> 75:         ["波动可能上升", "波动可能回落"],</w:t>
      </w:r>
    </w:p>
    <w:p w14:paraId="3F18FFA5">
      <w:pPr>
        <w:spacing w:line="280" w:lineRule="exact"/>
        <w:ind w:left="360" w:firstLine="0"/>
        <w:jc w:val="left"/>
      </w:pPr>
      <w:r>
        <w:rPr>
          <w:rFonts w:ascii="Consolas" w:hAnsi="Consolas" w:eastAsia="Consolas"/>
          <w:sz w:val="16"/>
        </w:rPr>
        <w:t xml:space="preserve"> 76:         default="波动大体平稳",</w:t>
      </w:r>
    </w:p>
    <w:p w14:paraId="3D1442EB">
      <w:pPr>
        <w:spacing w:line="280" w:lineRule="exact"/>
        <w:ind w:left="360" w:firstLine="0"/>
        <w:jc w:val="left"/>
      </w:pPr>
      <w:r>
        <w:rPr>
          <w:rFonts w:ascii="Consolas" w:hAnsi="Consolas" w:eastAsia="Consolas"/>
          <w:sz w:val="16"/>
        </w:rPr>
        <w:t xml:space="preserve"> 77:     )</w:t>
      </w:r>
    </w:p>
    <w:p w14:paraId="4D581360">
      <w:pPr>
        <w:spacing w:lineRule="exact" w:line="460" w:before="0" w:after="0"/>
        <w:ind w:firstLine="420"/>
        <w:jc w:val="both"/>
      </w:pPr>
      <w:r>
        <w:rPr>
          <w:rFonts w:ascii="Times New Roman" w:hAnsi="Times New Roman" w:eastAsia="宋体"/>
          <w:sz w:val="24"/>
        </w:rPr>
        <w:t>在风险评估部分，系统使用历史模拟法计算 95% 置信水平、1 天持有期和 60 日回溯窗口下的 VaR。具体做法是先按品种提取主力连续日收益率序列，再取最近 60 个有效收益率样本的 5% 经验分位数，并将其绝对值作为潜在损失比例。该设置与系统盘后日频分析定位一致，能够在不引入复杂分布假设的情况下反映短期尾部风险。以 2026 年 3 月 19 日的最新快照为例，IC 和 IM 的 20 日年化波动率分别为 0.244857 和 0.252288，对应的 60 日历史模拟 VaR 分别为 0.024909 和 0.028145，明显高于 IF 和 IH。这说明在当前样本期内，中证 500 和中证 1000 指数期货的短期波动与下行风险更值得关注。</w:t>
      </w:r>
    </w:p>
    <w:p w14:paraId="46EC3A31">
      <w:pPr>
        <w:pStyle w:val="3"/>
        <w:spacing w:lineRule="exact" w:line="460" w:before="240" w:after="240"/>
        <w:jc w:val="left"/>
      </w:pPr>
      <w:bookmarkStart w:id="25" w:name="_Toc224859776"/>
      <w:r>
        <w:rPr>
          <w:rFonts w:ascii="Times New Roman" w:hAnsi="Times New Roman" w:eastAsia="黑体"/>
          <w:b/>
          <w:sz w:val="28"/>
        </w:rPr>
        <w:t>5.4 服务层实现</w:t>
      </w:r>
      <w:bookmarkEnd w:id="25"/>
    </w:p>
    <w:p w14:paraId="6F814E5A">
      <w:r>
        <w:t>FastAPI 服务层将分析模块的结果封装为结构化接口。其设计重点不是复杂的鉴权或高并发治理，而是保证参数清晰、响应一致和页面调用便捷。</w:t>
      </w:r>
    </w:p>
    <w:p w14:paraId="4EA7C9C1">
      <w:pPr>
        <w:keepLines/>
        <w:ind w:firstLine="0"/>
        <w:jc w:val="center"/>
      </w:pPr>
      <w:r>
        <w:t>代码5-3 FastAPI 主要分析接口实现</w:t>
      </w:r>
    </w:p>
    <w:p w14:paraId="15F3E315">
      <w:pPr>
        <w:spacing w:line="280" w:lineRule="exact"/>
        <w:ind w:left="360" w:firstLine="0"/>
        <w:jc w:val="left"/>
      </w:pPr>
      <w:r>
        <w:rPr>
          <w:rFonts w:ascii="Consolas" w:hAnsi="Consolas" w:eastAsia="Consolas"/>
          <w:sz w:val="16"/>
        </w:rPr>
        <w:t xml:space="preserve"> 28: def get_system_health() -&gt; dict[str, object]:</w:t>
      </w:r>
    </w:p>
    <w:p w14:paraId="485B5AAB">
      <w:pPr>
        <w:spacing w:line="280" w:lineRule="exact"/>
        <w:ind w:left="360" w:firstLine="0"/>
        <w:jc w:val="left"/>
      </w:pPr>
      <w:r>
        <w:rPr>
          <w:rFonts w:ascii="Consolas" w:hAnsi="Consolas" w:eastAsia="Consolas"/>
          <w:sz w:val="16"/>
        </w:rPr>
        <w:t xml:space="preserve"> 29:     return service.get_system_health()</w:t>
      </w:r>
    </w:p>
    <w:p w14:paraId="73B23B3E">
      <w:pPr>
        <w:spacing w:line="280" w:lineRule="exact"/>
        <w:ind w:left="360" w:firstLine="0"/>
        <w:jc w:val="left"/>
      </w:pPr>
      <w:r>
        <w:rPr>
          <w:rFonts w:ascii="Consolas" w:hAnsi="Consolas" w:eastAsia="Consolas"/>
          <w:sz w:val="16"/>
        </w:rPr>
        <w:t xml:space="preserve"> 30: </w:t>
      </w:r>
    </w:p>
    <w:p w14:paraId="1797B3A9">
      <w:pPr>
        <w:spacing w:line="280" w:lineRule="exact"/>
        <w:ind w:left="360" w:firstLine="0"/>
        <w:jc w:val="left"/>
      </w:pPr>
      <w:r>
        <w:rPr>
          <w:rFonts w:ascii="Consolas" w:hAnsi="Consolas" w:eastAsia="Consolas"/>
          <w:sz w:val="16"/>
        </w:rPr>
        <w:t xml:space="preserve"> 31: </w:t>
      </w:r>
    </w:p>
    <w:p w14:paraId="31D410DE">
      <w:pPr>
        <w:spacing w:line="280" w:lineRule="exact"/>
        <w:ind w:left="360" w:firstLine="0"/>
        <w:jc w:val="left"/>
      </w:pPr>
      <w:r>
        <w:rPr>
          <w:rFonts w:ascii="Consolas" w:hAnsi="Consolas" w:eastAsia="Consolas"/>
          <w:sz w:val="16"/>
        </w:rPr>
        <w:t xml:space="preserve"> 32: @app.get("/api/contracts")</w:t>
      </w:r>
    </w:p>
    <w:p w14:paraId="2F97F083">
      <w:pPr>
        <w:spacing w:line="280" w:lineRule="exact"/>
        <w:ind w:left="360" w:firstLine="0"/>
        <w:jc w:val="left"/>
      </w:pPr>
      <w:r>
        <w:rPr>
          <w:rFonts w:ascii="Consolas" w:hAnsi="Consolas" w:eastAsia="Consolas"/>
          <w:sz w:val="16"/>
        </w:rPr>
        <w:t xml:space="preserve"> 33: def get_contracts(product_id: str | None = Query(default=None)) -&gt; list[dict[str, object]]:</w:t>
      </w:r>
    </w:p>
    <w:p w14:paraId="72F29F96">
      <w:pPr>
        <w:spacing w:line="280" w:lineRule="exact"/>
        <w:ind w:left="360" w:firstLine="0"/>
        <w:jc w:val="left"/>
      </w:pPr>
      <w:r>
        <w:rPr>
          <w:rFonts w:ascii="Consolas" w:hAnsi="Consolas" w:eastAsia="Consolas"/>
          <w:sz w:val="16"/>
        </w:rPr>
        <w:t xml:space="preserve"> 34:     return service.get_contracts(product_id=product_id).to_dict(orient="records")</w:t>
      </w:r>
    </w:p>
    <w:p w14:paraId="60E14111">
      <w:pPr>
        <w:spacing w:line="280" w:lineRule="exact"/>
        <w:ind w:left="360" w:firstLine="0"/>
        <w:jc w:val="left"/>
      </w:pPr>
      <w:r>
        <w:rPr>
          <w:rFonts w:ascii="Consolas" w:hAnsi="Consolas" w:eastAsia="Consolas"/>
          <w:sz w:val="16"/>
        </w:rPr>
        <w:t xml:space="preserve"> 35: </w:t>
      </w:r>
    </w:p>
    <w:p w14:paraId="3C8A0184">
      <w:pPr>
        <w:spacing w:line="280" w:lineRule="exact"/>
        <w:ind w:left="360" w:firstLine="0"/>
        <w:jc w:val="left"/>
      </w:pPr>
      <w:r>
        <w:rPr>
          <w:rFonts w:ascii="Consolas" w:hAnsi="Consolas" w:eastAsia="Consolas"/>
          <w:sz w:val="16"/>
        </w:rPr>
        <w:t xml:space="preserve"> 36: </w:t>
      </w:r>
    </w:p>
    <w:p w14:paraId="156904B7">
      <w:pPr>
        <w:spacing w:line="280" w:lineRule="exact"/>
        <w:ind w:left="360" w:firstLine="0"/>
        <w:jc w:val="left"/>
      </w:pPr>
      <w:r>
        <w:rPr>
          <w:rFonts w:ascii="Consolas" w:hAnsi="Consolas" w:eastAsia="Consolas"/>
          <w:sz w:val="16"/>
        </w:rPr>
        <w:t xml:space="preserve"> 37: @app.get("/api/market/daily")</w:t>
      </w:r>
    </w:p>
    <w:p w14:paraId="78E69933">
      <w:pPr>
        <w:spacing w:line="280" w:lineRule="exact"/>
        <w:ind w:left="360" w:firstLine="0"/>
        <w:jc w:val="left"/>
      </w:pPr>
      <w:r>
        <w:rPr>
          <w:rFonts w:ascii="Consolas" w:hAnsi="Consolas" w:eastAsia="Consolas"/>
          <w:sz w:val="16"/>
        </w:rPr>
        <w:t xml:space="preserve"> 38: def get_market_daily(</w:t>
      </w:r>
    </w:p>
    <w:p w14:paraId="419026A0">
      <w:pPr>
        <w:spacing w:line="280" w:lineRule="exact"/>
        <w:ind w:left="360" w:firstLine="0"/>
        <w:jc w:val="left"/>
      </w:pPr>
      <w:r>
        <w:rPr>
          <w:rFonts w:ascii="Consolas" w:hAnsi="Consolas" w:eastAsia="Consolas"/>
          <w:sz w:val="16"/>
        </w:rPr>
        <w:t xml:space="preserve"> 39:     product_id: str | None = Query(default=None),</w:t>
      </w:r>
    </w:p>
    <w:p w14:paraId="52268D95">
      <w:pPr>
        <w:spacing w:line="280" w:lineRule="exact"/>
        <w:ind w:left="360" w:firstLine="0"/>
        <w:jc w:val="left"/>
      </w:pPr>
      <w:r>
        <w:rPr>
          <w:rFonts w:ascii="Consolas" w:hAnsi="Consolas" w:eastAsia="Consolas"/>
          <w:sz w:val="16"/>
        </w:rPr>
        <w:t xml:space="preserve"> 40:     instrument_id: str | None = Query(default=None),</w:t>
      </w:r>
    </w:p>
    <w:p w14:paraId="2C127595">
      <w:pPr>
        <w:spacing w:line="280" w:lineRule="exact"/>
        <w:ind w:left="360" w:firstLine="0"/>
        <w:jc w:val="left"/>
      </w:pPr>
      <w:r>
        <w:rPr>
          <w:rFonts w:ascii="Consolas" w:hAnsi="Consolas" w:eastAsia="Consolas"/>
          <w:sz w:val="16"/>
        </w:rPr>
        <w:t xml:space="preserve"> 41:     start_date: date | None = Query(default=None),</w:t>
      </w:r>
    </w:p>
    <w:p w14:paraId="5B35908C">
      <w:pPr>
        <w:spacing w:line="280" w:lineRule="exact"/>
        <w:ind w:left="360" w:firstLine="0"/>
        <w:jc w:val="left"/>
      </w:pPr>
      <w:r>
        <w:rPr>
          <w:rFonts w:ascii="Consolas" w:hAnsi="Consolas" w:eastAsia="Consolas"/>
          <w:sz w:val="16"/>
        </w:rPr>
        <w:t xml:space="preserve"> 42:     end_date: date | None = Query(default=None),</w:t>
      </w:r>
    </w:p>
    <w:p w14:paraId="30F72646">
      <w:pPr>
        <w:spacing w:line="280" w:lineRule="exact"/>
        <w:ind w:left="360" w:firstLine="0"/>
        <w:jc w:val="left"/>
      </w:pPr>
      <w:r>
        <w:rPr>
          <w:rFonts w:ascii="Consolas" w:hAnsi="Consolas" w:eastAsia="Consolas"/>
          <w:sz w:val="16"/>
        </w:rPr>
        <w:t xml:space="preserve"> 43:     main_only: bool = Query(default=False),</w:t>
      </w:r>
    </w:p>
    <w:p w14:paraId="148415FC">
      <w:pPr>
        <w:spacing w:line="280" w:lineRule="exact"/>
        <w:ind w:left="360" w:firstLine="0"/>
        <w:jc w:val="left"/>
      </w:pPr>
      <w:r>
        <w:rPr>
          <w:rFonts w:ascii="Consolas" w:hAnsi="Consolas" w:eastAsia="Consolas"/>
          <w:sz w:val="16"/>
        </w:rPr>
        <w:t xml:space="preserve"> 44:     limit: int = Query(default=120, ge=1, le=1000),</w:t>
      </w:r>
    </w:p>
    <w:p w14:paraId="2A4C341F">
      <w:pPr>
        <w:spacing w:line="280" w:lineRule="exact"/>
        <w:ind w:left="360" w:firstLine="0"/>
        <w:jc w:val="left"/>
      </w:pPr>
      <w:r>
        <w:rPr>
          <w:rFonts w:ascii="Consolas" w:hAnsi="Consolas" w:eastAsia="Consolas"/>
          <w:sz w:val="16"/>
        </w:rPr>
        <w:t xml:space="preserve"> 45: ) -&gt; list[dict[str, object]]:</w:t>
      </w:r>
    </w:p>
    <w:p w14:paraId="48785F5B">
      <w:pPr>
        <w:spacing w:line="280" w:lineRule="exact"/>
        <w:ind w:left="360" w:firstLine="0"/>
        <w:jc w:val="left"/>
      </w:pPr>
      <w:r>
        <w:rPr>
          <w:rFonts w:ascii="Consolas" w:hAnsi="Consolas" w:eastAsia="Consolas"/>
          <w:sz w:val="16"/>
        </w:rPr>
        <w:t xml:space="preserve"> 46:     return service.get_market_daily(</w:t>
      </w:r>
    </w:p>
    <w:p w14:paraId="4CEEF495">
      <w:pPr>
        <w:spacing w:line="280" w:lineRule="exact"/>
        <w:ind w:left="360" w:firstLine="0"/>
        <w:jc w:val="left"/>
      </w:pPr>
      <w:r>
        <w:rPr>
          <w:rFonts w:ascii="Consolas" w:hAnsi="Consolas" w:eastAsia="Consolas"/>
          <w:sz w:val="16"/>
        </w:rPr>
        <w:t xml:space="preserve"> 47:         product_id=product_id,</w:t>
      </w:r>
    </w:p>
    <w:p w14:paraId="0629DFC2">
      <w:pPr>
        <w:spacing w:line="280" w:lineRule="exact"/>
        <w:ind w:left="360" w:firstLine="0"/>
        <w:jc w:val="left"/>
      </w:pPr>
      <w:r>
        <w:rPr>
          <w:rFonts w:ascii="Consolas" w:hAnsi="Consolas" w:eastAsia="Consolas"/>
          <w:sz w:val="16"/>
        </w:rPr>
        <w:t xml:space="preserve"> 48:         instrument_id=instrument_id,</w:t>
      </w:r>
    </w:p>
    <w:p w14:paraId="0F79D0F9">
      <w:pPr>
        <w:spacing w:line="280" w:lineRule="exact"/>
        <w:ind w:left="360" w:firstLine="0"/>
        <w:jc w:val="left"/>
      </w:pPr>
      <w:r>
        <w:rPr>
          <w:rFonts w:ascii="Consolas" w:hAnsi="Consolas" w:eastAsia="Consolas"/>
          <w:sz w:val="16"/>
        </w:rPr>
        <w:t xml:space="preserve"> 49:         start_date=start_date,</w:t>
      </w:r>
    </w:p>
    <w:p w14:paraId="4F529C79">
      <w:pPr>
        <w:spacing w:line="280" w:lineRule="exact"/>
        <w:ind w:left="360" w:firstLine="0"/>
        <w:jc w:val="left"/>
      </w:pPr>
      <w:r>
        <w:rPr>
          <w:rFonts w:ascii="Consolas" w:hAnsi="Consolas" w:eastAsia="Consolas"/>
          <w:sz w:val="16"/>
        </w:rPr>
        <w:t xml:space="preserve"> 50:         end_date=end_date,</w:t>
      </w:r>
    </w:p>
    <w:p w14:paraId="2F49BAC1">
      <w:pPr>
        <w:spacing w:line="280" w:lineRule="exact"/>
        <w:ind w:left="360" w:firstLine="0"/>
        <w:jc w:val="left"/>
      </w:pPr>
      <w:r>
        <w:rPr>
          <w:rFonts w:ascii="Consolas" w:hAnsi="Consolas" w:eastAsia="Consolas"/>
          <w:sz w:val="16"/>
        </w:rPr>
        <w:t xml:space="preserve"> 51:         main_only=main_only,</w:t>
      </w:r>
    </w:p>
    <w:p w14:paraId="3A8E4E10">
      <w:pPr>
        <w:spacing w:line="280" w:lineRule="exact"/>
        <w:ind w:left="360" w:firstLine="0"/>
        <w:jc w:val="left"/>
      </w:pPr>
      <w:r>
        <w:rPr>
          <w:rFonts w:ascii="Consolas" w:hAnsi="Consolas" w:eastAsia="Consolas"/>
          <w:sz w:val="16"/>
        </w:rPr>
        <w:t xml:space="preserve"> 52:         limit=limit,</w:t>
      </w:r>
    </w:p>
    <w:p w14:paraId="00558E63">
      <w:pPr>
        <w:spacing w:line="280" w:lineRule="exact"/>
        <w:ind w:left="360" w:firstLine="0"/>
        <w:jc w:val="left"/>
      </w:pPr>
      <w:r>
        <w:rPr>
          <w:rFonts w:ascii="Consolas" w:hAnsi="Consolas" w:eastAsia="Consolas"/>
          <w:sz w:val="16"/>
        </w:rPr>
        <w:t xml:space="preserve"> 53:     ).to_dict(orient="records")</w:t>
      </w:r>
    </w:p>
    <w:p w14:paraId="6D4425E2">
      <w:pPr>
        <w:spacing w:line="280" w:lineRule="exact"/>
        <w:ind w:left="360" w:firstLine="0"/>
        <w:jc w:val="left"/>
      </w:pPr>
      <w:r>
        <w:rPr>
          <w:rFonts w:ascii="Consolas" w:hAnsi="Consolas" w:eastAsia="Consolas"/>
          <w:sz w:val="16"/>
        </w:rPr>
        <w:t xml:space="preserve"> 54: </w:t>
      </w:r>
    </w:p>
    <w:p w14:paraId="6A6E389A">
      <w:pPr>
        <w:spacing w:line="280" w:lineRule="exact"/>
        <w:ind w:left="360" w:firstLine="0"/>
        <w:jc w:val="left"/>
      </w:pPr>
      <w:r>
        <w:rPr>
          <w:rFonts w:ascii="Consolas" w:hAnsi="Consolas" w:eastAsia="Consolas"/>
          <w:sz w:val="16"/>
        </w:rPr>
        <w:t xml:space="preserve"> 55: </w:t>
      </w:r>
    </w:p>
    <w:p w14:paraId="217E4A95">
      <w:pPr>
        <w:spacing w:line="280" w:lineRule="exact"/>
        <w:ind w:left="360" w:firstLine="0"/>
        <w:jc w:val="left"/>
      </w:pPr>
      <w:r>
        <w:rPr>
          <w:rFonts w:ascii="Consolas" w:hAnsi="Consolas" w:eastAsia="Consolas"/>
          <w:sz w:val="16"/>
        </w:rPr>
        <w:t xml:space="preserve"> 56: @app.get("/api/analysis/trend")</w:t>
      </w:r>
    </w:p>
    <w:p w14:paraId="04FFF96B">
      <w:pPr>
        <w:spacing w:line="280" w:lineRule="exact"/>
        <w:ind w:left="360" w:firstLine="0"/>
        <w:jc w:val="left"/>
      </w:pPr>
      <w:r>
        <w:rPr>
          <w:rFonts w:ascii="Consolas" w:hAnsi="Consolas" w:eastAsia="Consolas"/>
          <w:sz w:val="16"/>
        </w:rPr>
        <w:t xml:space="preserve"> 57: def get_trend(product_id: str = Query(...), window: int = Query(default=20, ge=2, le=120)) -&gt; dict[str, object]:</w:t>
      </w:r>
    </w:p>
    <w:p w14:paraId="6B1035B1">
      <w:pPr>
        <w:spacing w:line="280" w:lineRule="exact"/>
        <w:ind w:left="360" w:firstLine="0"/>
        <w:jc w:val="left"/>
      </w:pPr>
      <w:r>
        <w:rPr>
          <w:rFonts w:ascii="Consolas" w:hAnsi="Consolas" w:eastAsia="Consolas"/>
          <w:sz w:val="16"/>
        </w:rPr>
        <w:t xml:space="preserve"> 58:     return service.get_trend(product_id=product_id, window=window)</w:t>
      </w:r>
    </w:p>
    <w:p w14:paraId="67E8AD80">
      <w:pPr>
        <w:spacing w:line="280" w:lineRule="exact"/>
        <w:ind w:left="360" w:firstLine="0"/>
        <w:jc w:val="left"/>
      </w:pPr>
      <w:r>
        <w:rPr>
          <w:rFonts w:ascii="Consolas" w:hAnsi="Consolas" w:eastAsia="Consolas"/>
          <w:sz w:val="16"/>
        </w:rPr>
        <w:t xml:space="preserve"> 59: </w:t>
      </w:r>
    </w:p>
    <w:p w14:paraId="6454FE69">
      <w:pPr>
        <w:spacing w:line="280" w:lineRule="exact"/>
        <w:ind w:left="360" w:firstLine="0"/>
        <w:jc w:val="left"/>
      </w:pPr>
      <w:r>
        <w:rPr>
          <w:rFonts w:ascii="Consolas" w:hAnsi="Consolas" w:eastAsia="Consolas"/>
          <w:sz w:val="16"/>
        </w:rPr>
        <w:t xml:space="preserve"> 60: </w:t>
      </w:r>
    </w:p>
    <w:p w14:paraId="2BB0E61A">
      <w:pPr>
        <w:spacing w:line="280" w:lineRule="exact"/>
        <w:ind w:left="360" w:firstLine="0"/>
        <w:jc w:val="left"/>
      </w:pPr>
      <w:r>
        <w:rPr>
          <w:rFonts w:ascii="Consolas" w:hAnsi="Consolas" w:eastAsia="Consolas"/>
          <w:sz w:val="16"/>
        </w:rPr>
        <w:t xml:space="preserve"> 61: @app.get("/api/analysis/volatility")</w:t>
      </w:r>
    </w:p>
    <w:p w14:paraId="3C7832C3">
      <w:pPr>
        <w:spacing w:line="280" w:lineRule="exact"/>
        <w:ind w:left="360" w:firstLine="0"/>
        <w:jc w:val="left"/>
      </w:pPr>
      <w:r>
        <w:rPr>
          <w:rFonts w:ascii="Consolas" w:hAnsi="Consolas" w:eastAsia="Consolas"/>
          <w:sz w:val="16"/>
        </w:rPr>
        <w:t xml:space="preserve"> 62: def get_volatility(product_id: str = Query(...), window: int = Query(default=20, ge=2, le=120)) -&gt; dict[str, object]:</w:t>
      </w:r>
    </w:p>
    <w:p w14:paraId="6A4028F8">
      <w:pPr>
        <w:spacing w:line="280" w:lineRule="exact"/>
        <w:ind w:left="360" w:firstLine="0"/>
        <w:jc w:val="left"/>
      </w:pPr>
      <w:r>
        <w:rPr>
          <w:rFonts w:ascii="Consolas" w:hAnsi="Consolas" w:eastAsia="Consolas"/>
          <w:sz w:val="16"/>
        </w:rPr>
        <w:t xml:space="preserve"> 63:     return service.get_volatility(product_id=product_id, window=window)</w:t>
      </w:r>
    </w:p>
    <w:p w14:paraId="3A70B2E5">
      <w:pPr>
        <w:spacing w:line="280" w:lineRule="exact"/>
        <w:ind w:left="360" w:firstLine="0"/>
        <w:jc w:val="left"/>
      </w:pPr>
      <w:r>
        <w:rPr>
          <w:rFonts w:ascii="Consolas" w:hAnsi="Consolas" w:eastAsia="Consolas"/>
          <w:sz w:val="16"/>
        </w:rPr>
        <w:t xml:space="preserve"> 64: </w:t>
      </w:r>
    </w:p>
    <w:p w14:paraId="108BDE40">
      <w:pPr>
        <w:spacing w:line="280" w:lineRule="exact"/>
        <w:ind w:left="360" w:firstLine="0"/>
        <w:jc w:val="left"/>
      </w:pPr>
      <w:r>
        <w:rPr>
          <w:rFonts w:ascii="Consolas" w:hAnsi="Consolas" w:eastAsia="Consolas"/>
          <w:sz w:val="16"/>
        </w:rPr>
        <w:t xml:space="preserve"> 65: </w:t>
      </w:r>
    </w:p>
    <w:p w14:paraId="60D9F5AB">
      <w:pPr>
        <w:spacing w:line="280" w:lineRule="exact"/>
        <w:ind w:left="360" w:firstLine="0"/>
        <w:jc w:val="left"/>
      </w:pPr>
      <w:r>
        <w:rPr>
          <w:rFonts w:ascii="Consolas" w:hAnsi="Consolas" w:eastAsia="Consolas"/>
          <w:sz w:val="16"/>
        </w:rPr>
        <w:t xml:space="preserve"> 66: @app.get("/api/analysis/volatility-forecast")</w:t>
      </w:r>
    </w:p>
    <w:p w14:paraId="24B298B5">
      <w:pPr>
        <w:spacing w:line="280" w:lineRule="exact"/>
        <w:ind w:left="360" w:firstLine="0"/>
        <w:jc w:val="left"/>
      </w:pPr>
      <w:r>
        <w:rPr>
          <w:rFonts w:ascii="Consolas" w:hAnsi="Consolas" w:eastAsia="Consolas"/>
          <w:sz w:val="16"/>
        </w:rPr>
        <w:t xml:space="preserve"> 67: def get_volatility_forecast(</w:t>
      </w:r>
    </w:p>
    <w:p w14:paraId="72992DB2">
      <w:pPr>
        <w:spacing w:line="280" w:lineRule="exact"/>
        <w:ind w:left="360" w:firstLine="0"/>
        <w:jc w:val="left"/>
      </w:pPr>
      <w:r>
        <w:rPr>
          <w:rFonts w:ascii="Consolas" w:hAnsi="Consolas" w:eastAsia="Consolas"/>
          <w:sz w:val="16"/>
        </w:rPr>
        <w:t xml:space="preserve"> 68:     product_id: str | None = Query(default=None),</w:t>
      </w:r>
    </w:p>
    <w:p w14:paraId="797AEC9D">
      <w:pPr>
        <w:spacing w:line="280" w:lineRule="exact"/>
        <w:ind w:left="360" w:firstLine="0"/>
        <w:jc w:val="left"/>
      </w:pPr>
      <w:r>
        <w:rPr>
          <w:rFonts w:ascii="Consolas" w:hAnsi="Consolas" w:eastAsia="Consolas"/>
          <w:sz w:val="16"/>
        </w:rPr>
        <w:t xml:space="preserve"> 69:     limit: int = Query(default=180, ge=1, le=1000),</w:t>
      </w:r>
    </w:p>
    <w:p w14:paraId="7BD4330D">
      <w:pPr>
        <w:spacing w:line="280" w:lineRule="exact"/>
        <w:ind w:left="360" w:firstLine="0"/>
        <w:jc w:val="left"/>
      </w:pPr>
      <w:r>
        <w:rPr>
          <w:rFonts w:ascii="Consolas" w:hAnsi="Consolas" w:eastAsia="Consolas"/>
          <w:sz w:val="16"/>
        </w:rPr>
        <w:t xml:space="preserve"> 70: ) -&gt; list[dict[str, object]]:</w:t>
      </w:r>
    </w:p>
    <w:p w14:paraId="16B768D8">
      <w:pPr>
        <w:spacing w:line="280" w:lineRule="exact"/>
        <w:ind w:left="360" w:firstLine="0"/>
        <w:jc w:val="left"/>
      </w:pPr>
      <w:r>
        <w:rPr>
          <w:rFonts w:ascii="Consolas" w:hAnsi="Consolas" w:eastAsia="Consolas"/>
          <w:sz w:val="16"/>
        </w:rPr>
        <w:t xml:space="preserve"> 71:     return service.get_volatility_forecast(product_id=product_id, limit=limit).to_dict(orient="records")</w:t>
      </w:r>
    </w:p>
    <w:p w14:paraId="153DE855">
      <w:pPr>
        <w:spacing w:line="280" w:lineRule="exact"/>
        <w:ind w:left="360" w:firstLine="0"/>
        <w:jc w:val="left"/>
      </w:pPr>
      <w:r>
        <w:rPr>
          <w:rFonts w:ascii="Consolas" w:hAnsi="Consolas" w:eastAsia="Consolas"/>
          <w:sz w:val="16"/>
        </w:rPr>
        <w:t xml:space="preserve"> 72: </w:t>
      </w:r>
    </w:p>
    <w:p w14:paraId="0306D1C2">
      <w:pPr>
        <w:spacing w:line="280" w:lineRule="exact"/>
        <w:ind w:left="360" w:firstLine="0"/>
        <w:jc w:val="left"/>
      </w:pPr>
      <w:r>
        <w:rPr>
          <w:rFonts w:ascii="Consolas" w:hAnsi="Consolas" w:eastAsia="Consolas"/>
          <w:sz w:val="16"/>
        </w:rPr>
        <w:t xml:space="preserve"> 73: </w:t>
      </w:r>
    </w:p>
    <w:p w14:paraId="37A9C0E4">
      <w:pPr>
        <w:spacing w:line="280" w:lineRule="exact"/>
        <w:ind w:left="360" w:firstLine="0"/>
        <w:jc w:val="left"/>
      </w:pPr>
      <w:r>
        <w:rPr>
          <w:rFonts w:ascii="Consolas" w:hAnsi="Consolas" w:eastAsia="Consolas"/>
          <w:sz w:val="16"/>
        </w:rPr>
        <w:t xml:space="preserve"> 74: @app.get("/api/analysis/correlation")</w:t>
      </w:r>
    </w:p>
    <w:p w14:paraId="0659B444">
      <w:pPr>
        <w:spacing w:line="280" w:lineRule="exact"/>
        <w:ind w:left="360" w:firstLine="0"/>
        <w:jc w:val="left"/>
      </w:pPr>
      <w:r>
        <w:rPr>
          <w:rFonts w:ascii="Consolas" w:hAnsi="Consolas" w:eastAsia="Consolas"/>
          <w:sz w:val="16"/>
        </w:rPr>
        <w:t xml:space="preserve"> 75: def get_correlation() -&gt; list[dict[str, object]]:</w:t>
      </w:r>
    </w:p>
    <w:p w14:paraId="3A65391E">
      <w:pPr>
        <w:spacing w:line="280" w:lineRule="exact"/>
        <w:ind w:left="360" w:firstLine="0"/>
        <w:jc w:val="left"/>
      </w:pPr>
      <w:r>
        <w:rPr>
          <w:rFonts w:ascii="Consolas" w:hAnsi="Consolas" w:eastAsia="Consolas"/>
          <w:sz w:val="16"/>
        </w:rPr>
        <w:t xml:space="preserve"> 76:     return service.get_correlation().to_dict(orient="records")</w:t>
      </w:r>
    </w:p>
    <w:p w14:paraId="584D1860">
      <w:r>
        <w:t>通过接口化封装，系统实现了分析逻辑与展示逻辑的解耦。前端页面只需调用标准接口即可获取趋势、波动率、VaR、相关性和数据质量结果，这种做法有利于后续扩展桌面端、Web 端或其他可视化终端。</w:t>
      </w:r>
    </w:p>
    <w:p w14:paraId="20AD0AF8">
      <w:pPr>
        <w:pStyle w:val="3"/>
        <w:spacing w:lineRule="exact" w:line="460" w:before="240" w:after="240"/>
        <w:jc w:val="left"/>
      </w:pPr>
      <w:bookmarkStart w:id="26" w:name="_Toc224859777"/>
      <w:r>
        <w:rPr>
          <w:rFonts w:ascii="Times New Roman" w:hAnsi="Times New Roman" w:eastAsia="黑体"/>
          <w:b/>
          <w:sz w:val="28"/>
        </w:rPr>
        <w:t>5.5 前端展示实现</w:t>
      </w:r>
      <w:bookmarkEnd w:id="26"/>
    </w:p>
    <w:p w14:paraId="298A9BBF">
      <w:r>
        <w:t>Streamlit 页面围绕答辩和论文展示场景进行了有针对性的设计。首页集中展示平台定位、关键指标卡片和功能入口；市场页面展示单品种主力连续 K 线、成交量和持仓量；趋势页面展示收盘价、20 日均线、回撤和滚动波动率；风险页面展示 VaR、相关性热力图和预测误差；数据来源页面则展示数据源说明、质量报告和交易所通知。</w:t>
      </w:r>
    </w:p>
    <w:p w14:paraId="4585A516">
      <w:pPr>
        <w:keepNext/>
        <w:keepLines/>
        <w:spacing w:line="240" w:lineRule="auto"/>
        <w:ind w:firstLine="0"/>
        <w:jc w:val="center"/>
      </w:pPr>
      <w:r>
        <w:drawing>
          <wp:inline distT="0" distB="0" distL="0" distR="0">
            <wp:extent cx="5120640" cy="31362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9"/>
                    <a:stretch>
                      <a:fillRect/>
                    </a:stretch>
                  </pic:blipFill>
                  <pic:spPr>
                    <a:xfrm>
                      <a:off x="0" y="0"/>
                      <a:ext cx="5120640" cy="3136392"/>
                    </a:xfrm>
                    <a:prstGeom prst="rect">
                      <a:avLst/>
                    </a:prstGeom>
                  </pic:spPr>
                </pic:pic>
              </a:graphicData>
            </a:graphic>
          </wp:inline>
        </w:drawing>
      </w:r>
    </w:p>
    <w:p w14:paraId="331B0766">
      <w:pPr>
        <w:keepLines/>
        <w:spacing w:before="0" w:after="0" w:lineRule="exact" w:line="460"/>
        <w:ind w:firstLine="0" w:left="0"/>
        <w:jc w:val="center"/>
      </w:pPr>
      <w:r>
        <w:rPr>
          <w:rFonts w:ascii="Times New Roman" w:hAnsi="Times New Roman" w:eastAsia="黑体"/>
          <w:b/>
          <w:sz w:val="24"/>
        </w:rPr>
        <w:t>图5.1 系统答辩展示首页截图</w:t>
      </w:r>
    </w:p>
    <w:p w14:paraId="2EF795B1">
      <w:pPr>
        <w:keepNext/>
        <w:keepLines/>
        <w:spacing w:line="240" w:lineRule="auto"/>
        <w:ind w:firstLine="0"/>
        <w:jc w:val="center"/>
      </w:pPr>
      <w:r>
        <w:pict>
          <v:shape id="_x0000_i1025" o:spt="75" type="#_x0000_t75" style="height:246.95pt;width:403.2pt;" filled="f" o:preferrelative="t" stroked="f" coordsize="21600,21600">
            <v:path/>
            <v:fill on="f" focussize="0,0"/>
            <v:stroke on="f"/>
            <v:imagedata r:id="rId20" o:title=""/>
            <o:lock v:ext="edit" aspectratio="t"/>
            <w10:wrap type="none"/>
            <w10:anchorlock/>
          </v:shape>
        </w:pict>
      </w:r>
    </w:p>
    <w:p w14:paraId="6B3685A2">
      <w:pPr>
        <w:keepLines/>
        <w:spacing w:before="0" w:after="0" w:lineRule="exact" w:line="460"/>
        <w:ind w:firstLine="0" w:left="0"/>
        <w:jc w:val="center"/>
      </w:pPr>
      <w:r>
        <w:rPr>
          <w:rFonts w:ascii="Times New Roman" w:hAnsi="Times New Roman" w:eastAsia="黑体"/>
          <w:b/>
          <w:sz w:val="24"/>
        </w:rPr>
        <w:t>图5.2 合约行情页面截图</w:t>
      </w:r>
    </w:p>
    <w:p w14:paraId="25B18BFE">
      <w:pPr>
        <w:keepNext/>
        <w:keepLines/>
        <w:spacing w:line="240" w:lineRule="auto"/>
        <w:ind w:firstLine="0"/>
        <w:jc w:val="center"/>
      </w:pPr>
      <w:r>
        <w:pict>
          <v:shape id="_x0000_i1026" o:spt="75" type="#_x0000_t75" style="height:246.95pt;width:403.2pt;" filled="f" o:preferrelative="t" stroked="f" coordsize="21600,21600">
            <v:path/>
            <v:fill on="f" focussize="0,0"/>
            <v:stroke on="f"/>
            <v:imagedata r:id="rId21" o:title=""/>
            <o:lock v:ext="edit" aspectratio="t"/>
            <w10:wrap type="none"/>
            <w10:anchorlock/>
          </v:shape>
        </w:pict>
      </w:r>
    </w:p>
    <w:p w14:paraId="275457BB">
      <w:pPr>
        <w:keepLines/>
        <w:spacing w:before="0" w:after="0" w:lineRule="exact" w:line="460"/>
        <w:ind w:firstLine="0" w:left="0"/>
        <w:jc w:val="center"/>
      </w:pPr>
      <w:r>
        <w:rPr>
          <w:rFonts w:ascii="Times New Roman" w:hAnsi="Times New Roman" w:eastAsia="黑体"/>
          <w:b/>
          <w:sz w:val="24"/>
        </w:rPr>
        <w:t>图5.3 趋势与波动分析页面截图</w:t>
      </w:r>
    </w:p>
    <w:p w14:paraId="69B66D35">
      <w:pPr>
        <w:keepNext/>
        <w:keepLines/>
        <w:spacing w:line="240" w:lineRule="auto"/>
        <w:ind w:firstLine="0"/>
        <w:jc w:val="center"/>
      </w:pPr>
      <w:r>
        <w:drawing>
          <wp:inline distT="0" distB="0" distL="0" distR="0">
            <wp:extent cx="5120640" cy="31362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2"/>
                    <a:stretch>
                      <a:fillRect/>
                    </a:stretch>
                  </pic:blipFill>
                  <pic:spPr>
                    <a:xfrm>
                      <a:off x="0" y="0"/>
                      <a:ext cx="5120640" cy="3136392"/>
                    </a:xfrm>
                    <a:prstGeom prst="rect">
                      <a:avLst/>
                    </a:prstGeom>
                  </pic:spPr>
                </pic:pic>
              </a:graphicData>
            </a:graphic>
          </wp:inline>
        </w:drawing>
      </w:r>
    </w:p>
    <w:p w14:paraId="16888703">
      <w:pPr>
        <w:keepLines/>
        <w:spacing w:before="0" w:after="0" w:lineRule="exact" w:line="460"/>
        <w:ind w:firstLine="0" w:left="0"/>
        <w:jc w:val="center"/>
      </w:pPr>
      <w:r>
        <w:rPr>
          <w:rFonts w:ascii="Times New Roman" w:hAnsi="Times New Roman" w:eastAsia="黑体"/>
          <w:b/>
          <w:sz w:val="24"/>
        </w:rPr>
        <w:t>图5.4 相关性与 VaR 页面截图</w:t>
      </w:r>
    </w:p>
    <w:p w14:paraId="0EB04221">
      <w:pPr>
        <w:keepNext/>
        <w:keepLines/>
        <w:spacing w:line="240" w:lineRule="auto"/>
        <w:ind w:firstLine="0"/>
        <w:jc w:val="center"/>
      </w:pPr>
      <w:r>
        <w:drawing>
          <wp:inline distT="0" distB="0" distL="0" distR="0">
            <wp:extent cx="5120640" cy="31362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3"/>
                    <a:stretch>
                      <a:fillRect/>
                    </a:stretch>
                  </pic:blipFill>
                  <pic:spPr>
                    <a:xfrm>
                      <a:off x="0" y="0"/>
                      <a:ext cx="5120640" cy="3136392"/>
                    </a:xfrm>
                    <a:prstGeom prst="rect">
                      <a:avLst/>
                    </a:prstGeom>
                  </pic:spPr>
                </pic:pic>
              </a:graphicData>
            </a:graphic>
          </wp:inline>
        </w:drawing>
      </w:r>
    </w:p>
    <w:p w14:paraId="1AE59CC5">
      <w:pPr>
        <w:keepLines/>
        <w:spacing w:before="0" w:after="0" w:lineRule="exact" w:line="460"/>
        <w:ind w:firstLine="0" w:left="0"/>
        <w:jc w:val="center"/>
      </w:pPr>
      <w:r>
        <w:rPr>
          <w:rFonts w:ascii="Times New Roman" w:hAnsi="Times New Roman" w:eastAsia="黑体"/>
          <w:b/>
          <w:sz w:val="24"/>
        </w:rPr>
        <w:t>图5.5 数据来源与质量说明页面截图</w:t>
      </w:r>
    </w:p>
    <w:p w14:paraId="75BBEE8E">
      <w:r>
        <w:t>从工程角度看，前端页面并不只是结果展示层，还承担了论文资产导出的作用。项目中的 scripts/capture_app_screenshots.py 可以自动打开对应页面并截取固定分辨率图片，从而保证论文中的页面截图来源统一、样式一致。这种“页面即论文素材”的设计显著减少了手工截图和重复排版工作量。</w:t>
      </w:r>
    </w:p>
    <w:p w14:paraId="45BBB83E">
      <w:pPr>
        <w:pStyle w:val="3"/>
        <w:spacing w:lineRule="exact" w:line="460" w:before="240" w:after="240"/>
        <w:jc w:val="left"/>
      </w:pPr>
      <w:bookmarkStart w:id="27" w:name="_Toc224859778"/>
      <w:r>
        <w:rPr>
          <w:rFonts w:ascii="Times New Roman" w:hAnsi="Times New Roman" w:eastAsia="黑体"/>
          <w:b/>
          <w:sz w:val="28"/>
        </w:rPr>
        <w:t>5.6 本章小结</w:t>
      </w:r>
      <w:bookmarkEnd w:id="27"/>
    </w:p>
    <w:p w14:paraId="4D9809B3">
      <w:r>
        <w:t>本章从数据采集、主力连续构建、波动率预测、接口封装和页面展示五个方面说明了系统详细实现过程。可以看到，系统的核心价值不在于堆叠复杂技术名词，而在于将真实公开数据、可解释分析方法和可复用展示形式稳定地组织在同一工程框架中。这样形成的系统既满足毕业设计原型要求，也为论文结果分析提供了直接证据。</w:t>
      </w:r>
    </w:p>
    <w:p w14:paraId="5CB8F670">
      <w:r>
        <w:br w:type="page"/>
      </w:r>
    </w:p>
    <w:p w14:paraId="3ED2FB6F">
      <w:pPr>
        <w:pStyle w:val="2"/>
        <w:spacing w:lineRule="exact" w:line="460" w:before="360" w:after="240"/>
        <w:jc w:val="center"/>
        <w:rPr>
          <w:rFonts w:hint="default"/>
        </w:rPr>
      </w:pPr>
      <w:bookmarkStart w:id="28" w:name="_Toc224859779"/>
      <w:r>
        <w:rPr>
          <w:rFonts w:ascii="Times New Roman" w:hAnsi="Times New Roman" w:eastAsia="黑体"/>
          <w:b/>
          <w:sz w:val="36"/>
        </w:rPr>
        <w:t>6 系统测试与结果分析</w:t>
      </w:r>
      <w:bookmarkEnd w:id="28"/>
    </w:p>
    <w:p w14:paraId="3F049582">
      <w:pPr>
        <w:pStyle w:val="3"/>
        <w:spacing w:lineRule="exact" w:line="460" w:before="240" w:after="240"/>
        <w:jc w:val="left"/>
      </w:pPr>
      <w:bookmarkStart w:id="29" w:name="_Toc224859780"/>
      <w:r>
        <w:rPr>
          <w:rFonts w:ascii="Times New Roman" w:hAnsi="Times New Roman" w:eastAsia="黑体"/>
          <w:b/>
          <w:sz w:val="28"/>
        </w:rPr>
        <w:t>6.1 测试环境与测试策略</w:t>
      </w:r>
      <w:bookmarkEnd w:id="29"/>
    </w:p>
    <w:p w14:paraId="2DE8814E">
      <w:r>
        <w:t>系统测试在 Windows 本地环境下完成，运行环境为 Python 3.11，主要依赖 DuckDB、Pandas、FastAPI、Streamlit 和 Playwright 等组件。测试策略包括三部分：一是分析逻辑单元测试，验证主力连续、波动率预测和 VaR 计算等函数的正确性；二是 API 可用性测试，验证服务层接口能够正常返回预期结构；三是页面与数据质量验证，检查系统图表、截图与质量报告是否符合论文展示要求。</w:t>
      </w:r>
    </w:p>
    <w:p w14:paraId="4BB56873">
      <w:pPr>
        <w:pStyle w:val="3"/>
        <w:spacing w:lineRule="exact" w:line="460" w:before="240" w:after="240"/>
        <w:jc w:val="left"/>
      </w:pPr>
      <w:bookmarkStart w:id="30" w:name="_Toc224859781"/>
      <w:r>
        <w:rPr>
          <w:rFonts w:ascii="Times New Roman" w:hAnsi="Times New Roman" w:eastAsia="黑体"/>
          <w:b/>
          <w:sz w:val="28"/>
        </w:rPr>
        <w:t>6.2 功能测试结果</w:t>
      </w:r>
      <w:bookmarkEnd w:id="30"/>
    </w:p>
    <w:p w14:paraId="0974D8D3">
      <w:pPr>
        <w:spacing w:lineRule="exact" w:line="460" w:before="0" w:after="0"/>
        <w:ind w:firstLine="420"/>
        <w:jc w:val="both"/>
      </w:pPr>
      <w:r>
        <w:rPr>
          <w:rFonts w:ascii="Times New Roman" w:hAnsi="Times New Roman" w:eastAsia="宋体"/>
          <w:sz w:val="24"/>
        </w:rPr>
        <w:t>项目测试目录中包含 test_analysis.py、test_api.py 和解析类测试文件。2026 年 4 月 18 日在临时 Python 3.12 环境中执行 pytest -q，分析逻辑与解析流程共 6 项通过；API 相关 2 项在 /Volumes/Users 挂载文件系统上因 DuckDB 写锁不受支持而失败。为排除文件系统限制影响，本文将数据库复制至 /tmp 本地路径后执行 API 功能验证与压力测试，6 个主要接口 50 次连续请求均返回 HTTP 200，说明接口逻辑本身可用。</w:t>
      </w:r>
    </w:p>
    <w:p>
      <w:pPr>
        <w:spacing w:lineRule="exact" w:line="460" w:before="0" w:after="0"/>
        <w:ind w:firstLine="420"/>
        <w:jc w:val="both"/>
      </w:pPr>
      <w:r>
        <w:rPr>
          <w:rFonts w:ascii="Times New Roman" w:hAnsi="Times New Roman" w:eastAsia="宋体"/>
          <w:sz w:val="24"/>
        </w:rPr>
        <w:t>API 压力测试结果显示，系统健康检查接口的平均响应时间为 190.84 ms，95 分位响应时间为 216.24 ms；合约查询、主力行情查询、波动率预测、VaR 和数据质量接口的平均响应时间均低于 20 ms，95 分位响应时间低于 21 ms。该结果表明，在毕业设计本地部署和答辩展示场景下，系统能够支持连续查询和图表切换。</w:t>
      </w:r>
    </w:p>
    <w:p w14:paraId="62AED058">
      <w:pPr>
        <w:keepLines/>
        <w:spacing w:before="0" w:after="0" w:lineRule="exact" w:line="460"/>
        <w:ind w:firstLine="0" w:left="0"/>
        <w:jc w:val="center"/>
      </w:pPr>
      <w:r>
        <w:rPr>
          <w:rFonts w:ascii="Times New Roman" w:hAnsi="Times New Roman" w:eastAsia="黑体"/>
          <w:b/>
          <w:sz w:val="24"/>
        </w:rPr>
        <w:t>表6.1 功能测试用例与结果</w:t>
      </w:r>
    </w:p>
    <w:tbl>
      <w:tblPr>
        <w:tblStyle w:val="21"/>
        <w:tblW w:w="0" w:type="auto"/>
        <w:jc w:val="center"/>
        <w:tblLayout w:type="autofit"/>
        <w:tblCellMar>
          <w:top w:w="0" w:type="dxa"/>
          <w:left w:w="108" w:type="dxa"/>
          <w:bottom w:w="0" w:type="dxa"/>
          <w:right w:w="108" w:type="dxa"/>
        </w:tblCellMar>
      </w:tblPr>
      <w:tblGrid>
        <w:gridCol w:w="2835"/>
        <w:gridCol w:w="2835"/>
        <w:gridCol w:w="2835"/>
      </w:tblGrid>
      <w:tr w14:paraId="17206E45">
        <w:tblPrEx>
          <w:tblCellMar>
            <w:top w:w="0" w:type="dxa"/>
            <w:left w:w="108" w:type="dxa"/>
            <w:bottom w:w="0" w:type="dxa"/>
            <w:right w:w="108" w:type="dxa"/>
          </w:tblCellMar>
        </w:tblPrEx>
        <w:trPr>
          <w:jc w:val="center"/>
        </w:trPr>
        <w:tc>
          <w:tcPr>
            <w:tcW w:w="2835" w:type="dxa"/>
            <w:tcBorders>
              <w:top w:val="single" w:color="000000" w:sz="12" w:space="0"/>
              <w:bottom w:val="single" w:color="000000" w:sz="12" w:space="0"/>
            </w:tcBorders>
            <w:vAlign w:val="center"/>
          </w:tcPr>
          <w:p>
            <w:pPr>
              <w:spacing w:lineRule="exact" w:line="360" w:before="0" w:after="0"/>
              <w:jc w:val="center"/>
            </w:pPr>
            <w:r>
              <w:rPr>
                <w:rFonts w:ascii="Times New Roman" w:hAnsi="Times New Roman" w:eastAsia="宋体"/>
                <w:sz w:val="21"/>
              </w:rPr>
              <w:t>测试项</w:t>
            </w:r>
          </w:p>
        </w:tc>
        <w:tc>
          <w:tcPr>
            <w:tcW w:w="2835" w:type="dxa"/>
            <w:tcBorders>
              <w:top w:val="single" w:color="000000" w:sz="12" w:space="0"/>
              <w:bottom w:val="single" w:color="000000" w:sz="12" w:space="0"/>
            </w:tcBorders>
            <w:vAlign w:val="center"/>
          </w:tcPr>
          <w:p>
            <w:pPr>
              <w:spacing w:lineRule="exact" w:line="360" w:before="0" w:after="0"/>
              <w:jc w:val="center"/>
            </w:pPr>
            <w:r>
              <w:rPr>
                <w:rFonts w:ascii="Times New Roman" w:hAnsi="Times New Roman" w:eastAsia="宋体"/>
                <w:sz w:val="21"/>
              </w:rPr>
              <w:t>测试内容</w:t>
            </w:r>
          </w:p>
        </w:tc>
        <w:tc>
          <w:tcPr>
            <w:tcW w:w="2835" w:type="dxa"/>
            <w:tcBorders>
              <w:top w:val="single" w:color="000000" w:sz="12" w:space="0"/>
              <w:bottom w:val="single" w:color="000000" w:sz="12" w:space="0"/>
            </w:tcBorders>
            <w:vAlign w:val="center"/>
          </w:tcPr>
          <w:p>
            <w:pPr>
              <w:spacing w:lineRule="exact" w:line="360" w:before="0" w:after="0"/>
              <w:jc w:val="center"/>
            </w:pPr>
            <w:r>
              <w:rPr>
                <w:rFonts w:ascii="Times New Roman" w:hAnsi="Times New Roman" w:eastAsia="宋体"/>
                <w:sz w:val="21"/>
              </w:rPr>
              <w:t>结果</w:t>
            </w:r>
          </w:p>
        </w:tc>
      </w:tr>
      <w:tr w14:paraId="231B3C66">
        <w:tblPrEx>
          <w:tblCellMar>
            <w:top w:w="0" w:type="dxa"/>
            <w:left w:w="108" w:type="dxa"/>
            <w:bottom w:w="0" w:type="dxa"/>
            <w:right w:w="108" w:type="dxa"/>
          </w:tblCellMar>
        </w:tblPrEx>
        <w:trPr>
          <w:jc w:val="center"/>
        </w:trPr>
        <w:tc>
          <w:tcPr>
            <w:tcW w:w="2835" w:type="dxa"/>
            <w:vAlign w:val="center"/>
          </w:tcPr>
          <w:p>
            <w:pPr>
              <w:spacing w:lineRule="exact" w:line="360" w:before="0" w:after="0"/>
              <w:jc w:val="center"/>
            </w:pPr>
            <w:r>
              <w:rPr>
                <w:rFonts w:ascii="Times New Roman" w:hAnsi="Times New Roman" w:eastAsia="宋体"/>
                <w:sz w:val="21"/>
              </w:rPr>
              <w:t>主力连续测试</w:t>
            </w:r>
          </w:p>
        </w:tc>
        <w:tc>
          <w:tcPr>
            <w:tcW w:w="2835" w:type="dxa"/>
            <w:vAlign w:val="center"/>
          </w:tcPr>
          <w:p>
            <w:pPr>
              <w:spacing w:lineRule="exact" w:line="360" w:before="0" w:after="0"/>
              <w:jc w:val="center"/>
            </w:pPr>
            <w:r>
              <w:rPr>
                <w:rFonts w:ascii="Times New Roman" w:hAnsi="Times New Roman" w:eastAsia="宋体"/>
                <w:sz w:val="21"/>
              </w:rPr>
              <w:t>验证持仓量优先规则能正确选择主力合约</w:t>
            </w:r>
          </w:p>
        </w:tc>
        <w:tc>
          <w:tcPr>
            <w:tcW w:w="2835" w:type="dxa"/>
            <w:vAlign w:val="center"/>
          </w:tcPr>
          <w:p>
            <w:pPr>
              <w:spacing w:lineRule="exact" w:line="360" w:before="0" w:after="0"/>
              <w:jc w:val="center"/>
            </w:pPr>
            <w:r>
              <w:rPr>
                <w:rFonts w:ascii="Times New Roman" w:hAnsi="Times New Roman" w:eastAsia="宋体"/>
                <w:sz w:val="21"/>
              </w:rPr>
              <w:t>通过</w:t>
            </w:r>
          </w:p>
        </w:tc>
      </w:tr>
      <w:tr w14:paraId="29A06181">
        <w:tblPrEx>
          <w:tblCellMar>
            <w:top w:w="0" w:type="dxa"/>
            <w:left w:w="108" w:type="dxa"/>
            <w:bottom w:w="0" w:type="dxa"/>
            <w:right w:w="108" w:type="dxa"/>
          </w:tblCellMar>
        </w:tblPrEx>
        <w:trPr>
          <w:jc w:val="center"/>
        </w:trPr>
        <w:tc>
          <w:tcPr>
            <w:tcW w:w="2835" w:type="dxa"/>
            <w:vAlign w:val="center"/>
          </w:tcPr>
          <w:p>
            <w:pPr>
              <w:spacing w:lineRule="exact" w:line="360" w:before="0" w:after="0"/>
              <w:jc w:val="center"/>
            </w:pPr>
            <w:r>
              <w:rPr>
                <w:rFonts w:ascii="Times New Roman" w:hAnsi="Times New Roman" w:eastAsia="宋体"/>
                <w:sz w:val="21"/>
              </w:rPr>
              <w:t>VaR 测试</w:t>
            </w:r>
          </w:p>
        </w:tc>
        <w:tc>
          <w:tcPr>
            <w:tcW w:w="2835" w:type="dxa"/>
            <w:vAlign w:val="center"/>
          </w:tcPr>
          <w:p>
            <w:pPr>
              <w:spacing w:lineRule="exact" w:line="360" w:before="0" w:after="0"/>
              <w:jc w:val="center"/>
            </w:pPr>
            <w:r>
              <w:rPr>
                <w:rFonts w:ascii="Times New Roman" w:hAnsi="Times New Roman" w:eastAsia="宋体"/>
                <w:sz w:val="21"/>
              </w:rPr>
              <w:t>验证 95% 置信水平、1 天持有期和 60 日回溯窗口下 VaR 返回正值</w:t>
            </w:r>
          </w:p>
        </w:tc>
        <w:tc>
          <w:tcPr>
            <w:tcW w:w="2835" w:type="dxa"/>
            <w:vAlign w:val="center"/>
          </w:tcPr>
          <w:p>
            <w:pPr>
              <w:spacing w:lineRule="exact" w:line="360" w:before="0" w:after="0"/>
              <w:jc w:val="center"/>
            </w:pPr>
            <w:r>
              <w:rPr>
                <w:rFonts w:ascii="Times New Roman" w:hAnsi="Times New Roman" w:eastAsia="宋体"/>
                <w:sz w:val="21"/>
              </w:rPr>
              <w:t>通过</w:t>
            </w:r>
          </w:p>
        </w:tc>
      </w:tr>
      <w:tr w14:paraId="1E788FF6">
        <w:tblPrEx>
          <w:tblCellMar>
            <w:top w:w="0" w:type="dxa"/>
            <w:left w:w="108" w:type="dxa"/>
            <w:bottom w:w="0" w:type="dxa"/>
            <w:right w:w="108" w:type="dxa"/>
          </w:tblCellMar>
        </w:tblPrEx>
        <w:trPr>
          <w:jc w:val="center"/>
        </w:trPr>
        <w:tc>
          <w:tcPr>
            <w:tcW w:w="2835" w:type="dxa"/>
            <w:vAlign w:val="center"/>
          </w:tcPr>
          <w:p>
            <w:pPr>
              <w:spacing w:lineRule="exact" w:line="360" w:before="0" w:after="0"/>
              <w:jc w:val="center"/>
            </w:pPr>
            <w:r>
              <w:rPr>
                <w:rFonts w:ascii="Times New Roman" w:hAnsi="Times New Roman" w:eastAsia="宋体"/>
                <w:sz w:val="21"/>
              </w:rPr>
              <w:t>波动率预测测试</w:t>
            </w:r>
          </w:p>
        </w:tc>
        <w:tc>
          <w:tcPr>
            <w:tcW w:w="2835" w:type="dxa"/>
            <w:vAlign w:val="center"/>
          </w:tcPr>
          <w:p>
            <w:pPr>
              <w:spacing w:lineRule="exact" w:line="360" w:before="0" w:after="0"/>
              <w:jc w:val="center"/>
            </w:pPr>
            <w:r>
              <w:rPr>
                <w:rFonts w:ascii="Times New Roman" w:hAnsi="Times New Roman" w:eastAsia="宋体"/>
                <w:sz w:val="21"/>
              </w:rPr>
              <w:t>验证预测结果包含预测值、误差与状态字段</w:t>
            </w:r>
          </w:p>
        </w:tc>
        <w:tc>
          <w:tcPr>
            <w:tcW w:w="2835" w:type="dxa"/>
            <w:vAlign w:val="center"/>
          </w:tcPr>
          <w:p>
            <w:pPr>
              <w:spacing w:lineRule="exact" w:line="360" w:before="0" w:after="0"/>
              <w:jc w:val="center"/>
            </w:pPr>
            <w:r>
              <w:rPr>
                <w:rFonts w:ascii="Times New Roman" w:hAnsi="Times New Roman" w:eastAsia="宋体"/>
                <w:sz w:val="21"/>
              </w:rPr>
              <w:t>通过</w:t>
            </w:r>
          </w:p>
        </w:tc>
      </w:tr>
      <w:tr w14:paraId="7582D7DA">
        <w:tblPrEx>
          <w:tblCellMar>
            <w:top w:w="0" w:type="dxa"/>
            <w:left w:w="108" w:type="dxa"/>
            <w:bottom w:w="0" w:type="dxa"/>
            <w:right w:w="108" w:type="dxa"/>
          </w:tblCellMar>
        </w:tblPrEx>
        <w:trPr>
          <w:jc w:val="center"/>
        </w:trPr>
        <w:tc>
          <w:tcPr>
            <w:tcW w:w="2835" w:type="dxa"/>
            <w:vAlign w:val="center"/>
          </w:tcPr>
          <w:p>
            <w:pPr>
              <w:spacing w:lineRule="exact" w:line="360" w:before="0" w:after="0"/>
              <w:jc w:val="center"/>
            </w:pPr>
            <w:r>
              <w:rPr>
                <w:rFonts w:ascii="Times New Roman" w:hAnsi="Times New Roman" w:eastAsia="宋体"/>
                <w:sz w:val="21"/>
              </w:rPr>
              <w:t>健康检查接口测试</w:t>
            </w:r>
          </w:p>
        </w:tc>
        <w:tc>
          <w:tcPr>
            <w:tcW w:w="2835" w:type="dxa"/>
            <w:vAlign w:val="center"/>
          </w:tcPr>
          <w:p>
            <w:pPr>
              <w:spacing w:lineRule="exact" w:line="360" w:before="0" w:after="0"/>
              <w:jc w:val="center"/>
            </w:pPr>
            <w:r>
              <w:rPr>
                <w:rFonts w:ascii="Times New Roman" w:hAnsi="Times New Roman" w:eastAsia="宋体"/>
                <w:sz w:val="21"/>
              </w:rPr>
              <w:t>验证系统健康接口返回状态、最新交易日和表信息</w:t>
            </w:r>
          </w:p>
        </w:tc>
        <w:tc>
          <w:tcPr>
            <w:tcW w:w="2835" w:type="dxa"/>
            <w:vAlign w:val="center"/>
          </w:tcPr>
          <w:p>
            <w:pPr>
              <w:spacing w:lineRule="exact" w:line="360" w:before="0" w:after="0"/>
              <w:jc w:val="center"/>
            </w:pPr>
            <w:r>
              <w:rPr>
                <w:rFonts w:ascii="Times New Roman" w:hAnsi="Times New Roman" w:eastAsia="宋体"/>
                <w:sz w:val="21"/>
              </w:rPr>
              <w:t>通过</w:t>
            </w:r>
          </w:p>
        </w:tc>
      </w:tr>
      <w:tr w14:paraId="1BB9C3BF">
        <w:tblPrEx>
          <w:tblCellMar>
            <w:top w:w="0" w:type="dxa"/>
            <w:left w:w="108" w:type="dxa"/>
            <w:bottom w:w="0" w:type="dxa"/>
            <w:right w:w="108" w:type="dxa"/>
          </w:tblCellMar>
        </w:tblPrEx>
        <w:trPr>
          <w:jc w:val="center"/>
        </w:trPr>
        <w:tc>
          <w:tcPr>
            <w:tcW w:w="2835" w:type="dxa"/>
            <w:vAlign w:val="center"/>
          </w:tcPr>
          <w:p>
            <w:pPr>
              <w:spacing w:lineRule="exact" w:line="360" w:before="0" w:after="0"/>
              <w:jc w:val="center"/>
            </w:pPr>
            <w:r>
              <w:rPr>
                <w:rFonts w:ascii="Times New Roman" w:hAnsi="Times New Roman" w:eastAsia="宋体"/>
                <w:sz w:val="21"/>
              </w:rPr>
              <w:t>行情刷新测试</w:t>
            </w:r>
          </w:p>
        </w:tc>
        <w:tc>
          <w:tcPr>
            <w:tcW w:w="2835" w:type="dxa"/>
            <w:vAlign w:val="center"/>
          </w:tcPr>
          <w:p>
            <w:pPr>
              <w:spacing w:lineRule="exact" w:line="360" w:before="0" w:after="0"/>
              <w:jc w:val="center"/>
            </w:pPr>
            <w:r>
              <w:rPr>
                <w:rFonts w:ascii="Times New Roman" w:hAnsi="Times New Roman" w:eastAsia="宋体"/>
                <w:sz w:val="21"/>
              </w:rPr>
              <w:t>验证主力行情接口支持 limit 参数并能在页面刷新时返回最新样本</w:t>
            </w:r>
          </w:p>
        </w:tc>
        <w:tc>
          <w:tcPr>
            <w:tcW w:w="2835" w:type="dxa"/>
            <w:vAlign w:val="center"/>
          </w:tcPr>
          <w:p>
            <w:pPr>
              <w:spacing w:lineRule="exact" w:line="360" w:before="0" w:after="0"/>
              <w:jc w:val="center"/>
            </w:pPr>
            <w:r>
              <w:rPr>
                <w:rFonts w:ascii="Times New Roman" w:hAnsi="Times New Roman" w:eastAsia="宋体"/>
                <w:sz w:val="21"/>
              </w:rPr>
              <w:t>通过</w:t>
            </w:r>
          </w:p>
        </w:tc>
      </w:tr>
      <w:tr w14:paraId="599779C4">
        <w:tblPrEx>
          <w:tblCellMar>
            <w:top w:w="0" w:type="dxa"/>
            <w:left w:w="108" w:type="dxa"/>
            <w:bottom w:w="0" w:type="dxa"/>
            <w:right w:w="108" w:type="dxa"/>
          </w:tblCellMar>
        </w:tblPrEx>
        <w:trPr>
          <w:jc w:val="center"/>
        </w:trPr>
        <w:tc>
          <w:tcPr>
            <w:tcW w:w="2835" w:type="dxa"/>
            <w:tcBorders>
              <w:bottom w:val="single" w:color="000000" w:sz="12" w:space="0"/>
            </w:tcBorders>
            <w:vAlign w:val="center"/>
          </w:tcPr>
          <w:p>
            <w:pPr>
              <w:spacing w:lineRule="exact" w:line="360" w:before="0" w:after="0"/>
              <w:jc w:val="center"/>
            </w:pPr>
            <w:r>
              <w:rPr>
                <w:rFonts w:ascii="Times New Roman" w:hAnsi="Times New Roman" w:eastAsia="宋体"/>
                <w:sz w:val="21"/>
              </w:rPr>
              <w:t>图表切换测试</w:t>
            </w:r>
          </w:p>
        </w:tc>
        <w:tc>
          <w:tcPr>
            <w:tcW w:w="2835" w:type="dxa"/>
            <w:tcBorders>
              <w:bottom w:val="single" w:color="000000" w:sz="12" w:space="0"/>
            </w:tcBorders>
            <w:vAlign w:val="center"/>
          </w:tcPr>
          <w:p>
            <w:pPr>
              <w:spacing w:lineRule="exact" w:line="360" w:before="0" w:after="0"/>
              <w:jc w:val="center"/>
            </w:pPr>
            <w:r>
              <w:rPr>
                <w:rFonts w:ascii="Times New Roman" w:hAnsi="Times New Roman" w:eastAsia="宋体"/>
                <w:sz w:val="21"/>
              </w:rPr>
              <w:t>验证趋势、波动率、VaR 和质量页面切换时数据结构保持一致</w:t>
            </w:r>
          </w:p>
        </w:tc>
        <w:tc>
          <w:tcPr>
            <w:tcW w:w="2835" w:type="dxa"/>
            <w:tcBorders>
              <w:bottom w:val="single" w:color="000000" w:sz="12" w:space="0"/>
            </w:tcBorders>
            <w:vAlign w:val="center"/>
          </w:tcPr>
          <w:p>
            <w:pPr>
              <w:spacing w:lineRule="exact" w:line="360" w:before="0" w:after="0"/>
              <w:jc w:val="center"/>
            </w:pPr>
            <w:r>
              <w:rPr>
                <w:rFonts w:ascii="Times New Roman" w:hAnsi="Times New Roman" w:eastAsia="宋体"/>
                <w:sz w:val="21"/>
              </w:rPr>
              <w:t>通过</w:t>
            </w:r>
          </w:p>
        </w:tc>
      </w:tr>
      <w:tr>
        <w:tc>
          <w:tcPr>
            <w:tcW w:type="dxa" w:w="2835"/>
          </w:tcPr>
          <w:p>
            <w:pPr>
              <w:spacing w:lineRule="exact" w:line="360" w:before="0" w:after="0"/>
              <w:jc w:val="center"/>
            </w:pPr>
            <w:r>
              <w:rPr>
                <w:rFonts w:ascii="Times New Roman" w:hAnsi="Times New Roman" w:eastAsia="宋体"/>
                <w:sz w:val="21"/>
              </w:rPr>
              <w:t>API 压力测试</w:t>
            </w:r>
          </w:p>
        </w:tc>
        <w:tc>
          <w:tcPr>
            <w:tcW w:type="dxa" w:w="2835"/>
          </w:tcPr>
          <w:p>
            <w:pPr>
              <w:spacing w:lineRule="exact" w:line="360" w:before="0" w:after="0"/>
              <w:jc w:val="center"/>
            </w:pPr>
            <w:r>
              <w:rPr>
                <w:rFonts w:ascii="Times New Roman" w:hAnsi="Times New Roman" w:eastAsia="宋体"/>
                <w:sz w:val="21"/>
              </w:rPr>
              <w:t>在本地数据库副本上对 6 个主要接口各连续请求 50 次</w:t>
            </w:r>
          </w:p>
        </w:tc>
        <w:tc>
          <w:tcPr>
            <w:tcW w:type="dxa" w:w="2835"/>
          </w:tcPr>
          <w:p>
            <w:pPr>
              <w:spacing w:lineRule="exact" w:line="360" w:before="0" w:after="0"/>
              <w:jc w:val="center"/>
            </w:pPr>
            <w:r>
              <w:rPr>
                <w:rFonts w:ascii="Times New Roman" w:hAnsi="Times New Roman" w:eastAsia="宋体"/>
                <w:sz w:val="21"/>
              </w:rPr>
              <w:t>通过</w:t>
            </w:r>
          </w:p>
        </w:tc>
      </w:tr>
      <w:tr>
        <w:tc>
          <w:tcPr>
            <w:tcW w:type="dxa" w:w="2835"/>
          </w:tcPr>
          <w:p>
            <w:pPr>
              <w:spacing w:lineRule="exact" w:line="360" w:before="0" w:after="0"/>
              <w:jc w:val="center"/>
            </w:pPr>
            <w:r>
              <w:rPr>
                <w:rFonts w:ascii="Times New Roman" w:hAnsi="Times New Roman" w:eastAsia="宋体"/>
                <w:sz w:val="21"/>
              </w:rPr>
              <w:t>解析流程测试</w:t>
            </w:r>
          </w:p>
        </w:tc>
        <w:tc>
          <w:tcPr>
            <w:tcW w:type="dxa" w:w="2835"/>
          </w:tcPr>
          <w:p>
            <w:pPr>
              <w:spacing w:lineRule="exact" w:line="360" w:before="0" w:after="0"/>
              <w:jc w:val="center"/>
            </w:pPr>
            <w:r>
              <w:rPr>
                <w:rFonts w:ascii="Times New Roman" w:hAnsi="Times New Roman" w:eastAsia="宋体"/>
                <w:sz w:val="21"/>
              </w:rPr>
              <w:t>验证公开数据解析结构符合预期</w:t>
            </w:r>
          </w:p>
        </w:tc>
        <w:tc>
          <w:tcPr>
            <w:tcW w:type="dxa" w:w="2835"/>
          </w:tcPr>
          <w:p>
            <w:pPr>
              <w:spacing w:lineRule="exact" w:line="360" w:before="0" w:after="0"/>
              <w:jc w:val="center"/>
            </w:pPr>
            <w:r>
              <w:rPr>
                <w:rFonts w:ascii="Times New Roman" w:hAnsi="Times New Roman" w:eastAsia="宋体"/>
                <w:sz w:val="21"/>
              </w:rPr>
              <w:t>通过</w:t>
            </w:r>
          </w:p>
        </w:tc>
      </w:tr>
    </w:tbl>
    <w:p w14:paraId="23272D54">
      <w:pPr>
        <w:pStyle w:val="3"/>
        <w:spacing w:lineRule="exact" w:line="460" w:before="240" w:after="240"/>
        <w:jc w:val="left"/>
      </w:pPr>
      <w:bookmarkStart w:id="31" w:name="_Toc224859782"/>
      <w:r>
        <w:rPr>
          <w:rFonts w:ascii="Times New Roman" w:hAnsi="Times New Roman" w:eastAsia="黑体"/>
          <w:b/>
          <w:sz w:val="28"/>
        </w:rPr>
        <w:t>6.3 数据规模与质量分析</w:t>
      </w:r>
      <w:bookmarkEnd w:id="31"/>
    </w:p>
    <w:p w14:paraId="3102C7EF">
      <w:pPr>
        <w:keepLines/>
        <w:spacing w:before="0" w:after="0" w:lineRule="exact" w:line="460"/>
        <w:ind w:firstLine="0" w:left="0"/>
        <w:jc w:val="center"/>
      </w:pPr>
      <w:r>
        <w:rPr>
          <w:rFonts w:ascii="Times New Roman" w:hAnsi="Times New Roman" w:eastAsia="黑体"/>
          <w:b/>
          <w:sz w:val="24"/>
        </w:rPr>
        <w:t>表6.2 数据集规模与质量统计</w:t>
      </w:r>
    </w:p>
    <w:tbl>
      <w:tblPr>
        <w:tblStyle w:val="21"/>
        <w:tblW w:w="0" w:type="auto"/>
        <w:jc w:val="center"/>
        <w:tblLayout w:type="autofit"/>
        <w:tblCellMar>
          <w:top w:w="0" w:type="dxa"/>
          <w:left w:w="108" w:type="dxa"/>
          <w:bottom w:w="0" w:type="dxa"/>
          <w:right w:w="108" w:type="dxa"/>
        </w:tblCellMar>
      </w:tblPr>
      <w:tblGrid>
        <w:gridCol w:w="1701"/>
        <w:gridCol w:w="1701"/>
        <w:gridCol w:w="1701"/>
        <w:gridCol w:w="1701"/>
        <w:gridCol w:w="1701"/>
      </w:tblGrid>
      <w:tr w14:paraId="366F5F33">
        <w:tblPrEx>
          <w:tblCellMar>
            <w:top w:w="0" w:type="dxa"/>
            <w:left w:w="108" w:type="dxa"/>
            <w:bottom w:w="0" w:type="dxa"/>
            <w:right w:w="108" w:type="dxa"/>
          </w:tblCellMar>
        </w:tblPrEx>
        <w:trPr>
          <w:jc w:val="center"/>
        </w:trPr>
        <w:tc>
          <w:tcPr>
            <w:tcW w:w="1701" w:type="dxa"/>
            <w:tcBorders>
              <w:top w:val="single" w:color="000000" w:sz="12" w:space="0"/>
              <w:bottom w:val="single" w:color="000000" w:sz="12" w:space="0"/>
            </w:tcBorders>
            <w:vAlign w:val="center"/>
          </w:tcPr>
          <w:p w14:paraId="52BCDC30">
            <w:pPr>
              <w:spacing w:line="360" w:lineRule="exact"/>
              <w:ind w:firstLine="0"/>
              <w:jc w:val="center"/>
            </w:pPr>
            <w:r>
              <w:rPr>
                <w:b/>
                <w:sz w:val="20"/>
              </w:rPr>
              <w:t>数据集</w:t>
            </w:r>
          </w:p>
        </w:tc>
        <w:tc>
          <w:tcPr>
            <w:tcW w:w="1701" w:type="dxa"/>
            <w:tcBorders>
              <w:top w:val="single" w:color="000000" w:sz="12" w:space="0"/>
              <w:bottom w:val="single" w:color="000000" w:sz="12" w:space="0"/>
            </w:tcBorders>
            <w:vAlign w:val="center"/>
          </w:tcPr>
          <w:p w14:paraId="3257F867">
            <w:pPr>
              <w:spacing w:line="360" w:lineRule="exact"/>
              <w:ind w:firstLine="0"/>
              <w:jc w:val="center"/>
            </w:pPr>
            <w:r>
              <w:rPr>
                <w:b/>
                <w:sz w:val="20"/>
              </w:rPr>
              <w:t>记录数</w:t>
            </w:r>
          </w:p>
        </w:tc>
        <w:tc>
          <w:tcPr>
            <w:tcW w:w="1701" w:type="dxa"/>
            <w:tcBorders>
              <w:top w:val="single" w:color="000000" w:sz="12" w:space="0"/>
              <w:bottom w:val="single" w:color="000000" w:sz="12" w:space="0"/>
            </w:tcBorders>
            <w:vAlign w:val="center"/>
          </w:tcPr>
          <w:p w14:paraId="73E14E86">
            <w:pPr>
              <w:spacing w:line="360" w:lineRule="exact"/>
              <w:ind w:firstLine="0"/>
              <w:jc w:val="center"/>
            </w:pPr>
            <w:r>
              <w:rPr>
                <w:b/>
                <w:sz w:val="20"/>
              </w:rPr>
              <w:t>时间范围</w:t>
            </w:r>
          </w:p>
        </w:tc>
        <w:tc>
          <w:tcPr>
            <w:tcW w:w="1701" w:type="dxa"/>
            <w:tcBorders>
              <w:top w:val="single" w:color="000000" w:sz="12" w:space="0"/>
              <w:bottom w:val="single" w:color="000000" w:sz="12" w:space="0"/>
            </w:tcBorders>
            <w:vAlign w:val="center"/>
          </w:tcPr>
          <w:p w14:paraId="258E52FB">
            <w:pPr>
              <w:spacing w:line="360" w:lineRule="exact"/>
              <w:ind w:firstLine="0"/>
              <w:jc w:val="center"/>
            </w:pPr>
            <w:r>
              <w:rPr>
                <w:b/>
                <w:sz w:val="20"/>
              </w:rPr>
              <w:t>成功率</w:t>
            </w:r>
          </w:p>
        </w:tc>
        <w:tc>
          <w:tcPr>
            <w:tcW w:w="1701" w:type="dxa"/>
            <w:tcBorders>
              <w:top w:val="single" w:color="000000" w:sz="12" w:space="0"/>
              <w:bottom w:val="single" w:color="000000" w:sz="12" w:space="0"/>
            </w:tcBorders>
            <w:vAlign w:val="center"/>
          </w:tcPr>
          <w:p w14:paraId="60123B07">
            <w:pPr>
              <w:spacing w:line="360" w:lineRule="exact"/>
              <w:ind w:firstLine="0"/>
              <w:jc w:val="center"/>
            </w:pPr>
            <w:r>
              <w:rPr>
                <w:b/>
                <w:sz w:val="20"/>
              </w:rPr>
              <w:t>缺失率</w:t>
            </w:r>
          </w:p>
        </w:tc>
      </w:tr>
      <w:tr w14:paraId="619A530C">
        <w:tblPrEx>
          <w:tblCellMar>
            <w:top w:w="0" w:type="dxa"/>
            <w:left w:w="108" w:type="dxa"/>
            <w:bottom w:w="0" w:type="dxa"/>
            <w:right w:w="108" w:type="dxa"/>
          </w:tblCellMar>
        </w:tblPrEx>
        <w:trPr>
          <w:jc w:val="center"/>
        </w:trPr>
        <w:tc>
          <w:tcPr>
            <w:tcW w:w="1701" w:type="dxa"/>
            <w:vAlign w:val="center"/>
          </w:tcPr>
          <w:p w14:paraId="69A3F154">
            <w:pPr>
              <w:spacing w:line="360" w:lineRule="exact"/>
              <w:ind w:firstLine="0"/>
              <w:jc w:val="center"/>
            </w:pPr>
            <w:r>
              <w:rPr>
                <w:sz w:val="20"/>
              </w:rPr>
              <w:t>futures_daily</w:t>
            </w:r>
          </w:p>
        </w:tc>
        <w:tc>
          <w:tcPr>
            <w:tcW w:w="1701" w:type="dxa"/>
            <w:vAlign w:val="center"/>
          </w:tcPr>
          <w:p w14:paraId="516E207F">
            <w:pPr>
              <w:spacing w:line="360" w:lineRule="exact"/>
              <w:ind w:firstLine="0"/>
              <w:jc w:val="center"/>
            </w:pPr>
            <w:r>
              <w:rPr>
                <w:sz w:val="20"/>
              </w:rPr>
              <w:t>912</w:t>
            </w:r>
          </w:p>
        </w:tc>
        <w:tc>
          <w:tcPr>
            <w:tcW w:w="1701" w:type="dxa"/>
            <w:vAlign w:val="center"/>
          </w:tcPr>
          <w:p w14:paraId="08E18115">
            <w:pPr>
              <w:spacing w:line="360" w:lineRule="exact"/>
              <w:ind w:firstLine="0"/>
              <w:jc w:val="center"/>
            </w:pPr>
            <w:r>
              <w:rPr>
                <w:sz w:val="20"/>
              </w:rPr>
              <w:t>2025-12-19 至 2026-03-19</w:t>
            </w:r>
          </w:p>
        </w:tc>
        <w:tc>
          <w:tcPr>
            <w:tcW w:w="1701" w:type="dxa"/>
            <w:vAlign w:val="center"/>
          </w:tcPr>
          <w:p w14:paraId="4E21A70B">
            <w:pPr>
              <w:spacing w:line="360" w:lineRule="exact"/>
              <w:ind w:firstLine="0"/>
              <w:jc w:val="center"/>
            </w:pPr>
            <w:r>
              <w:rPr>
                <w:sz w:val="20"/>
              </w:rPr>
              <w:t>87.6923%</w:t>
            </w:r>
          </w:p>
        </w:tc>
        <w:tc>
          <w:tcPr>
            <w:tcW w:w="1701" w:type="dxa"/>
            <w:vAlign w:val="center"/>
          </w:tcPr>
          <w:p w14:paraId="7C123579">
            <w:pPr>
              <w:spacing w:line="360" w:lineRule="exact"/>
              <w:ind w:firstLine="0"/>
              <w:jc w:val="center"/>
            </w:pPr>
            <w:r>
              <w:rPr>
                <w:sz w:val="20"/>
              </w:rPr>
              <w:t>0</w:t>
            </w:r>
          </w:p>
        </w:tc>
      </w:tr>
      <w:tr w14:paraId="7CF04671">
        <w:tblPrEx>
          <w:tblCellMar>
            <w:top w:w="0" w:type="dxa"/>
            <w:left w:w="108" w:type="dxa"/>
            <w:bottom w:w="0" w:type="dxa"/>
            <w:right w:w="108" w:type="dxa"/>
          </w:tblCellMar>
        </w:tblPrEx>
        <w:trPr>
          <w:jc w:val="center"/>
        </w:trPr>
        <w:tc>
          <w:tcPr>
            <w:tcW w:w="1701" w:type="dxa"/>
            <w:vAlign w:val="center"/>
          </w:tcPr>
          <w:p w14:paraId="7870E95E">
            <w:pPr>
              <w:spacing w:line="360" w:lineRule="exact"/>
              <w:ind w:firstLine="0"/>
              <w:jc w:val="center"/>
            </w:pPr>
            <w:r>
              <w:rPr>
                <w:sz w:val="20"/>
              </w:rPr>
              <w:t>macro_series</w:t>
            </w:r>
          </w:p>
        </w:tc>
        <w:tc>
          <w:tcPr>
            <w:tcW w:w="1701" w:type="dxa"/>
            <w:vAlign w:val="center"/>
          </w:tcPr>
          <w:p w14:paraId="1EB5BE93">
            <w:pPr>
              <w:spacing w:line="360" w:lineRule="exact"/>
              <w:ind w:firstLine="0"/>
              <w:jc w:val="center"/>
            </w:pPr>
            <w:r>
              <w:rPr>
                <w:sz w:val="20"/>
              </w:rPr>
              <w:t>18</w:t>
            </w:r>
          </w:p>
        </w:tc>
        <w:tc>
          <w:tcPr>
            <w:tcW w:w="1701" w:type="dxa"/>
            <w:vAlign w:val="center"/>
          </w:tcPr>
          <w:p w14:paraId="3D5CD7F5">
            <w:pPr>
              <w:spacing w:line="360" w:lineRule="exact"/>
              <w:ind w:firstLine="0"/>
              <w:jc w:val="center"/>
            </w:pPr>
            <w:r>
              <w:rPr>
                <w:sz w:val="20"/>
              </w:rPr>
              <w:t>2026-01-31 至 2026-03-19</w:t>
            </w:r>
          </w:p>
        </w:tc>
        <w:tc>
          <w:tcPr>
            <w:tcW w:w="1701" w:type="dxa"/>
            <w:vAlign w:val="center"/>
          </w:tcPr>
          <w:p w14:paraId="2DD5A194">
            <w:pPr>
              <w:spacing w:line="360" w:lineRule="exact"/>
              <w:ind w:firstLine="0"/>
              <w:jc w:val="center"/>
            </w:pPr>
            <w:r>
              <w:rPr>
                <w:sz w:val="20"/>
              </w:rPr>
              <w:t>100%</w:t>
            </w:r>
          </w:p>
        </w:tc>
        <w:tc>
          <w:tcPr>
            <w:tcW w:w="1701" w:type="dxa"/>
            <w:vAlign w:val="center"/>
          </w:tcPr>
          <w:p w14:paraId="77A480DB">
            <w:pPr>
              <w:spacing w:line="360" w:lineRule="exact"/>
              <w:ind w:firstLine="0"/>
              <w:jc w:val="center"/>
            </w:pPr>
            <w:r>
              <w:rPr>
                <w:sz w:val="20"/>
              </w:rPr>
              <w:t>0</w:t>
            </w:r>
          </w:p>
        </w:tc>
      </w:tr>
      <w:tr w14:paraId="6D6BF455">
        <w:tblPrEx>
          <w:tblCellMar>
            <w:top w:w="0" w:type="dxa"/>
            <w:left w:w="108" w:type="dxa"/>
            <w:bottom w:w="0" w:type="dxa"/>
            <w:right w:w="108" w:type="dxa"/>
          </w:tblCellMar>
        </w:tblPrEx>
        <w:trPr>
          <w:jc w:val="center"/>
        </w:trPr>
        <w:tc>
          <w:tcPr>
            <w:tcW w:w="1701" w:type="dxa"/>
            <w:tcBorders>
              <w:bottom w:val="single" w:color="000000" w:sz="12" w:space="0"/>
            </w:tcBorders>
            <w:vAlign w:val="center"/>
          </w:tcPr>
          <w:p w14:paraId="28CB6B0B">
            <w:pPr>
              <w:spacing w:line="360" w:lineRule="exact"/>
              <w:ind w:firstLine="0"/>
              <w:jc w:val="center"/>
            </w:pPr>
            <w:r>
              <w:rPr>
                <w:sz w:val="20"/>
              </w:rPr>
              <w:t>notice_events</w:t>
            </w:r>
          </w:p>
        </w:tc>
        <w:tc>
          <w:tcPr>
            <w:tcW w:w="1701" w:type="dxa"/>
            <w:tcBorders>
              <w:bottom w:val="single" w:color="000000" w:sz="12" w:space="0"/>
            </w:tcBorders>
            <w:vAlign w:val="center"/>
          </w:tcPr>
          <w:p w14:paraId="1ED64091">
            <w:pPr>
              <w:spacing w:line="360" w:lineRule="exact"/>
              <w:ind w:firstLine="0"/>
              <w:jc w:val="center"/>
            </w:pPr>
            <w:r>
              <w:rPr>
                <w:sz w:val="20"/>
              </w:rPr>
              <w:t>20</w:t>
            </w:r>
          </w:p>
        </w:tc>
        <w:tc>
          <w:tcPr>
            <w:tcW w:w="1701" w:type="dxa"/>
            <w:tcBorders>
              <w:bottom w:val="single" w:color="000000" w:sz="12" w:space="0"/>
            </w:tcBorders>
            <w:vAlign w:val="center"/>
          </w:tcPr>
          <w:p w14:paraId="1C77BDAA">
            <w:pPr>
              <w:spacing w:line="360" w:lineRule="exact"/>
              <w:ind w:firstLine="0"/>
              <w:jc w:val="center"/>
            </w:pPr>
            <w:r>
              <w:rPr>
                <w:sz w:val="20"/>
              </w:rPr>
              <w:t>2025-06-13 至 2026-03-18</w:t>
            </w:r>
          </w:p>
        </w:tc>
        <w:tc>
          <w:tcPr>
            <w:tcW w:w="1701" w:type="dxa"/>
            <w:tcBorders>
              <w:bottom w:val="single" w:color="000000" w:sz="12" w:space="0"/>
            </w:tcBorders>
            <w:vAlign w:val="center"/>
          </w:tcPr>
          <w:p w14:paraId="38B3E512">
            <w:pPr>
              <w:spacing w:line="360" w:lineRule="exact"/>
              <w:ind w:firstLine="0"/>
              <w:jc w:val="center"/>
            </w:pPr>
            <w:r>
              <w:rPr>
                <w:sz w:val="20"/>
              </w:rPr>
              <w:t>100%</w:t>
            </w:r>
          </w:p>
        </w:tc>
        <w:tc>
          <w:tcPr>
            <w:tcW w:w="1701" w:type="dxa"/>
            <w:tcBorders>
              <w:bottom w:val="single" w:color="000000" w:sz="12" w:space="0"/>
            </w:tcBorders>
            <w:vAlign w:val="center"/>
          </w:tcPr>
          <w:p w14:paraId="6867B3DC">
            <w:pPr>
              <w:spacing w:line="360" w:lineRule="exact"/>
              <w:ind w:firstLine="0"/>
              <w:jc w:val="center"/>
            </w:pPr>
            <w:r>
              <w:rPr>
                <w:sz w:val="20"/>
              </w:rPr>
              <w:t>0</w:t>
            </w:r>
          </w:p>
        </w:tc>
      </w:tr>
    </w:tbl>
    <w:p w14:paraId="618952EB">
      <w:r>
        <w:t>其中，futures_daily 的成功率低于 100%，主要原因是回溯抓取历史日统计时，部分日期返回了解析错误或非交易日页面。系统将这些失败或跳过情况统一记录在 ingestion_log 中，并不会误写入标准层数据，因此整体质量仍可控。对毕业设计场景而言，更重要的是保留抓取日志和失败记录，而不是人为掩盖问题。</w:t>
      </w:r>
    </w:p>
    <w:p w14:paraId="6C3EECE4">
      <w:pPr>
        <w:keepNext/>
        <w:keepLines/>
        <w:spacing w:line="240" w:lineRule="auto"/>
        <w:ind w:firstLine="0"/>
        <w:jc w:val="center"/>
      </w:pPr>
      <w:r>
        <w:pict>
          <v:shape id="_x0000_i1027" o:spt="75" type="#_x0000_t75" style="height:175.9pt;width:403.2pt;" filled="f" o:preferrelative="t" stroked="f" coordsize="21600,21600">
            <v:path/>
            <v:fill on="f" focussize="0,0"/>
            <v:stroke on="f"/>
            <v:imagedata r:id="rId24" o:title=""/>
            <o:lock v:ext="edit" aspectratio="t"/>
            <w10:wrap type="none"/>
            <w10:anchorlock/>
          </v:shape>
        </w:pict>
      </w:r>
    </w:p>
    <w:p w14:paraId="4512D9C5">
      <w:pPr>
        <w:keepLines/>
        <w:spacing w:before="0" w:after="0" w:lineRule="exact" w:line="460"/>
        <w:ind w:firstLine="0" w:left="0"/>
        <w:jc w:val="center"/>
      </w:pPr>
      <w:r>
        <w:rPr>
          <w:rFonts w:ascii="Times New Roman" w:hAnsi="Times New Roman" w:eastAsia="黑体"/>
          <w:b/>
          <w:sz w:val="24"/>
        </w:rPr>
        <w:t>图6.1 数据质量统计图</w:t>
      </w:r>
    </w:p>
    <w:p w14:paraId="7F39269D">
      <w:r>
        <w:t>从质量报告可以看出，系统已经具备对数据规模、缺失率和抓取成功率的自动统计能力，这对后续扩展新的数据源或调整抓取窗口具有实际价值。</w:t>
      </w:r>
    </w:p>
    <w:p>
      <w:pPr>
        <w:spacing w:lineRule="exact" w:line="460" w:before="0" w:after="0"/>
        <w:ind w:firstLine="420"/>
        <w:jc w:val="both"/>
      </w:pPr>
      <w:r>
        <w:rPr>
          <w:rFonts w:ascii="Times New Roman" w:hAnsi="Times New Roman" w:eastAsia="宋体"/>
          <w:sz w:val="24"/>
        </w:rPr>
        <w:t>为进一步体现大数据分析能力，本文使用 DuckDB 在本地数据库副本上构造百万级扫描聚合基准。通过对 futures_daily 表进行 range 扩展，形成约 1003200 行模拟扫描数据，并按品种完成聚合统计，8 次运行平均耗时约 0.0047 s。该测试依赖 DuckDB 的向量化执行和本地缓存环境，不能等同于生产集群性能，但能够说明 DuckDB 在单机 OLAP 查询场景下具备较高响应速度。</w:t>
      </w:r>
    </w:p>
    <w:p w14:paraId="4E8B6340">
      <w:pPr>
        <w:pStyle w:val="3"/>
        <w:spacing w:lineRule="exact" w:line="460" w:before="240" w:after="240"/>
        <w:jc w:val="left"/>
      </w:pPr>
      <w:bookmarkStart w:id="32" w:name="_Toc224859783"/>
      <w:r>
        <w:rPr>
          <w:rFonts w:ascii="Times New Roman" w:hAnsi="Times New Roman" w:eastAsia="黑体"/>
          <w:b/>
          <w:sz w:val="28"/>
        </w:rPr>
        <w:t>6.4 分析结果展示</w:t>
      </w:r>
      <w:bookmarkEnd w:id="32"/>
    </w:p>
    <w:p w14:paraId="546B5ECC">
      <w:r>
        <w:t>系统在最新交易日 2026 年 3 月 19 日生成的分析快照如表 6-3 所示。</w:t>
      </w:r>
    </w:p>
    <w:p w14:paraId="36209C11">
      <w:pPr>
        <w:keepLines/>
        <w:spacing w:before="0" w:after="0" w:lineRule="exact" w:line="460"/>
        <w:ind w:firstLine="0" w:left="0"/>
        <w:jc w:val="center"/>
      </w:pPr>
      <w:r>
        <w:rPr>
          <w:rFonts w:ascii="Times New Roman" w:hAnsi="Times New Roman" w:eastAsia="黑体"/>
          <w:b/>
          <w:sz w:val="24"/>
        </w:rPr>
        <w:t>表6.3 最新分析快照结果表</w:t>
      </w:r>
    </w:p>
    <w:tbl>
      <w:tblPr>
        <w:tblStyle w:val="21"/>
        <w:tblW w:w="0" w:type="auto"/>
        <w:jc w:val="center"/>
        <w:tblLayout w:type="autofit"/>
        <w:tblCellMar>
          <w:top w:w="0" w:type="dxa"/>
          <w:left w:w="108" w:type="dxa"/>
          <w:bottom w:w="0" w:type="dxa"/>
          <w:right w:w="108" w:type="dxa"/>
        </w:tblCellMar>
      </w:tblPr>
      <w:tblGrid>
        <w:gridCol w:w="1063"/>
        <w:gridCol w:w="1063"/>
        <w:gridCol w:w="1063"/>
        <w:gridCol w:w="1063"/>
        <w:gridCol w:w="1063"/>
        <w:gridCol w:w="1063"/>
        <w:gridCol w:w="1063"/>
        <w:gridCol w:w="1063"/>
      </w:tblGrid>
      <w:tr w14:paraId="3247B482">
        <w:tblPrEx>
          <w:tblCellMar>
            <w:top w:w="0" w:type="dxa"/>
            <w:left w:w="108" w:type="dxa"/>
            <w:bottom w:w="0" w:type="dxa"/>
            <w:right w:w="108" w:type="dxa"/>
          </w:tblCellMar>
        </w:tblPrEx>
        <w:trPr>
          <w:jc w:val="center"/>
        </w:trPr>
        <w:tc>
          <w:tcPr>
            <w:tcW w:w="1063" w:type="dxa"/>
            <w:tcBorders>
              <w:top w:val="single" w:color="000000" w:sz="12" w:space="0"/>
              <w:bottom w:val="single" w:color="000000" w:sz="12" w:space="0"/>
            </w:tcBorders>
            <w:vAlign w:val="center"/>
          </w:tcPr>
          <w:p w14:paraId="1C0FF77E">
            <w:pPr>
              <w:spacing w:line="360" w:lineRule="exact"/>
              <w:ind w:firstLine="0"/>
              <w:jc w:val="center"/>
            </w:pPr>
            <w:r>
              <w:rPr>
                <w:b/>
                <w:sz w:val="20"/>
              </w:rPr>
              <w:t>品种</w:t>
            </w:r>
          </w:p>
        </w:tc>
        <w:tc>
          <w:tcPr>
            <w:tcW w:w="1063" w:type="dxa"/>
            <w:tcBorders>
              <w:top w:val="single" w:color="000000" w:sz="12" w:space="0"/>
              <w:bottom w:val="single" w:color="000000" w:sz="12" w:space="0"/>
            </w:tcBorders>
            <w:vAlign w:val="center"/>
          </w:tcPr>
          <w:p w14:paraId="2B9662E8">
            <w:pPr>
              <w:spacing w:line="360" w:lineRule="exact"/>
              <w:ind w:firstLine="0"/>
              <w:jc w:val="center"/>
            </w:pPr>
            <w:r>
              <w:rPr>
                <w:b/>
                <w:sz w:val="20"/>
              </w:rPr>
              <w:t>主力合约</w:t>
            </w:r>
          </w:p>
        </w:tc>
        <w:tc>
          <w:tcPr>
            <w:tcW w:w="1063" w:type="dxa"/>
            <w:tcBorders>
              <w:top w:val="single" w:color="000000" w:sz="12" w:space="0"/>
              <w:bottom w:val="single" w:color="000000" w:sz="12" w:space="0"/>
            </w:tcBorders>
            <w:vAlign w:val="center"/>
          </w:tcPr>
          <w:p w14:paraId="435D38B8">
            <w:pPr>
              <w:spacing w:line="360" w:lineRule="exact"/>
              <w:ind w:firstLine="0"/>
              <w:jc w:val="center"/>
            </w:pPr>
            <w:r>
              <w:rPr>
                <w:b/>
                <w:sz w:val="20"/>
              </w:rPr>
              <w:t>收盘价</w:t>
            </w:r>
          </w:p>
        </w:tc>
        <w:tc>
          <w:tcPr>
            <w:tcW w:w="1063" w:type="dxa"/>
            <w:tcBorders>
              <w:top w:val="single" w:color="000000" w:sz="12" w:space="0"/>
              <w:bottom w:val="single" w:color="000000" w:sz="12" w:space="0"/>
            </w:tcBorders>
            <w:vAlign w:val="center"/>
          </w:tcPr>
          <w:p w14:paraId="6A55CDE6">
            <w:pPr>
              <w:spacing w:line="360" w:lineRule="exact"/>
              <w:ind w:firstLine="0"/>
              <w:jc w:val="center"/>
            </w:pPr>
            <w:r>
              <w:rPr>
                <w:b/>
                <w:sz w:val="20"/>
              </w:rPr>
              <w:t>日收益率</w:t>
            </w:r>
          </w:p>
        </w:tc>
        <w:tc>
          <w:tcPr>
            <w:tcW w:w="1063" w:type="dxa"/>
            <w:tcBorders>
              <w:top w:val="single" w:color="000000" w:sz="12" w:space="0"/>
              <w:bottom w:val="single" w:color="000000" w:sz="12" w:space="0"/>
            </w:tcBorders>
            <w:vAlign w:val="center"/>
          </w:tcPr>
          <w:p w14:paraId="78C8CF56">
            <w:pPr>
              <w:spacing w:line="360" w:lineRule="exact"/>
              <w:ind w:firstLine="0"/>
              <w:jc w:val="center"/>
            </w:pPr>
            <w:r>
              <w:rPr>
                <w:b/>
                <w:sz w:val="20"/>
              </w:rPr>
              <w:t>20日波动率</w:t>
            </w:r>
          </w:p>
        </w:tc>
        <w:tc>
          <w:tcPr>
            <w:tcW w:w="1063" w:type="dxa"/>
            <w:tcBorders>
              <w:top w:val="single" w:color="000000" w:sz="12" w:space="0"/>
              <w:bottom w:val="single" w:color="000000" w:sz="12" w:space="0"/>
            </w:tcBorders>
            <w:vAlign w:val="center"/>
          </w:tcPr>
          <w:p w14:paraId="4AC70DD4">
            <w:pPr>
              <w:spacing w:line="360" w:lineRule="exact"/>
              <w:ind w:firstLine="0"/>
              <w:jc w:val="center"/>
            </w:pPr>
            <w:r>
              <w:rPr>
                <w:b/>
                <w:sz w:val="20"/>
              </w:rPr>
              <w:t>5日预测波动率</w:t>
            </w:r>
          </w:p>
        </w:tc>
        <w:tc>
          <w:tcPr>
            <w:tcW w:w="1063" w:type="dxa"/>
            <w:tcBorders>
              <w:top w:val="single" w:color="000000" w:sz="12" w:space="0"/>
              <w:bottom w:val="single" w:color="000000" w:sz="12" w:space="0"/>
            </w:tcBorders>
            <w:vAlign w:val="center"/>
          </w:tcPr>
          <w:p w14:paraId="516A53F5">
            <w:pPr>
              <w:spacing w:line="360" w:lineRule="exact"/>
              <w:ind w:firstLine="0"/>
              <w:jc w:val="center"/>
            </w:pPr>
            <w:r>
              <w:rPr>
                <w:b/>
                <w:sz w:val="20"/>
              </w:rPr>
              <w:t>风险等级</w:t>
            </w:r>
          </w:p>
        </w:tc>
        <w:tc>
          <w:tcPr>
            <w:tcW w:w="1063" w:type="dxa"/>
            <w:tcBorders>
              <w:top w:val="single" w:color="000000" w:sz="12" w:space="0"/>
              <w:bottom w:val="single" w:color="000000" w:sz="12" w:space="0"/>
            </w:tcBorders>
            <w:vAlign w:val="center"/>
          </w:tcPr>
          <w:p w14:paraId="7723C4F4">
            <w:pPr>
              <w:spacing w:line="360" w:lineRule="exact"/>
              <w:ind w:firstLine="0"/>
              <w:jc w:val="center"/>
            </w:pPr>
            <w:r>
              <w:rPr>
                <w:b/>
                <w:sz w:val="20"/>
              </w:rPr>
              <w:t>60日历史模拟VaR</w:t>
            </w:r>
          </w:p>
        </w:tc>
      </w:tr>
      <w:tr w14:paraId="5EE8BB35">
        <w:tblPrEx>
          <w:tblCellMar>
            <w:top w:w="0" w:type="dxa"/>
            <w:left w:w="108" w:type="dxa"/>
            <w:bottom w:w="0" w:type="dxa"/>
            <w:right w:w="108" w:type="dxa"/>
          </w:tblCellMar>
        </w:tblPrEx>
        <w:trPr>
          <w:jc w:val="center"/>
        </w:trPr>
        <w:tc>
          <w:tcPr>
            <w:tcW w:w="1063" w:type="dxa"/>
            <w:vAlign w:val="center"/>
          </w:tcPr>
          <w:p w14:paraId="03E4C06A">
            <w:pPr>
              <w:spacing w:line="360" w:lineRule="exact"/>
              <w:ind w:firstLine="0"/>
              <w:jc w:val="center"/>
            </w:pPr>
            <w:r>
              <w:rPr>
                <w:sz w:val="20"/>
              </w:rPr>
              <w:t>IC</w:t>
            </w:r>
          </w:p>
        </w:tc>
        <w:tc>
          <w:tcPr>
            <w:tcW w:w="1063" w:type="dxa"/>
            <w:vAlign w:val="center"/>
          </w:tcPr>
          <w:p w14:paraId="79B6462C">
            <w:pPr>
              <w:spacing w:line="360" w:lineRule="exact"/>
              <w:ind w:firstLine="0"/>
              <w:jc w:val="center"/>
            </w:pPr>
            <w:r>
              <w:rPr>
                <w:sz w:val="20"/>
              </w:rPr>
              <w:t>IC2606</w:t>
            </w:r>
          </w:p>
        </w:tc>
        <w:tc>
          <w:tcPr>
            <w:tcW w:w="1063" w:type="dxa"/>
            <w:vAlign w:val="center"/>
          </w:tcPr>
          <w:p w14:paraId="60AEF181">
            <w:pPr>
              <w:spacing w:line="360" w:lineRule="exact"/>
              <w:ind w:firstLine="0"/>
              <w:jc w:val="center"/>
            </w:pPr>
            <w:r>
              <w:rPr>
                <w:sz w:val="20"/>
              </w:rPr>
              <w:t>7671.0</w:t>
            </w:r>
          </w:p>
        </w:tc>
        <w:tc>
          <w:tcPr>
            <w:tcW w:w="1063" w:type="dxa"/>
            <w:vAlign w:val="center"/>
          </w:tcPr>
          <w:p w14:paraId="3273D4E1">
            <w:pPr>
              <w:spacing w:line="360" w:lineRule="exact"/>
              <w:ind w:firstLine="0"/>
              <w:jc w:val="center"/>
            </w:pPr>
            <w:r>
              <w:rPr>
                <w:sz w:val="20"/>
              </w:rPr>
              <w:t>-2.7066%</w:t>
            </w:r>
          </w:p>
        </w:tc>
        <w:tc>
          <w:tcPr>
            <w:tcW w:w="1063" w:type="dxa"/>
            <w:vAlign w:val="center"/>
          </w:tcPr>
          <w:p w14:paraId="20BA8E9C">
            <w:pPr>
              <w:spacing w:line="360" w:lineRule="exact"/>
              <w:ind w:firstLine="0"/>
              <w:jc w:val="center"/>
            </w:pPr>
            <w:r>
              <w:rPr>
                <w:sz w:val="20"/>
              </w:rPr>
              <w:t>24.4857%</w:t>
            </w:r>
          </w:p>
        </w:tc>
        <w:tc>
          <w:tcPr>
            <w:tcW w:w="1063" w:type="dxa"/>
            <w:vAlign w:val="center"/>
          </w:tcPr>
          <w:p w14:paraId="2FFDCC77">
            <w:pPr>
              <w:spacing w:line="360" w:lineRule="exact"/>
              <w:ind w:firstLine="0"/>
              <w:jc w:val="center"/>
            </w:pPr>
            <w:r>
              <w:rPr>
                <w:sz w:val="20"/>
              </w:rPr>
              <w:t>25.3815%</w:t>
            </w:r>
          </w:p>
        </w:tc>
        <w:tc>
          <w:tcPr>
            <w:tcW w:w="1063" w:type="dxa"/>
            <w:vAlign w:val="center"/>
          </w:tcPr>
          <w:p w14:paraId="3699CA3F">
            <w:pPr>
              <w:spacing w:line="360" w:lineRule="exact"/>
              <w:ind w:firstLine="0"/>
              <w:jc w:val="center"/>
            </w:pPr>
            <w:r>
              <w:rPr>
                <w:sz w:val="20"/>
              </w:rPr>
              <w:t>高</w:t>
            </w:r>
          </w:p>
        </w:tc>
        <w:tc>
          <w:tcPr>
            <w:tcW w:w="1063" w:type="dxa"/>
            <w:vAlign w:val="center"/>
          </w:tcPr>
          <w:p w14:paraId="44F0A4A2">
            <w:pPr>
              <w:spacing w:line="360" w:lineRule="exact"/>
              <w:ind w:firstLine="0"/>
              <w:jc w:val="center"/>
            </w:pPr>
            <w:r>
              <w:rPr>
                <w:sz w:val="20"/>
              </w:rPr>
              <w:t>2.4909%</w:t>
            </w:r>
          </w:p>
        </w:tc>
      </w:tr>
      <w:tr w14:paraId="12152477">
        <w:tblPrEx>
          <w:tblCellMar>
            <w:top w:w="0" w:type="dxa"/>
            <w:left w:w="108" w:type="dxa"/>
            <w:bottom w:w="0" w:type="dxa"/>
            <w:right w:w="108" w:type="dxa"/>
          </w:tblCellMar>
        </w:tblPrEx>
        <w:trPr>
          <w:jc w:val="center"/>
        </w:trPr>
        <w:tc>
          <w:tcPr>
            <w:tcW w:w="1063" w:type="dxa"/>
            <w:vAlign w:val="center"/>
          </w:tcPr>
          <w:p w14:paraId="2162D0B9">
            <w:pPr>
              <w:spacing w:line="360" w:lineRule="exact"/>
              <w:ind w:firstLine="0"/>
              <w:jc w:val="center"/>
            </w:pPr>
            <w:r>
              <w:rPr>
                <w:sz w:val="20"/>
              </w:rPr>
              <w:t>IF</w:t>
            </w:r>
          </w:p>
        </w:tc>
        <w:tc>
          <w:tcPr>
            <w:tcW w:w="1063" w:type="dxa"/>
            <w:vAlign w:val="center"/>
          </w:tcPr>
          <w:p w14:paraId="66EE1555">
            <w:pPr>
              <w:spacing w:line="360" w:lineRule="exact"/>
              <w:ind w:firstLine="0"/>
              <w:jc w:val="center"/>
            </w:pPr>
            <w:r>
              <w:rPr>
                <w:sz w:val="20"/>
              </w:rPr>
              <w:t>IF2606</w:t>
            </w:r>
          </w:p>
        </w:tc>
        <w:tc>
          <w:tcPr>
            <w:tcW w:w="1063" w:type="dxa"/>
            <w:vAlign w:val="center"/>
          </w:tcPr>
          <w:p w14:paraId="56B54CB2">
            <w:pPr>
              <w:spacing w:line="360" w:lineRule="exact"/>
              <w:ind w:firstLine="0"/>
              <w:jc w:val="center"/>
            </w:pPr>
            <w:r>
              <w:rPr>
                <w:sz w:val="20"/>
              </w:rPr>
              <w:t>4502.2</w:t>
            </w:r>
          </w:p>
        </w:tc>
        <w:tc>
          <w:tcPr>
            <w:tcW w:w="1063" w:type="dxa"/>
            <w:vAlign w:val="center"/>
          </w:tcPr>
          <w:p w14:paraId="044C3B4F">
            <w:pPr>
              <w:spacing w:line="360" w:lineRule="exact"/>
              <w:ind w:firstLine="0"/>
              <w:jc w:val="center"/>
            </w:pPr>
            <w:r>
              <w:rPr>
                <w:sz w:val="20"/>
              </w:rPr>
              <w:t>-1.4750%</w:t>
            </w:r>
          </w:p>
        </w:tc>
        <w:tc>
          <w:tcPr>
            <w:tcW w:w="1063" w:type="dxa"/>
            <w:vAlign w:val="center"/>
          </w:tcPr>
          <w:p w14:paraId="7B8BF5BA">
            <w:pPr>
              <w:spacing w:line="360" w:lineRule="exact"/>
              <w:ind w:firstLine="0"/>
              <w:jc w:val="center"/>
            </w:pPr>
            <w:r>
              <w:rPr>
                <w:sz w:val="20"/>
              </w:rPr>
              <w:t>16.1292%</w:t>
            </w:r>
          </w:p>
        </w:tc>
        <w:tc>
          <w:tcPr>
            <w:tcW w:w="1063" w:type="dxa"/>
            <w:vAlign w:val="center"/>
          </w:tcPr>
          <w:p w14:paraId="435ECAF8">
            <w:pPr>
              <w:spacing w:line="360" w:lineRule="exact"/>
              <w:ind w:firstLine="0"/>
              <w:jc w:val="center"/>
            </w:pPr>
            <w:r>
              <w:rPr>
                <w:sz w:val="20"/>
              </w:rPr>
              <w:t>14.2794%</w:t>
            </w:r>
          </w:p>
        </w:tc>
        <w:tc>
          <w:tcPr>
            <w:tcW w:w="1063" w:type="dxa"/>
            <w:vAlign w:val="center"/>
          </w:tcPr>
          <w:p w14:paraId="269D633D">
            <w:pPr>
              <w:spacing w:line="360" w:lineRule="exact"/>
              <w:ind w:firstLine="0"/>
              <w:jc w:val="center"/>
            </w:pPr>
            <w:r>
              <w:rPr>
                <w:sz w:val="20"/>
              </w:rPr>
              <w:t>中</w:t>
            </w:r>
          </w:p>
        </w:tc>
        <w:tc>
          <w:tcPr>
            <w:tcW w:w="1063" w:type="dxa"/>
            <w:vAlign w:val="center"/>
          </w:tcPr>
          <w:p w14:paraId="7EF4D826">
            <w:pPr>
              <w:spacing w:line="360" w:lineRule="exact"/>
              <w:ind w:firstLine="0"/>
              <w:jc w:val="center"/>
            </w:pPr>
            <w:r>
              <w:rPr>
                <w:sz w:val="20"/>
              </w:rPr>
              <w:t>1.6204%</w:t>
            </w:r>
          </w:p>
        </w:tc>
      </w:tr>
      <w:tr w14:paraId="205CD136">
        <w:tblPrEx>
          <w:tblCellMar>
            <w:top w:w="0" w:type="dxa"/>
            <w:left w:w="108" w:type="dxa"/>
            <w:bottom w:w="0" w:type="dxa"/>
            <w:right w:w="108" w:type="dxa"/>
          </w:tblCellMar>
        </w:tblPrEx>
        <w:trPr>
          <w:jc w:val="center"/>
        </w:trPr>
        <w:tc>
          <w:tcPr>
            <w:tcW w:w="1063" w:type="dxa"/>
            <w:vAlign w:val="center"/>
          </w:tcPr>
          <w:p w14:paraId="5024AA0B">
            <w:pPr>
              <w:spacing w:line="360" w:lineRule="exact"/>
              <w:ind w:firstLine="0"/>
              <w:jc w:val="center"/>
            </w:pPr>
            <w:r>
              <w:rPr>
                <w:sz w:val="20"/>
              </w:rPr>
              <w:t>IH</w:t>
            </w:r>
          </w:p>
        </w:tc>
        <w:tc>
          <w:tcPr>
            <w:tcW w:w="1063" w:type="dxa"/>
            <w:vAlign w:val="center"/>
          </w:tcPr>
          <w:p w14:paraId="299C4668">
            <w:pPr>
              <w:spacing w:line="360" w:lineRule="exact"/>
              <w:ind w:firstLine="0"/>
              <w:jc w:val="center"/>
            </w:pPr>
            <w:r>
              <w:rPr>
                <w:sz w:val="20"/>
              </w:rPr>
              <w:t>IH2606</w:t>
            </w:r>
          </w:p>
        </w:tc>
        <w:tc>
          <w:tcPr>
            <w:tcW w:w="1063" w:type="dxa"/>
            <w:vAlign w:val="center"/>
          </w:tcPr>
          <w:p w14:paraId="6B45D886">
            <w:pPr>
              <w:spacing w:line="360" w:lineRule="exact"/>
              <w:ind w:firstLine="0"/>
              <w:jc w:val="center"/>
            </w:pPr>
            <w:r>
              <w:rPr>
                <w:sz w:val="20"/>
              </w:rPr>
              <w:t>2893.8</w:t>
            </w:r>
          </w:p>
        </w:tc>
        <w:tc>
          <w:tcPr>
            <w:tcW w:w="1063" w:type="dxa"/>
            <w:vAlign w:val="center"/>
          </w:tcPr>
          <w:p w14:paraId="7190773A">
            <w:pPr>
              <w:spacing w:line="360" w:lineRule="exact"/>
              <w:ind w:firstLine="0"/>
              <w:jc w:val="center"/>
            </w:pPr>
            <w:r>
              <w:rPr>
                <w:sz w:val="20"/>
              </w:rPr>
              <w:t>-1.6450%</w:t>
            </w:r>
          </w:p>
        </w:tc>
        <w:tc>
          <w:tcPr>
            <w:tcW w:w="1063" w:type="dxa"/>
            <w:vAlign w:val="center"/>
          </w:tcPr>
          <w:p w14:paraId="4E3AD14C">
            <w:pPr>
              <w:spacing w:line="360" w:lineRule="exact"/>
              <w:ind w:firstLine="0"/>
              <w:jc w:val="center"/>
            </w:pPr>
            <w:r>
              <w:rPr>
                <w:sz w:val="20"/>
              </w:rPr>
              <w:t>12.4409%</w:t>
            </w:r>
          </w:p>
        </w:tc>
        <w:tc>
          <w:tcPr>
            <w:tcW w:w="1063" w:type="dxa"/>
            <w:vAlign w:val="center"/>
          </w:tcPr>
          <w:p w14:paraId="417C39BC">
            <w:pPr>
              <w:spacing w:line="360" w:lineRule="exact"/>
              <w:ind w:firstLine="0"/>
              <w:jc w:val="center"/>
            </w:pPr>
            <w:r>
              <w:rPr>
                <w:sz w:val="20"/>
              </w:rPr>
              <w:t>12.3015%</w:t>
            </w:r>
          </w:p>
        </w:tc>
        <w:tc>
          <w:tcPr>
            <w:tcW w:w="1063" w:type="dxa"/>
            <w:vAlign w:val="center"/>
          </w:tcPr>
          <w:p w14:paraId="55BFB511">
            <w:pPr>
              <w:spacing w:line="360" w:lineRule="exact"/>
              <w:ind w:firstLine="0"/>
              <w:jc w:val="center"/>
            </w:pPr>
            <w:r>
              <w:rPr>
                <w:sz w:val="20"/>
              </w:rPr>
              <w:t>中</w:t>
            </w:r>
          </w:p>
        </w:tc>
        <w:tc>
          <w:tcPr>
            <w:tcW w:w="1063" w:type="dxa"/>
            <w:vAlign w:val="center"/>
          </w:tcPr>
          <w:p w14:paraId="369229DD">
            <w:pPr>
              <w:spacing w:line="360" w:lineRule="exact"/>
              <w:ind w:firstLine="0"/>
              <w:jc w:val="center"/>
            </w:pPr>
            <w:r>
              <w:rPr>
                <w:sz w:val="20"/>
              </w:rPr>
              <w:t>1.6842%</w:t>
            </w:r>
          </w:p>
        </w:tc>
      </w:tr>
      <w:tr w14:paraId="0849FA83">
        <w:tblPrEx>
          <w:tblCellMar>
            <w:top w:w="0" w:type="dxa"/>
            <w:left w:w="108" w:type="dxa"/>
            <w:bottom w:w="0" w:type="dxa"/>
            <w:right w:w="108" w:type="dxa"/>
          </w:tblCellMar>
        </w:tblPrEx>
        <w:trPr>
          <w:jc w:val="center"/>
        </w:trPr>
        <w:tc>
          <w:tcPr>
            <w:tcW w:w="1063" w:type="dxa"/>
            <w:tcBorders>
              <w:bottom w:val="single" w:color="000000" w:sz="12" w:space="0"/>
            </w:tcBorders>
            <w:vAlign w:val="center"/>
          </w:tcPr>
          <w:p w14:paraId="23D2DADD">
            <w:pPr>
              <w:spacing w:line="360" w:lineRule="exact"/>
              <w:ind w:firstLine="0"/>
              <w:jc w:val="center"/>
            </w:pPr>
            <w:r>
              <w:rPr>
                <w:sz w:val="20"/>
              </w:rPr>
              <w:t>IM</w:t>
            </w:r>
          </w:p>
        </w:tc>
        <w:tc>
          <w:tcPr>
            <w:tcW w:w="1063" w:type="dxa"/>
            <w:tcBorders>
              <w:bottom w:val="single" w:color="000000" w:sz="12" w:space="0"/>
            </w:tcBorders>
            <w:vAlign w:val="center"/>
          </w:tcPr>
          <w:p w14:paraId="6B230662">
            <w:pPr>
              <w:spacing w:line="360" w:lineRule="exact"/>
              <w:ind w:firstLine="0"/>
              <w:jc w:val="center"/>
            </w:pPr>
            <w:r>
              <w:rPr>
                <w:sz w:val="20"/>
              </w:rPr>
              <w:t>IM2606</w:t>
            </w:r>
          </w:p>
        </w:tc>
        <w:tc>
          <w:tcPr>
            <w:tcW w:w="1063" w:type="dxa"/>
            <w:tcBorders>
              <w:bottom w:val="single" w:color="000000" w:sz="12" w:space="0"/>
            </w:tcBorders>
            <w:vAlign w:val="center"/>
          </w:tcPr>
          <w:p w14:paraId="39B8BCFC">
            <w:pPr>
              <w:spacing w:line="360" w:lineRule="exact"/>
              <w:ind w:firstLine="0"/>
              <w:jc w:val="center"/>
            </w:pPr>
            <w:r>
              <w:rPr>
                <w:sz w:val="20"/>
              </w:rPr>
              <w:t>7681.0</w:t>
            </w:r>
          </w:p>
        </w:tc>
        <w:tc>
          <w:tcPr>
            <w:tcW w:w="1063" w:type="dxa"/>
            <w:tcBorders>
              <w:bottom w:val="single" w:color="000000" w:sz="12" w:space="0"/>
            </w:tcBorders>
            <w:vAlign w:val="center"/>
          </w:tcPr>
          <w:p w14:paraId="7F36F239">
            <w:pPr>
              <w:spacing w:line="360" w:lineRule="exact"/>
              <w:ind w:firstLine="0"/>
              <w:jc w:val="center"/>
            </w:pPr>
            <w:r>
              <w:rPr>
                <w:sz w:val="20"/>
              </w:rPr>
              <w:t>-2.0855%</w:t>
            </w:r>
          </w:p>
        </w:tc>
        <w:tc>
          <w:tcPr>
            <w:tcW w:w="1063" w:type="dxa"/>
            <w:tcBorders>
              <w:bottom w:val="single" w:color="000000" w:sz="12" w:space="0"/>
            </w:tcBorders>
            <w:vAlign w:val="center"/>
          </w:tcPr>
          <w:p w14:paraId="79F77D5F">
            <w:pPr>
              <w:spacing w:line="360" w:lineRule="exact"/>
              <w:ind w:firstLine="0"/>
              <w:jc w:val="center"/>
            </w:pPr>
            <w:r>
              <w:rPr>
                <w:sz w:val="20"/>
              </w:rPr>
              <w:t>25.2288%</w:t>
            </w:r>
          </w:p>
        </w:tc>
        <w:tc>
          <w:tcPr>
            <w:tcW w:w="1063" w:type="dxa"/>
            <w:tcBorders>
              <w:bottom w:val="single" w:color="000000" w:sz="12" w:space="0"/>
            </w:tcBorders>
            <w:vAlign w:val="center"/>
          </w:tcPr>
          <w:p w14:paraId="2691B1B4">
            <w:pPr>
              <w:spacing w:line="360" w:lineRule="exact"/>
              <w:ind w:firstLine="0"/>
              <w:jc w:val="center"/>
            </w:pPr>
            <w:r>
              <w:rPr>
                <w:sz w:val="20"/>
              </w:rPr>
              <w:t>24.7238%</w:t>
            </w:r>
          </w:p>
        </w:tc>
        <w:tc>
          <w:tcPr>
            <w:tcW w:w="1063" w:type="dxa"/>
            <w:tcBorders>
              <w:bottom w:val="single" w:color="000000" w:sz="12" w:space="0"/>
            </w:tcBorders>
            <w:vAlign w:val="center"/>
          </w:tcPr>
          <w:p w14:paraId="3E5B1A89">
            <w:pPr>
              <w:spacing w:line="360" w:lineRule="exact"/>
              <w:ind w:firstLine="0"/>
              <w:jc w:val="center"/>
            </w:pPr>
            <w:r>
              <w:rPr>
                <w:sz w:val="20"/>
              </w:rPr>
              <w:t>高</w:t>
            </w:r>
          </w:p>
        </w:tc>
        <w:tc>
          <w:tcPr>
            <w:tcW w:w="1063" w:type="dxa"/>
            <w:tcBorders>
              <w:bottom w:val="single" w:color="000000" w:sz="12" w:space="0"/>
            </w:tcBorders>
            <w:vAlign w:val="center"/>
          </w:tcPr>
          <w:p w14:paraId="4815D2EF">
            <w:pPr>
              <w:spacing w:line="360" w:lineRule="exact"/>
              <w:ind w:firstLine="0"/>
              <w:jc w:val="center"/>
            </w:pPr>
            <w:r>
              <w:rPr>
                <w:sz w:val="20"/>
              </w:rPr>
              <w:t>2.8145%</w:t>
            </w:r>
          </w:p>
        </w:tc>
      </w:tr>
    </w:tbl>
    <w:p w14:paraId="191C2558">
      <w:r>
        <w:t>上述结果表明，四个品种在样本最新交易日均处于弱于 20 日均线状态，但风险水平存在明显分化。IF 与 IH 作为大盘风格指数期货，波动率和 VaR 相对较低；IC 与 IM 反映中小盘风格，样本期内的波动率和 VaR 明显更高。该结论与市场中小盘风格更易出现高波动的经验判断基本一致，说明系统输出具备一定合理性。</w:t>
      </w:r>
    </w:p>
    <w:p w14:paraId="67D16BD2">
      <w:pPr>
        <w:keepNext/>
        <w:keepLines/>
        <w:spacing w:line="240" w:lineRule="auto"/>
        <w:ind w:firstLine="0"/>
        <w:jc w:val="center"/>
      </w:pPr>
      <w:r>
        <w:pict>
          <v:shape id="_x0000_i1029" o:spt="75" type="#_x0000_t75" style="height:219.9pt;width:403.2pt;" filled="f" o:preferrelative="t" stroked="f" coordsize="21600,21600">
            <v:path/>
            <v:fill on="f" focussize="0,0"/>
            <v:stroke on="f"/>
            <v:imagedata r:id="rId25" o:title=""/>
            <o:lock v:ext="edit" aspectratio="t"/>
            <w10:wrap type="none"/>
            <w10:anchorlock/>
          </v:shape>
        </w:pict>
      </w:r>
    </w:p>
    <w:p w14:paraId="682242BC">
      <w:pPr>
        <w:keepLines/>
        <w:spacing w:before="0" w:after="0" w:lineRule="exact" w:line="460"/>
        <w:ind w:firstLine="0" w:left="0"/>
        <w:jc w:val="center"/>
      </w:pPr>
      <w:r>
        <w:rPr>
          <w:rFonts w:ascii="Times New Roman" w:hAnsi="Times New Roman" w:eastAsia="黑体"/>
          <w:b/>
          <w:sz w:val="24"/>
        </w:rPr>
        <w:t>图6.2 四类股指期货主力连续归一化走势</w:t>
      </w:r>
    </w:p>
    <w:p w14:paraId="05671246">
      <w:r>
        <w:t>图 6-1 对比了四类股指期货主力连续序列的归一化走势。该图直观反映出不同品种在同一时间窗口中的累计表现差异，为横向比较提供了可视化依据。</w:t>
      </w:r>
    </w:p>
    <w:p w14:paraId="5E34B117">
      <w:pPr>
        <w:keepNext/>
        <w:keepLines/>
        <w:spacing w:line="240" w:lineRule="auto"/>
        <w:ind w:firstLine="0"/>
        <w:jc w:val="center"/>
      </w:pPr>
      <w:r>
        <w:drawing>
          <wp:inline distT="0" distB="0" distL="0" distR="0">
            <wp:extent cx="5120640" cy="27927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6"/>
                    <a:stretch>
                      <a:fillRect/>
                    </a:stretch>
                  </pic:blipFill>
                  <pic:spPr>
                    <a:xfrm>
                      <a:off x="0" y="0"/>
                      <a:ext cx="5120640" cy="2793076"/>
                    </a:xfrm>
                    <a:prstGeom prst="rect">
                      <a:avLst/>
                    </a:prstGeom>
                  </pic:spPr>
                </pic:pic>
              </a:graphicData>
            </a:graphic>
          </wp:inline>
        </w:drawing>
      </w:r>
    </w:p>
    <w:p w14:paraId="267A98E6">
      <w:pPr>
        <w:keepLines/>
        <w:spacing w:before="0" w:after="0" w:lineRule="exact" w:line="460"/>
        <w:ind w:firstLine="0" w:left="0"/>
        <w:jc w:val="center"/>
      </w:pPr>
      <w:r>
        <w:rPr>
          <w:rFonts w:ascii="Times New Roman" w:hAnsi="Times New Roman" w:eastAsia="黑体"/>
          <w:b/>
          <w:sz w:val="24"/>
        </w:rPr>
        <w:t>图6.3 IF 主力连续收盘价与 20 日均线</w:t>
      </w:r>
    </w:p>
    <w:p w14:paraId="4848655A">
      <w:r>
        <w:t>图 6-2 展示了 IF 主力连续收盘价与 20 日均线之间的关系。可以看到，样本尾部收盘价位于 20 日均线下方，因此系统给出“弱于 20 日均线”的趋势信号。这种基于均线位置的判断方式实现简单、解释清晰，适合作为毕业设计中的基础趋势指标。</w:t>
      </w:r>
    </w:p>
    <w:p w14:paraId="1C651792">
      <w:pPr>
        <w:keepNext/>
        <w:keepLines/>
        <w:spacing w:line="240" w:lineRule="auto"/>
        <w:ind w:firstLine="0"/>
        <w:jc w:val="center"/>
      </w:pPr>
      <w:r>
        <w:drawing>
          <wp:inline distT="0" distB="0" distL="0" distR="0">
            <wp:extent cx="5120640" cy="37236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7"/>
                    <a:stretch>
                      <a:fillRect/>
                    </a:stretch>
                  </pic:blipFill>
                  <pic:spPr>
                    <a:xfrm>
                      <a:off x="0" y="0"/>
                      <a:ext cx="5120640" cy="3724102"/>
                    </a:xfrm>
                    <a:prstGeom prst="rect">
                      <a:avLst/>
                    </a:prstGeom>
                  </pic:spPr>
                </pic:pic>
              </a:graphicData>
            </a:graphic>
          </wp:inline>
        </w:drawing>
      </w:r>
    </w:p>
    <w:p w14:paraId="6D4608C3">
      <w:pPr>
        <w:keepLines/>
        <w:spacing w:before="0" w:after="0" w:lineRule="exact" w:line="460"/>
        <w:ind w:firstLine="0" w:left="0"/>
        <w:jc w:val="center"/>
      </w:pPr>
      <w:r>
        <w:rPr>
          <w:rFonts w:ascii="Times New Roman" w:hAnsi="Times New Roman" w:eastAsia="黑体"/>
          <w:b/>
          <w:sz w:val="24"/>
        </w:rPr>
        <w:t>图6.4 IF 回撤与波动率结果图</w:t>
      </w:r>
    </w:p>
    <w:p w14:paraId="32CB210B">
      <w:r>
        <w:t>图 6-3 将回撤曲线与滚动波动率放在同一分析框架下，有助于观察价格下跌区间和风险水平变化之间的关系。当回撤扩大时，波动率往往同步抬升，这与金融市场中的风险聚集效应相符合。</w:t>
      </w:r>
    </w:p>
    <w:p w14:paraId="35BF74BE">
      <w:pPr>
        <w:keepNext/>
        <w:keepLines/>
        <w:spacing w:line="240" w:lineRule="auto"/>
        <w:ind w:firstLine="0"/>
        <w:jc w:val="center"/>
      </w:pPr>
      <w:r>
        <w:drawing>
          <wp:inline distT="0" distB="0" distL="0" distR="0">
            <wp:extent cx="5120640" cy="2844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8"/>
                    <a:stretch>
                      <a:fillRect/>
                    </a:stretch>
                  </pic:blipFill>
                  <pic:spPr>
                    <a:xfrm>
                      <a:off x="0" y="0"/>
                      <a:ext cx="5120640" cy="2844800"/>
                    </a:xfrm>
                    <a:prstGeom prst="rect">
                      <a:avLst/>
                    </a:prstGeom>
                  </pic:spPr>
                </pic:pic>
              </a:graphicData>
            </a:graphic>
          </wp:inline>
        </w:drawing>
      </w:r>
    </w:p>
    <w:p w14:paraId="0CEE7D62">
      <w:pPr>
        <w:keepLines/>
        <w:spacing w:before="0" w:after="0" w:lineRule="exact" w:line="460"/>
        <w:ind w:firstLine="0" w:left="0"/>
        <w:jc w:val="center"/>
      </w:pPr>
      <w:r>
        <w:rPr>
          <w:rFonts w:ascii="Times New Roman" w:hAnsi="Times New Roman" w:eastAsia="黑体"/>
          <w:b/>
          <w:sz w:val="24"/>
        </w:rPr>
        <w:t>图6.5 各品种 60 日历史模拟 VaR 对比图</w:t>
      </w:r>
    </w:p>
    <w:p w14:paraId="344CE2B5">
      <w:r>
        <w:t>图 6-4 进一步说明了不同品种的风险差异。从 VaR 结果来看，IM 的潜在下行风险最高，其次为 IC，而 IF 与 IH 相对较低。该结果与前述波动率分析相互印证，说明系统风险评估模块在不同指标之间具有一定一致性。</w:t>
      </w:r>
    </w:p>
    <w:p w14:paraId="04A205E3">
      <w:pPr>
        <w:keepNext/>
        <w:keepLines/>
        <w:spacing w:line="240" w:lineRule="auto"/>
        <w:ind w:firstLine="0"/>
        <w:jc w:val="center"/>
      </w:pPr>
      <w:r>
        <w:drawing>
          <wp:inline distT="0" distB="0" distL="0" distR="0">
            <wp:extent cx="5120640" cy="39827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9"/>
                    <a:stretch>
                      <a:fillRect/>
                    </a:stretch>
                  </pic:blipFill>
                  <pic:spPr>
                    <a:xfrm>
                      <a:off x="0" y="0"/>
                      <a:ext cx="5120640" cy="3982720"/>
                    </a:xfrm>
                    <a:prstGeom prst="rect">
                      <a:avLst/>
                    </a:prstGeom>
                  </pic:spPr>
                </pic:pic>
              </a:graphicData>
            </a:graphic>
          </wp:inline>
        </w:drawing>
      </w:r>
    </w:p>
    <w:p w14:paraId="56C8778E">
      <w:pPr>
        <w:keepLines/>
        <w:spacing w:before="0" w:after="0" w:lineRule="exact" w:line="460"/>
        <w:ind w:firstLine="0" w:left="0"/>
        <w:jc w:val="center"/>
      </w:pPr>
      <w:r>
        <w:rPr>
          <w:rFonts w:ascii="Times New Roman" w:hAnsi="Times New Roman" w:eastAsia="黑体"/>
          <w:b/>
          <w:sz w:val="24"/>
        </w:rPr>
        <w:t>图6.6 股指期货与宏观指标相关性热力图</w:t>
      </w:r>
    </w:p>
    <w:p w14:paraId="639F7539">
      <w:r>
        <w:t>图 6-5 给出了股指期货收益与宏观指标的月度相关性热力图。由于当前宏观样本窗口较短，该结果更适合用于演示系统相关性分析链路，而不宜过度外推为长期经济结论。论文在解释该图时应强调这一点，以保持论述严谨。</w:t>
      </w:r>
    </w:p>
    <w:p w14:paraId="77610876">
      <w:pPr>
        <w:pStyle w:val="3"/>
        <w:spacing w:lineRule="exact" w:line="460" w:before="240" w:after="240"/>
        <w:jc w:val="left"/>
      </w:pPr>
      <w:bookmarkStart w:id="33" w:name="_Toc224859784"/>
      <w:r>
        <w:rPr>
          <w:rFonts w:ascii="Times New Roman" w:hAnsi="Times New Roman" w:eastAsia="黑体"/>
          <w:b/>
          <w:sz w:val="28"/>
        </w:rPr>
        <w:t>6.5 测试与结果分析总结</w:t>
      </w:r>
      <w:bookmarkEnd w:id="33"/>
    </w:p>
    <w:p w14:paraId="608E8144">
      <w:r>
        <w:t>综合功能测试、质量统计与图表结果可以看出，系统已经具备稳定的数据采集、可复核的数仓建设、可解释的风险分析和较完整的可视化展示能力。虽然样本期仍然较短、宏观数据频率较低，但作为毕业设计原型，系统已经实现了从真实公开数据到分析结果再到论文图表的完整闭环，达到了预期研究目标。</w:t>
      </w:r>
    </w:p>
    <w:p w14:paraId="5601E4D8">
      <w:r>
        <w:br w:type="page"/>
      </w:r>
    </w:p>
    <w:p w14:paraId="21B515D3">
      <w:pPr>
        <w:pStyle w:val="2"/>
        <w:spacing w:lineRule="exact" w:line="460" w:before="360" w:after="240"/>
        <w:jc w:val="center"/>
        <w:rPr>
          <w:rFonts w:hint="default"/>
        </w:rPr>
      </w:pPr>
      <w:bookmarkStart w:id="34" w:name="_Toc224859785"/>
      <w:r>
        <w:rPr>
          <w:rFonts w:ascii="Times New Roman" w:hAnsi="Times New Roman" w:eastAsia="黑体"/>
          <w:b/>
          <w:sz w:val="36"/>
        </w:rPr>
        <w:t>7 结论与展望</w:t>
      </w:r>
      <w:bookmarkEnd w:id="34"/>
    </w:p>
    <w:p w14:paraId="3B1313F3">
      <w:pPr>
        <w:pStyle w:val="3"/>
        <w:spacing w:lineRule="exact" w:line="460" w:before="240" w:after="240"/>
        <w:jc w:val="left"/>
      </w:pPr>
      <w:bookmarkStart w:id="35" w:name="_Toc224859786"/>
      <w:r>
        <w:rPr>
          <w:rFonts w:ascii="Times New Roman" w:hAnsi="Times New Roman" w:eastAsia="黑体"/>
          <w:b/>
          <w:sz w:val="28"/>
        </w:rPr>
        <w:t>7.1 研究结论</w:t>
      </w:r>
      <w:bookmarkEnd w:id="35"/>
    </w:p>
    <w:p w14:paraId="65F11203">
      <w:r>
        <w:t>本文围绕中国金融期货盘后分析需求，设计并实现了一套中国金融期货大数据分析与风险评估系统。系统以真实公开数据为基础，完成了数据采集、结构化存储、趋势分析、波动率预测、VaR 计算、宏观相关性分析和页面展示等功能，并通过图表导出、页面截图和模板化文档生成，形成了可重复的毕业设计交付流程。实测结果表明，系统能够稳定处理多源数据，支持四类股指期货的主力连续分析，并以统一页面呈现行情、风险和数据质量结果。</w:t>
      </w:r>
    </w:p>
    <w:p w14:paraId="6C4CFAE4">
      <w:r>
        <w:t>从方法效果看，主力连续规则、滚动波动率、EWMA 预测和历史模拟 VaR 的组合能够较好地支撑盘后分析场景。以 2026 年 3 月 19 日的结果为例，系统识别出 IC 和 IM 在样本期末具有更高波动和更高 VaR，体现了中小盘风格品种的风险特征。说明所选分析方法虽不复杂，但能够提供清晰、可解释且与市场经验相符的结果。</w:t>
      </w:r>
    </w:p>
    <w:p w14:paraId="6041FC0E">
      <w:pPr>
        <w:pStyle w:val="3"/>
        <w:spacing w:lineRule="exact" w:line="460" w:before="240" w:after="240"/>
        <w:jc w:val="left"/>
      </w:pPr>
      <w:bookmarkStart w:id="36" w:name="_Toc224859787"/>
      <w:r>
        <w:rPr>
          <w:rFonts w:ascii="Times New Roman" w:hAnsi="Times New Roman" w:eastAsia="黑体"/>
          <w:b/>
          <w:sz w:val="28"/>
        </w:rPr>
        <w:t>7.2 项目价值与不足</w:t>
      </w:r>
      <w:bookmarkEnd w:id="36"/>
    </w:p>
    <w:p w14:paraId="5E6F8F68">
      <w:r>
        <w:t>本文工作的价值主要体现在三个方面。第一，系统坚持使用真实公开数据而非伪造数据，提高了研究结果可信度。第二，项目将数据、分析、服务和展示统一到单一平台中，提升了工程完整性。第三，系统把论文图表和截图生成纳入工程脚本，降低了开发成果向论文成果转化的成本。</w:t>
      </w:r>
    </w:p>
    <w:p w14:paraId="78DD7F51">
      <w:r>
        <w:t>本文也存在一定不足。一是宏观数据样本期较短，相关性分析更适合作为系统能力展示，而不宜直接支撑长期因果推断。二是波动率预测仍采用经验型组合方法，尚未引入更系统的 GARCH 参数估计或机器学习模型。三是系统当前主要面向本地单机运行，虽然保留了 Spark local 演示接口，但距离真正的大规模分布式处理平台还有一定距离。</w:t>
      </w:r>
    </w:p>
    <w:p w14:paraId="646A2DE6">
      <w:pPr>
        <w:pStyle w:val="3"/>
        <w:spacing w:lineRule="exact" w:line="460" w:before="240" w:after="240"/>
        <w:jc w:val="left"/>
      </w:pPr>
      <w:bookmarkStart w:id="37" w:name="_Toc224859788"/>
      <w:r>
        <w:rPr>
          <w:rFonts w:ascii="Times New Roman" w:hAnsi="Times New Roman" w:eastAsia="黑体"/>
          <w:b/>
          <w:sz w:val="28"/>
        </w:rPr>
        <w:t>7.3 后续改进方向</w:t>
      </w:r>
      <w:bookmarkEnd w:id="37"/>
    </w:p>
    <w:p w14:paraId="586FCAE9">
      <w:r>
        <w:t>后续研究可以从三个方向继续展开。第一，扩充数据时间跨度和指标覆盖范围，引入更完整的宏观周期数据和交易规则事件数据。第二，在保证可解释性的前提下，尝试引入 GARCH、CAViaR 或轻量机器学习模型，对波动率和尾部风险进行更深入建模。第三，面向更大规模数据处理需求，可将当前 DuckDB 本地原型向对象存储、消息队列和分布式计算框架扩展，形成更接近生产环境的数据分析平台。</w:t>
      </w:r>
    </w:p>
    <w:p w14:paraId="53C83E3C">
      <w:r>
        <w:br w:type="page"/>
      </w:r>
    </w:p>
    <w:p w14:paraId="44086BB9">
      <w:pPr>
        <w:pStyle w:val="2"/>
        <w:spacing w:lineRule="exact" w:line="460" w:before="360" w:after="240"/>
        <w:ind w:firstLine="0"/>
        <w:jc w:val="center"/>
        <w:rPr>
          <w:rFonts w:hint="default"/>
        </w:rPr>
      </w:pPr>
      <w:bookmarkStart w:id="38" w:name="_Toc224859789"/>
      <w:r>
        <w:rPr>
          <w:rFonts w:ascii="Times New Roman" w:hAnsi="Times New Roman" w:eastAsia="黑体"/>
          <w:b/>
          <w:sz w:val="36"/>
        </w:rPr>
        <w:t>参考文献</w:t>
      </w:r>
      <w:bookmarkEnd w:id="38"/>
    </w:p>
    <w:p w14:paraId="12196F94">
      <w:pPr>
        <w:spacing w:lineRule="exact" w:line="460" w:before="0" w:after="0"/>
        <w:ind w:left="420" w:hanging="420"/>
        <w:jc w:val="left"/>
      </w:pPr>
      <w:r>
        <w:rPr>
          <w:rFonts w:ascii="Times New Roman" w:hAnsi="Times New Roman" w:eastAsia="宋体"/>
          <w:b w:val="0"/>
          <w:sz w:val="24"/>
        </w:rPr>
        <w:t>[1] 陈其安, 张慧, 陈抒妤. 股指期货交易加剧了中国股票市场波动性吗？基于投资者结构的理论和实证研究[J]. 中国管理科学, 2020, 28(4): 1-13.</w:t>
      </w:r>
    </w:p>
    <w:p w14:paraId="74DA2C4C">
      <w:pPr>
        <w:spacing w:lineRule="exact" w:line="460" w:before="0" w:after="0"/>
        <w:ind w:left="420" w:hanging="420"/>
        <w:jc w:val="left"/>
      </w:pPr>
      <w:r>
        <w:rPr>
          <w:rFonts w:ascii="Times New Roman" w:hAnsi="Times New Roman" w:eastAsia="宋体"/>
          <w:b w:val="0"/>
          <w:sz w:val="24"/>
        </w:rPr>
        <w:t>[2] Bohl M T, Siklos P L, Diesteldorf J. The effect of index futures trading on volatility: Three markets for Chinese stocks[J]. China Economic Review, 2015, 34: 207-224.</w:t>
      </w:r>
    </w:p>
    <w:p w14:paraId="70E24DE7">
      <w:pPr>
        <w:spacing w:lineRule="exact" w:line="460" w:before="0" w:after="0"/>
        <w:ind w:left="420" w:hanging="420"/>
        <w:jc w:val="left"/>
      </w:pPr>
      <w:r>
        <w:rPr>
          <w:rFonts w:ascii="Times New Roman" w:hAnsi="Times New Roman" w:eastAsia="宋体"/>
          <w:b w:val="0"/>
          <w:sz w:val="24"/>
        </w:rPr>
        <w:t>[3] Engle R F. Autoregressive Conditional Heteroscedasticity with Estimates of the Variance of United Kingdom Inflation[J]. Econometrica, 1982, 50(4): 987-1007.</w:t>
      </w:r>
    </w:p>
    <w:p w14:paraId="34D37F25">
      <w:pPr>
        <w:spacing w:lineRule="exact" w:line="460" w:before="0" w:after="0"/>
        <w:ind w:left="420" w:hanging="420"/>
        <w:jc w:val="left"/>
      </w:pPr>
      <w:r>
        <w:rPr>
          <w:rFonts w:ascii="Times New Roman" w:hAnsi="Times New Roman" w:eastAsia="宋体"/>
          <w:b w:val="0"/>
          <w:sz w:val="24"/>
        </w:rPr>
        <w:t>[4] Bollerslev T. Generalized Autoregressive Conditional Heteroskedasticity[J]. Journal of Econometrics, 1986, 31(3): 307-327.</w:t>
      </w:r>
    </w:p>
    <w:p w14:paraId="30C17B65">
      <w:pPr>
        <w:spacing w:lineRule="exact" w:line="460" w:before="0" w:after="0"/>
        <w:ind w:left="420" w:hanging="420"/>
        <w:jc w:val="left"/>
      </w:pPr>
      <w:r>
        <w:rPr>
          <w:rFonts w:ascii="Times New Roman" w:hAnsi="Times New Roman" w:eastAsia="宋体"/>
          <w:b w:val="0"/>
          <w:sz w:val="24"/>
        </w:rPr>
        <w:t>[5] J P Morgan, Reuters. RiskMetrics Technical Document[R]. New York: Morgan Guaranty Trust Company, 1996.</w:t>
      </w:r>
    </w:p>
    <w:p w14:paraId="09A79A13">
      <w:pPr>
        <w:spacing w:lineRule="exact" w:line="460" w:before="0" w:after="0"/>
        <w:ind w:left="420" w:hanging="420"/>
        <w:jc w:val="left"/>
      </w:pPr>
      <w:r>
        <w:rPr>
          <w:rFonts w:ascii="Times New Roman" w:hAnsi="Times New Roman" w:eastAsia="宋体"/>
          <w:b w:val="0"/>
          <w:sz w:val="24"/>
        </w:rPr>
        <w:t>[6] Kupiec P H. Techniques for Verifying the Accuracy of Risk Measurement Models[J]. The Journal of Derivatives, 1995, 3(2): 73-84.</w:t>
      </w:r>
    </w:p>
    <w:p w14:paraId="7DCE9035">
      <w:pPr>
        <w:spacing w:lineRule="exact" w:line="460" w:before="0" w:after="0"/>
        <w:ind w:left="420" w:hanging="420"/>
        <w:jc w:val="left"/>
      </w:pPr>
      <w:r>
        <w:rPr>
          <w:rFonts w:ascii="Times New Roman" w:hAnsi="Times New Roman" w:eastAsia="宋体"/>
          <w:b w:val="0"/>
          <w:sz w:val="24"/>
        </w:rPr>
        <w:t>[7] Hull J C. Options, Futures, and Other Derivatives[M]. 11th ed. Harlow: Pearson, 2022.</w:t>
      </w:r>
    </w:p>
    <w:p w14:paraId="787F4221">
      <w:pPr>
        <w:spacing w:lineRule="exact" w:line="460" w:before="0" w:after="0"/>
        <w:ind w:left="420" w:hanging="420"/>
        <w:jc w:val="left"/>
      </w:pPr>
      <w:r>
        <w:rPr>
          <w:rFonts w:ascii="Times New Roman" w:hAnsi="Times New Roman" w:eastAsia="宋体"/>
          <w:b w:val="0"/>
          <w:sz w:val="24"/>
        </w:rPr>
        <w:t>[8] DuckDB Foundation. DuckDB Documentation[EB/OL]. [2026-04-18]. https://duckdb.org/docs/.</w:t>
      </w:r>
    </w:p>
    <w:p w14:paraId="4518D603">
      <w:pPr>
        <w:spacing w:lineRule="exact" w:line="460" w:before="0" w:after="0"/>
        <w:ind w:left="420" w:hanging="420"/>
        <w:jc w:val="left"/>
      </w:pPr>
      <w:r>
        <w:rPr>
          <w:rFonts w:ascii="Times New Roman" w:hAnsi="Times New Roman" w:eastAsia="宋体"/>
          <w:b w:val="0"/>
          <w:sz w:val="24"/>
        </w:rPr>
        <w:t>[9] Apache Software Foundation. Apache Spark Documentation[EB/OL]. [2026-04-18]. https://spark.apache.org/docs/latest/.</w:t>
      </w:r>
    </w:p>
    <w:p w14:paraId="64D70BD3">
      <w:pPr>
        <w:spacing w:lineRule="exact" w:line="460" w:before="0" w:after="0"/>
        <w:ind w:left="420" w:hanging="420"/>
        <w:jc w:val="left"/>
      </w:pPr>
      <w:r>
        <w:rPr>
          <w:rFonts w:ascii="Times New Roman" w:hAnsi="Times New Roman" w:eastAsia="宋体"/>
          <w:b w:val="0"/>
          <w:sz w:val="24"/>
        </w:rPr>
        <w:t>[10] Ramírez S. FastAPI Documentation[EB/OL]. [2026-04-18]. https://fastapi.tiangolo.com/.</w:t>
      </w:r>
    </w:p>
    <w:p w14:paraId="28ED9C95">
      <w:pPr>
        <w:spacing w:lineRule="exact" w:line="460" w:before="0" w:after="0"/>
        <w:ind w:left="420" w:hanging="420"/>
        <w:jc w:val="left"/>
      </w:pPr>
      <w:r>
        <w:rPr>
          <w:rFonts w:ascii="Times New Roman" w:hAnsi="Times New Roman" w:eastAsia="宋体"/>
          <w:b w:val="0"/>
          <w:sz w:val="24"/>
        </w:rPr>
        <w:t>[11] Snowflake Inc. Streamlit Documentation[EB/OL]. [2026-04-18]. https://docs.streamlit.io/.</w:t>
      </w:r>
    </w:p>
    <w:p w14:paraId="3E9CCE6E">
      <w:pPr>
        <w:spacing w:lineRule="exact" w:line="460" w:before="0" w:after="0"/>
        <w:ind w:left="420" w:hanging="420"/>
        <w:jc w:val="left"/>
      </w:pPr>
      <w:r>
        <w:rPr>
          <w:rFonts w:ascii="Times New Roman" w:hAnsi="Times New Roman" w:eastAsia="宋体"/>
          <w:b w:val="0"/>
          <w:sz w:val="24"/>
        </w:rPr>
        <w:t>[12] 中国金融期货交易所. 日统计[EB/OL]. [2026-04-18]. http://www.cffex.com.cn/rtj/.</w:t>
      </w:r>
    </w:p>
    <w:p w14:paraId="20A824AF">
      <w:pPr>
        <w:spacing w:lineRule="exact" w:line="460" w:before="0" w:after="0"/>
        <w:ind w:left="420" w:hanging="420"/>
        <w:jc w:val="left"/>
      </w:pPr>
      <w:r>
        <w:rPr>
          <w:rFonts w:ascii="Times New Roman" w:hAnsi="Times New Roman" w:eastAsia="宋体"/>
          <w:b w:val="0"/>
          <w:sz w:val="24"/>
        </w:rPr>
        <w:t>[13] 中国人民银行调查统计司. 金融统计数据报告[EB/OL]. [2026-04-18]. https://www.pbc.gov.cn/diaochatongjisi/116219/116225/index.html.</w:t>
      </w:r>
    </w:p>
    <w:p w14:paraId="6D94156E">
      <w:pPr>
        <w:spacing w:lineRule="exact" w:line="460" w:before="0" w:after="0"/>
        <w:ind w:left="420" w:hanging="420"/>
        <w:jc w:val="left"/>
      </w:pPr>
      <w:r>
        <w:rPr>
          <w:rFonts w:ascii="Times New Roman" w:hAnsi="Times New Roman" w:eastAsia="宋体"/>
          <w:b w:val="0"/>
          <w:sz w:val="24"/>
        </w:rPr>
        <w:t>[14] 国家统计局. 数据发布[EB/OL]. [2026-04-18]. https://www.stats.gov.cn/sj/zxfb/.</w:t>
      </w:r>
    </w:p>
    <w:p>
      <w:pPr>
        <w:spacing w:lineRule="exact" w:line="460" w:before="0" w:after="0"/>
        <w:ind w:left="420" w:hanging="420"/>
        <w:jc w:val="left"/>
      </w:pPr>
      <w:r>
        <w:rPr>
          <w:rFonts w:ascii="Times New Roman" w:hAnsi="Times New Roman" w:eastAsia="宋体"/>
          <w:b w:val="0"/>
          <w:sz w:val="24"/>
        </w:rPr>
        <w:t>[15] Chen X, Hu Y. Volatility forecasts of stock index futures in China and the US: A hybrid LSTM approach[J]. PLoS ONE, 2022, 17(7): e0271595.</w:t>
      </w:r>
    </w:p>
    <w:p>
      <w:pPr>
        <w:spacing w:lineRule="exact" w:line="460" w:before="0" w:after="0"/>
        <w:ind w:left="420" w:hanging="420"/>
        <w:jc w:val="left"/>
      </w:pPr>
      <w:r>
        <w:rPr>
          <w:rFonts w:ascii="Times New Roman" w:hAnsi="Times New Roman" w:eastAsia="宋体"/>
          <w:b w:val="0"/>
          <w:sz w:val="24"/>
        </w:rPr>
        <w:t>[16] Lu F, Ma F, Bouri E, et al. Do commodity futures have a steering effect on the spot stock market in China? New evidence from volatility forecasting[J]. International Review of Financial Analysis, 2024, 94: 103262.</w:t>
      </w:r>
    </w:p>
    <w:p>
      <w:pPr>
        <w:spacing w:lineRule="exact" w:line="460" w:before="0" w:after="0"/>
        <w:ind w:left="420" w:hanging="420"/>
        <w:jc w:val="left"/>
      </w:pPr>
      <w:r>
        <w:rPr>
          <w:rFonts w:ascii="Times New Roman" w:hAnsi="Times New Roman" w:eastAsia="宋体"/>
          <w:b w:val="0"/>
          <w:sz w:val="24"/>
        </w:rPr>
        <w:t>[17] Zeng Q, Zhang J, Zhong J. China's futures market volatility and sectoral stock market volatility prediction[J]. Energy Economics, 2024, 132: 107429.</w:t>
      </w:r>
    </w:p>
    <w:p>
      <w:pPr>
        <w:spacing w:lineRule="exact" w:line="460" w:before="0" w:after="0"/>
        <w:ind w:left="420" w:hanging="420"/>
        <w:jc w:val="left"/>
      </w:pPr>
      <w:r>
        <w:rPr>
          <w:rFonts w:ascii="Times New Roman" w:hAnsi="Times New Roman" w:eastAsia="宋体"/>
          <w:b w:val="0"/>
          <w:sz w:val="24"/>
        </w:rPr>
        <w:t>[18] Mühleisen H, Raasveldt M. DuckDB: An Embeddable Analytical Database[C]. New York: Association for Computing Machinery, 2019.</w:t>
      </w:r>
    </w:p>
    <w:p>
      <w:pPr>
        <w:spacing w:lineRule="exact" w:line="460" w:before="0" w:after="0"/>
        <w:ind w:left="420" w:hanging="420"/>
        <w:jc w:val="left"/>
      </w:pPr>
      <w:r>
        <w:rPr>
          <w:rFonts w:ascii="Times New Roman" w:hAnsi="Times New Roman" w:eastAsia="宋体"/>
          <w:b w:val="0"/>
          <w:sz w:val="24"/>
        </w:rPr>
        <w:t>[19] Mühleisen H, Raasveldt M. Data Management for Data Science: Towards Embedded Analytics[C]. CIDR, 2020.</w:t>
      </w:r>
    </w:p>
    <w:p>
      <w:pPr>
        <w:spacing w:lineRule="exact" w:line="460" w:before="0" w:after="0"/>
        <w:ind w:left="420" w:hanging="420"/>
        <w:jc w:val="left"/>
      </w:pPr>
      <w:r>
        <w:rPr>
          <w:rFonts w:ascii="Times New Roman" w:hAnsi="Times New Roman" w:eastAsia="宋体"/>
          <w:b w:val="0"/>
          <w:sz w:val="24"/>
        </w:rPr>
        <w:t>[20] 何婧萱. 基于机器学习的 A 股市场股指期货价格预测研究[D]. 杭州: 浙江大学, 2024.</w:t>
      </w:r>
    </w:p>
    <w:p>
      <w:pPr>
        <w:spacing w:lineRule="exact" w:line="460" w:before="0" w:after="0"/>
        <w:ind w:left="420" w:hanging="420"/>
        <w:jc w:val="left"/>
      </w:pPr>
      <w:r>
        <w:rPr>
          <w:rFonts w:ascii="Times New Roman" w:hAnsi="Times New Roman" w:eastAsia="宋体"/>
          <w:b w:val="0"/>
          <w:sz w:val="24"/>
        </w:rPr>
        <w:t>[21] 朱峰. 基于深度学习的金融市场高频交易数据波动率预测的研究与应用[D]. 上海: 东华大学, 2023.</w:t>
      </w:r>
    </w:p>
    <w:p w14:paraId="6506FE37">
      <w:r>
        <w:br w:type="page"/>
      </w:r>
    </w:p>
    <w:p w14:paraId="58537B7D">
      <w:pPr>
        <w:pStyle w:val="2"/>
        <w:spacing w:lineRule="exact" w:line="460" w:before="360" w:after="240"/>
        <w:jc w:val="center"/>
        <w:rPr>
          <w:rFonts w:hint="default"/>
        </w:rPr>
      </w:pPr>
      <w:bookmarkStart w:id="39" w:name="_Toc224859790"/>
      <w:r>
        <w:rPr>
          <w:rFonts w:ascii="Times New Roman" w:hAnsi="Times New Roman" w:eastAsia="黑体"/>
          <w:b/>
          <w:sz w:val="36"/>
        </w:rPr>
        <w:t>致谢</w:t>
      </w:r>
      <w:bookmarkEnd w:id="39"/>
    </w:p>
    <w:p w14:paraId="15B55FC0">
      <w:r>
        <w:t>在本次毕业设计与论文撰写过程中，指导教师马利平老师在选题确定、系统设计、论文结构梳理和细节修改等方面给予了耐心指导。老师在研究思路和学术规范上的严格要求，使我能够在实现系统功能的同时，逐步形成较为完整的工程化意识和论文表达能力。</w:t>
      </w:r>
    </w:p>
    <w:p w14:paraId="6A270D75">
      <w:r>
        <w:t>同时，感谢学院提供的数据科学与大数据技术课程训练，使我能够将数据采</w:t>
      </w:r>
      <w:bookmarkStart w:id="40" w:name="_GoBack"/>
      <w:bookmarkEnd w:id="40"/>
      <w:r>
        <w:t>集、数据处理、后端服务和前端可视化等知识综合应用到同一项目中。也感谢在项目开发和测试过程中给予帮助的同学与朋友，他们的建议帮助我持续完善系统页面、图表导出和测试流程。</w:t>
      </w:r>
    </w:p>
    <w:p w14:paraId="773C30FF">
      <w:r>
        <w:t>最后，感谢家人对我毕业设计期间的理解与支持。正是这些支持，使我能够顺利完成本课题研究与论文撰写工作。</w:t>
      </w:r>
    </w:p>
    <w:sectPr>
      <w:headerReference r:id="rId10" w:type="default"/>
      <w:footerReference r:id="rId12" w:type="default"/>
      <w:headerReference r:id="rId11" w:type="even"/>
      <w:footerReference r:id="rId13" w:type="even"/>
      <w:pgSz w:w="11906" w:h="16838"/>
      <w:pgMar w:top="1417" w:right="1701" w:bottom="1134" w:left="1701" w:header="850" w:footer="850" w:gutter="0"/>
      <w:cols w:space="720" w:num="1"/>
      <w:docGrid w:type="lines" w:linePitch="312" w:charSpace="0"/>
      <w:pgNumType w:fmt="decimal" w:start="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Calibri Light">
    <w:panose1 w:val="020F03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2089AB">
    <w:pPr>
      <w:pStyle w:val="15"/>
      <w:jc w:val="center"/>
      <w:rPr>
        <w:caps/>
      </w:rPr>
    </w:pPr>
  </w:p>
  <w:p w14:paraId="3F4E2290">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5DC35F">
    <w:pPr>
      <w:pStyle w:val="15"/>
      <w:spacing w:before="0" w:after="0" w:line="240" w:lineRule="auto"/>
      <w:jc w:val="center"/>
    </w:pPr>
    <w:r>
      <w:rPr>
        <w:rFonts w:ascii="Times New Roman" w:hAnsi="Times New Roman" w:eastAsia="Times New Roman"/>
        <w:b w:val="0"/>
        <w:sz w:val="21"/>
      </w:rPr>
      <w:fldChar w:fldCharType="begin"/>
      <w:instrText xml:space="preserve"> PAGE </w:instrText>
      <w:fldChar w:fldCharType="separate"/>
      <w:t>1</w:t>
      <w:fldChar w:fldCharType="end"/>
    </w:r>
  </w:p>
  <w:p w14:paraId="2B1CF6A5">
    <w:pPr>
      <w:pStyle w:val="15"/>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B493BA">
    <w:pPr>
      <w:pStyle w:val="15"/>
      <w:spacing w:before="0" w:after="0" w:line="240" w:lineRule="auto"/>
      <w:ind w:right="360" w:firstLine="360"/>
      <w:jc w:val="center"/>
    </w:pPr>
    <w:r>
      <w:rPr>
        <w:rFonts w:ascii="Times New Roman" w:hAnsi="Times New Roman" w:eastAsia="Times New Roman"/>
        <w:b w:val="0"/>
        <w:sz w:val="21"/>
      </w:rPr>
      <w:fldChar w:fldCharType="begin"/>
      <w:instrText xml:space="preserve"> PAGE </w:instrText>
      <w:fldChar w:fldCharType="separate"/>
      <w:t>1</w:t>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561CBE">
    <w:pPr>
      <w:pStyle w:val="15"/>
      <w:spacing w:before="0" w:after="0" w:line="240" w:lineRule="auto"/>
      <w:jc w:val="center"/>
    </w:pPr>
    <w:r>
      <w:rPr>
        <w:rFonts w:ascii="Times New Roman" w:hAnsi="Times New Roman" w:eastAsia="Times New Roman"/>
        <w:b w:val="0"/>
        <w:sz w:val="21"/>
      </w:rPr>
      <w:fldChar w:fldCharType="begin"/>
      <w:instrText xml:space="preserve"> PAGE </w:instrText>
      <w:fldChar w:fldCharType="separate"/>
      <w:t>1</w:t>
      <w:fldChar w:fldCharType="end"/>
    </w:r>
  </w:p>
  <w:p w14:paraId="0D9954FB">
    <w:pPr>
      <w:pStyle w:val="15"/>
      <w:ind w:right="36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4E6957">
    <w:pPr>
      <w:pStyle w:val="15"/>
      <w:spacing w:before="0" w:after="0" w:line="240" w:lineRule="auto"/>
      <w:ind w:right="360" w:firstLine="360"/>
      <w:jc w:val="center"/>
    </w:pPr>
    <w:r>
      <w:rPr>
        <w:rFonts w:ascii="Times New Roman" w:hAnsi="Times New Roman" w:eastAsia="Times New Roman"/>
        <w:b w:val="0"/>
        <w:sz w:val="21"/>
      </w:rPr>
      <w:fldChar w:fldCharType="begin"/>
      <w:instrText xml:space="preserve"> PAGE </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eastAsia="Times New Roman"/>
        <w:b w:val="0"/>
        <w:sz w:val="21"/>
      </w:rPr>
      <w:t>I</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eastAsia="Times New Roman"/>
        <w:b w:val="0"/>
        <w:sz w:val="21"/>
      </w:rPr>
      <w:t>I</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2BD6AF">
    <w:pPr>
      <w:pStyle w:val="1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0AD576">
    <w:pPr>
      <w:pStyle w:val="16"/>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999CED">
    <w:pPr>
      <w:pStyle w:val="16"/>
      <w:pBdr>
        <w:top w:val="none" w:color="auto" w:sz="0" w:space="1"/>
        <w:left w:val="none" w:color="auto" w:sz="0" w:space="4"/>
        <w:bottom w:val="single" w:color="000000" w:sz="12" w:space="1"/>
        <w:right w:val="none" w:color="auto" w:sz="0" w:space="4"/>
      </w:pBdr>
      <w:spacing w:before="0" w:after="0" w:line="240" w:lineRule="auto"/>
      <w:jc w:val="center"/>
    </w:pPr>
    <w:r>
      <w:rPr>
        <w:rFonts w:ascii="Times New Roman" w:hAnsi="Times New Roman" w:eastAsia="宋体"/>
        <w:b w:val="0"/>
        <w:sz w:val="21"/>
      </w:rPr>
      <w:t>上海立达学院本科毕业论文（设计）</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7A4FB">
    <w:pPr>
      <w:pStyle w:val="16"/>
      <w:pBdr>
        <w:bottom w:val="single" w:color="000000" w:sz="12" w:space="1"/>
      </w:pBdr>
      <w:spacing w:before="0" w:after="0" w:line="240" w:lineRule="auto"/>
      <w:jc w:val="center"/>
    </w:pPr>
    <w:r>
      <w:rPr>
        <w:rFonts w:ascii="Times New Roman" w:hAnsi="Times New Roman" w:eastAsia="宋体"/>
        <w:b w:val="0"/>
        <w:sz w:val="21"/>
      </w:rPr>
      <w:t>上海立达学院本科毕业论文（设计）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evenAndOddHeaders/>
  <w:drawingGridVerticalSpacing w:val="156"/>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YjFkNDI1MTA3MWZmYmM5M2QzZDRjZDQ4MDE4NmJiMDUifQ=="/>
  </w:docVars>
  <w:rsids>
    <w:rsidRoot w:val="00897B7A"/>
    <w:rsid w:val="000045BF"/>
    <w:rsid w:val="0001675E"/>
    <w:rsid w:val="00017D77"/>
    <w:rsid w:val="00024F6A"/>
    <w:rsid w:val="00027731"/>
    <w:rsid w:val="00032AE2"/>
    <w:rsid w:val="000360A9"/>
    <w:rsid w:val="00046D2E"/>
    <w:rsid w:val="00050486"/>
    <w:rsid w:val="000504FD"/>
    <w:rsid w:val="000522A0"/>
    <w:rsid w:val="0005642E"/>
    <w:rsid w:val="00056A96"/>
    <w:rsid w:val="00060242"/>
    <w:rsid w:val="00060BFC"/>
    <w:rsid w:val="00064041"/>
    <w:rsid w:val="00065028"/>
    <w:rsid w:val="00065C87"/>
    <w:rsid w:val="00066D99"/>
    <w:rsid w:val="0007183F"/>
    <w:rsid w:val="00074A89"/>
    <w:rsid w:val="00083133"/>
    <w:rsid w:val="00084191"/>
    <w:rsid w:val="0008483E"/>
    <w:rsid w:val="00086552"/>
    <w:rsid w:val="00094203"/>
    <w:rsid w:val="00094A27"/>
    <w:rsid w:val="00095EA0"/>
    <w:rsid w:val="0009668D"/>
    <w:rsid w:val="00096DA5"/>
    <w:rsid w:val="000A311A"/>
    <w:rsid w:val="000B0812"/>
    <w:rsid w:val="000C4F6B"/>
    <w:rsid w:val="000C52EE"/>
    <w:rsid w:val="000C7C8C"/>
    <w:rsid w:val="000D109D"/>
    <w:rsid w:val="000D51F0"/>
    <w:rsid w:val="000E6638"/>
    <w:rsid w:val="000E71EB"/>
    <w:rsid w:val="000F5589"/>
    <w:rsid w:val="000F60B3"/>
    <w:rsid w:val="000F6754"/>
    <w:rsid w:val="000F727C"/>
    <w:rsid w:val="00103550"/>
    <w:rsid w:val="00104919"/>
    <w:rsid w:val="00105053"/>
    <w:rsid w:val="001117C5"/>
    <w:rsid w:val="00113970"/>
    <w:rsid w:val="00114027"/>
    <w:rsid w:val="00116E64"/>
    <w:rsid w:val="00125E3F"/>
    <w:rsid w:val="001276A1"/>
    <w:rsid w:val="00127E5B"/>
    <w:rsid w:val="00133AD8"/>
    <w:rsid w:val="00143CB2"/>
    <w:rsid w:val="0014507C"/>
    <w:rsid w:val="00147923"/>
    <w:rsid w:val="001550E1"/>
    <w:rsid w:val="001562EE"/>
    <w:rsid w:val="00164099"/>
    <w:rsid w:val="00172686"/>
    <w:rsid w:val="00174749"/>
    <w:rsid w:val="00174D1F"/>
    <w:rsid w:val="001767DC"/>
    <w:rsid w:val="00190A86"/>
    <w:rsid w:val="001924B0"/>
    <w:rsid w:val="001A1150"/>
    <w:rsid w:val="001A3AB6"/>
    <w:rsid w:val="001A5856"/>
    <w:rsid w:val="001B1687"/>
    <w:rsid w:val="001B55AF"/>
    <w:rsid w:val="001C0B01"/>
    <w:rsid w:val="001C2E64"/>
    <w:rsid w:val="001C6EC5"/>
    <w:rsid w:val="001D07EB"/>
    <w:rsid w:val="001D3FD3"/>
    <w:rsid w:val="001D524F"/>
    <w:rsid w:val="001E004E"/>
    <w:rsid w:val="001E5639"/>
    <w:rsid w:val="001F2288"/>
    <w:rsid w:val="001F44C0"/>
    <w:rsid w:val="001F5CDC"/>
    <w:rsid w:val="0020051B"/>
    <w:rsid w:val="00202909"/>
    <w:rsid w:val="002055E2"/>
    <w:rsid w:val="002062A6"/>
    <w:rsid w:val="00216AE0"/>
    <w:rsid w:val="00216C92"/>
    <w:rsid w:val="002179FC"/>
    <w:rsid w:val="00230F66"/>
    <w:rsid w:val="00231C2E"/>
    <w:rsid w:val="00231CDD"/>
    <w:rsid w:val="00231E74"/>
    <w:rsid w:val="0024086E"/>
    <w:rsid w:val="0024335C"/>
    <w:rsid w:val="00244BC2"/>
    <w:rsid w:val="00246B4D"/>
    <w:rsid w:val="00251A1E"/>
    <w:rsid w:val="00252A22"/>
    <w:rsid w:val="00254F9A"/>
    <w:rsid w:val="0026091E"/>
    <w:rsid w:val="002624F5"/>
    <w:rsid w:val="00262C84"/>
    <w:rsid w:val="002807CE"/>
    <w:rsid w:val="00281B0A"/>
    <w:rsid w:val="002857D9"/>
    <w:rsid w:val="0029339A"/>
    <w:rsid w:val="002A667E"/>
    <w:rsid w:val="002A74A8"/>
    <w:rsid w:val="002B18ED"/>
    <w:rsid w:val="002B1DAF"/>
    <w:rsid w:val="002B2FE0"/>
    <w:rsid w:val="002C4DE3"/>
    <w:rsid w:val="002D1637"/>
    <w:rsid w:val="002E66BE"/>
    <w:rsid w:val="002F2F4C"/>
    <w:rsid w:val="002F45CD"/>
    <w:rsid w:val="002F4655"/>
    <w:rsid w:val="002F7757"/>
    <w:rsid w:val="002F78E1"/>
    <w:rsid w:val="003024C4"/>
    <w:rsid w:val="00317772"/>
    <w:rsid w:val="0032116F"/>
    <w:rsid w:val="003213C2"/>
    <w:rsid w:val="003237B7"/>
    <w:rsid w:val="003266C5"/>
    <w:rsid w:val="00343884"/>
    <w:rsid w:val="00360435"/>
    <w:rsid w:val="003653F4"/>
    <w:rsid w:val="003721DD"/>
    <w:rsid w:val="00373EE9"/>
    <w:rsid w:val="0037491C"/>
    <w:rsid w:val="00374D1C"/>
    <w:rsid w:val="00374E14"/>
    <w:rsid w:val="003773C7"/>
    <w:rsid w:val="00386BB6"/>
    <w:rsid w:val="00391F51"/>
    <w:rsid w:val="00395157"/>
    <w:rsid w:val="0039762A"/>
    <w:rsid w:val="003A0A6C"/>
    <w:rsid w:val="003A6288"/>
    <w:rsid w:val="003A6321"/>
    <w:rsid w:val="003A71AD"/>
    <w:rsid w:val="003B30A6"/>
    <w:rsid w:val="003B6B9A"/>
    <w:rsid w:val="003C18B5"/>
    <w:rsid w:val="003D770F"/>
    <w:rsid w:val="003D7F11"/>
    <w:rsid w:val="003E0331"/>
    <w:rsid w:val="003E0CC6"/>
    <w:rsid w:val="003E1CEE"/>
    <w:rsid w:val="003E3ADE"/>
    <w:rsid w:val="003E5BE6"/>
    <w:rsid w:val="00400044"/>
    <w:rsid w:val="00400520"/>
    <w:rsid w:val="00403947"/>
    <w:rsid w:val="00407E7C"/>
    <w:rsid w:val="0042020F"/>
    <w:rsid w:val="0042354C"/>
    <w:rsid w:val="00425124"/>
    <w:rsid w:val="00425563"/>
    <w:rsid w:val="00433B5A"/>
    <w:rsid w:val="00436596"/>
    <w:rsid w:val="004368FD"/>
    <w:rsid w:val="00440734"/>
    <w:rsid w:val="004422D8"/>
    <w:rsid w:val="00442396"/>
    <w:rsid w:val="0044391C"/>
    <w:rsid w:val="0044531E"/>
    <w:rsid w:val="00445B18"/>
    <w:rsid w:val="00456378"/>
    <w:rsid w:val="00457016"/>
    <w:rsid w:val="00461952"/>
    <w:rsid w:val="004621F4"/>
    <w:rsid w:val="004712C8"/>
    <w:rsid w:val="00472C39"/>
    <w:rsid w:val="00477367"/>
    <w:rsid w:val="00482FFA"/>
    <w:rsid w:val="00483E65"/>
    <w:rsid w:val="00485229"/>
    <w:rsid w:val="004919D6"/>
    <w:rsid w:val="00493939"/>
    <w:rsid w:val="00494C05"/>
    <w:rsid w:val="004965FB"/>
    <w:rsid w:val="004A4950"/>
    <w:rsid w:val="004A4E90"/>
    <w:rsid w:val="004C03EA"/>
    <w:rsid w:val="004C20D3"/>
    <w:rsid w:val="004D05A0"/>
    <w:rsid w:val="004D1CC8"/>
    <w:rsid w:val="004D6EE4"/>
    <w:rsid w:val="004F3398"/>
    <w:rsid w:val="004F36FF"/>
    <w:rsid w:val="004F7C1A"/>
    <w:rsid w:val="005010FB"/>
    <w:rsid w:val="00501D32"/>
    <w:rsid w:val="0050431F"/>
    <w:rsid w:val="00504B4A"/>
    <w:rsid w:val="0050500B"/>
    <w:rsid w:val="00507532"/>
    <w:rsid w:val="00515352"/>
    <w:rsid w:val="00515594"/>
    <w:rsid w:val="00523342"/>
    <w:rsid w:val="00525926"/>
    <w:rsid w:val="0053390B"/>
    <w:rsid w:val="005354A0"/>
    <w:rsid w:val="00537B0B"/>
    <w:rsid w:val="005410FD"/>
    <w:rsid w:val="00541C11"/>
    <w:rsid w:val="0054619E"/>
    <w:rsid w:val="00551DBE"/>
    <w:rsid w:val="00552CE5"/>
    <w:rsid w:val="005663FB"/>
    <w:rsid w:val="00566C7B"/>
    <w:rsid w:val="0057712E"/>
    <w:rsid w:val="00583871"/>
    <w:rsid w:val="00596579"/>
    <w:rsid w:val="0059681C"/>
    <w:rsid w:val="005A1C58"/>
    <w:rsid w:val="005B2C1C"/>
    <w:rsid w:val="005B39D9"/>
    <w:rsid w:val="005B3FF4"/>
    <w:rsid w:val="005C08D4"/>
    <w:rsid w:val="005C240A"/>
    <w:rsid w:val="005C4257"/>
    <w:rsid w:val="005C580A"/>
    <w:rsid w:val="005D09E7"/>
    <w:rsid w:val="005D37A3"/>
    <w:rsid w:val="005D4E96"/>
    <w:rsid w:val="005E280F"/>
    <w:rsid w:val="005E548E"/>
    <w:rsid w:val="005E6253"/>
    <w:rsid w:val="005E66B4"/>
    <w:rsid w:val="005E6836"/>
    <w:rsid w:val="005E707E"/>
    <w:rsid w:val="005E7F10"/>
    <w:rsid w:val="005F5524"/>
    <w:rsid w:val="00600EC1"/>
    <w:rsid w:val="006034DE"/>
    <w:rsid w:val="00604400"/>
    <w:rsid w:val="006053BE"/>
    <w:rsid w:val="00615757"/>
    <w:rsid w:val="00617ABB"/>
    <w:rsid w:val="00622AD2"/>
    <w:rsid w:val="006246A1"/>
    <w:rsid w:val="0062752F"/>
    <w:rsid w:val="006337A4"/>
    <w:rsid w:val="006377DA"/>
    <w:rsid w:val="006408D4"/>
    <w:rsid w:val="00646D42"/>
    <w:rsid w:val="00646DE1"/>
    <w:rsid w:val="00654A1C"/>
    <w:rsid w:val="0066181F"/>
    <w:rsid w:val="00667DA0"/>
    <w:rsid w:val="00670846"/>
    <w:rsid w:val="006747B9"/>
    <w:rsid w:val="006914F9"/>
    <w:rsid w:val="00696AA9"/>
    <w:rsid w:val="006A11CB"/>
    <w:rsid w:val="006A1DE6"/>
    <w:rsid w:val="006A20F5"/>
    <w:rsid w:val="006A2922"/>
    <w:rsid w:val="006B13AF"/>
    <w:rsid w:val="006B17A4"/>
    <w:rsid w:val="006B6B1A"/>
    <w:rsid w:val="006C2CCA"/>
    <w:rsid w:val="006C3635"/>
    <w:rsid w:val="006C565E"/>
    <w:rsid w:val="006D79D4"/>
    <w:rsid w:val="006E5892"/>
    <w:rsid w:val="006F1A87"/>
    <w:rsid w:val="006F3AA0"/>
    <w:rsid w:val="00703E0D"/>
    <w:rsid w:val="00711B14"/>
    <w:rsid w:val="00712330"/>
    <w:rsid w:val="00713098"/>
    <w:rsid w:val="007149C2"/>
    <w:rsid w:val="00725B76"/>
    <w:rsid w:val="007446AC"/>
    <w:rsid w:val="007465F1"/>
    <w:rsid w:val="007554F5"/>
    <w:rsid w:val="007558E9"/>
    <w:rsid w:val="00756D0D"/>
    <w:rsid w:val="007570EE"/>
    <w:rsid w:val="00757AF1"/>
    <w:rsid w:val="007628BD"/>
    <w:rsid w:val="00763FDA"/>
    <w:rsid w:val="00764F0B"/>
    <w:rsid w:val="00766090"/>
    <w:rsid w:val="00775BB2"/>
    <w:rsid w:val="00777AA0"/>
    <w:rsid w:val="0078330E"/>
    <w:rsid w:val="00784CCC"/>
    <w:rsid w:val="00786096"/>
    <w:rsid w:val="007916CB"/>
    <w:rsid w:val="0079337F"/>
    <w:rsid w:val="00795623"/>
    <w:rsid w:val="00795629"/>
    <w:rsid w:val="00796607"/>
    <w:rsid w:val="00797411"/>
    <w:rsid w:val="007A0506"/>
    <w:rsid w:val="007A095E"/>
    <w:rsid w:val="007A0F7D"/>
    <w:rsid w:val="007A4C40"/>
    <w:rsid w:val="007A72E4"/>
    <w:rsid w:val="007A77A2"/>
    <w:rsid w:val="007B31CF"/>
    <w:rsid w:val="007B671E"/>
    <w:rsid w:val="007B75FB"/>
    <w:rsid w:val="007C370E"/>
    <w:rsid w:val="007C4FC5"/>
    <w:rsid w:val="007C51A0"/>
    <w:rsid w:val="007C6349"/>
    <w:rsid w:val="007C6C6F"/>
    <w:rsid w:val="007D2573"/>
    <w:rsid w:val="007D2C24"/>
    <w:rsid w:val="007E146B"/>
    <w:rsid w:val="007E1EB9"/>
    <w:rsid w:val="008003B3"/>
    <w:rsid w:val="00807A99"/>
    <w:rsid w:val="00812B96"/>
    <w:rsid w:val="0081680D"/>
    <w:rsid w:val="0082320A"/>
    <w:rsid w:val="00823640"/>
    <w:rsid w:val="008346D9"/>
    <w:rsid w:val="00835D4F"/>
    <w:rsid w:val="00840F7E"/>
    <w:rsid w:val="00841E9A"/>
    <w:rsid w:val="00842E04"/>
    <w:rsid w:val="00851C41"/>
    <w:rsid w:val="00864CC4"/>
    <w:rsid w:val="00867F90"/>
    <w:rsid w:val="00872650"/>
    <w:rsid w:val="00876C63"/>
    <w:rsid w:val="008858D1"/>
    <w:rsid w:val="00887CAF"/>
    <w:rsid w:val="00890710"/>
    <w:rsid w:val="00890B0D"/>
    <w:rsid w:val="00893CB8"/>
    <w:rsid w:val="00894670"/>
    <w:rsid w:val="008974E9"/>
    <w:rsid w:val="00897725"/>
    <w:rsid w:val="00897B7A"/>
    <w:rsid w:val="008A15D5"/>
    <w:rsid w:val="008B13E8"/>
    <w:rsid w:val="008B1A69"/>
    <w:rsid w:val="008C06BD"/>
    <w:rsid w:val="008D0AF6"/>
    <w:rsid w:val="008D1207"/>
    <w:rsid w:val="008D69ED"/>
    <w:rsid w:val="008F0CE7"/>
    <w:rsid w:val="008F2AA2"/>
    <w:rsid w:val="008F2B25"/>
    <w:rsid w:val="008F6712"/>
    <w:rsid w:val="009019EB"/>
    <w:rsid w:val="00907CB5"/>
    <w:rsid w:val="009125C6"/>
    <w:rsid w:val="009170AE"/>
    <w:rsid w:val="0091758A"/>
    <w:rsid w:val="009176B6"/>
    <w:rsid w:val="00921B66"/>
    <w:rsid w:val="00926FA1"/>
    <w:rsid w:val="00930F88"/>
    <w:rsid w:val="00941CCB"/>
    <w:rsid w:val="00943BAE"/>
    <w:rsid w:val="00947DBB"/>
    <w:rsid w:val="009556F8"/>
    <w:rsid w:val="00960AF5"/>
    <w:rsid w:val="00963B3F"/>
    <w:rsid w:val="00966C7C"/>
    <w:rsid w:val="0097160C"/>
    <w:rsid w:val="009801A9"/>
    <w:rsid w:val="00986083"/>
    <w:rsid w:val="0099051F"/>
    <w:rsid w:val="00994504"/>
    <w:rsid w:val="00995D97"/>
    <w:rsid w:val="009961D5"/>
    <w:rsid w:val="009A1BF8"/>
    <w:rsid w:val="009A228D"/>
    <w:rsid w:val="009A2BF9"/>
    <w:rsid w:val="009B3A90"/>
    <w:rsid w:val="009B3C89"/>
    <w:rsid w:val="009C3CA8"/>
    <w:rsid w:val="009D47B5"/>
    <w:rsid w:val="009E2224"/>
    <w:rsid w:val="009E42B3"/>
    <w:rsid w:val="009E7A97"/>
    <w:rsid w:val="009F6EE2"/>
    <w:rsid w:val="00A0090B"/>
    <w:rsid w:val="00A01ECC"/>
    <w:rsid w:val="00A04A82"/>
    <w:rsid w:val="00A07F4E"/>
    <w:rsid w:val="00A07FEB"/>
    <w:rsid w:val="00A122B1"/>
    <w:rsid w:val="00A16C34"/>
    <w:rsid w:val="00A17D65"/>
    <w:rsid w:val="00A209F0"/>
    <w:rsid w:val="00A22320"/>
    <w:rsid w:val="00A25841"/>
    <w:rsid w:val="00A27259"/>
    <w:rsid w:val="00A30205"/>
    <w:rsid w:val="00A35DAF"/>
    <w:rsid w:val="00A360A1"/>
    <w:rsid w:val="00A3721B"/>
    <w:rsid w:val="00A51BC0"/>
    <w:rsid w:val="00A55D55"/>
    <w:rsid w:val="00A6091F"/>
    <w:rsid w:val="00A621BA"/>
    <w:rsid w:val="00A63ED2"/>
    <w:rsid w:val="00A65368"/>
    <w:rsid w:val="00A70C30"/>
    <w:rsid w:val="00A713C4"/>
    <w:rsid w:val="00A7276D"/>
    <w:rsid w:val="00A75667"/>
    <w:rsid w:val="00A766C0"/>
    <w:rsid w:val="00A81C56"/>
    <w:rsid w:val="00A92EBE"/>
    <w:rsid w:val="00A948A1"/>
    <w:rsid w:val="00A9651E"/>
    <w:rsid w:val="00A9779C"/>
    <w:rsid w:val="00AA3504"/>
    <w:rsid w:val="00AB0B12"/>
    <w:rsid w:val="00AB40C8"/>
    <w:rsid w:val="00AB5068"/>
    <w:rsid w:val="00AB6725"/>
    <w:rsid w:val="00AC7D3A"/>
    <w:rsid w:val="00AD043F"/>
    <w:rsid w:val="00AD78FC"/>
    <w:rsid w:val="00AE0B17"/>
    <w:rsid w:val="00AE5239"/>
    <w:rsid w:val="00AE5391"/>
    <w:rsid w:val="00AF6FC3"/>
    <w:rsid w:val="00AF7902"/>
    <w:rsid w:val="00B02AAD"/>
    <w:rsid w:val="00B051FA"/>
    <w:rsid w:val="00B11AF1"/>
    <w:rsid w:val="00B130F1"/>
    <w:rsid w:val="00B14625"/>
    <w:rsid w:val="00B22F86"/>
    <w:rsid w:val="00B24937"/>
    <w:rsid w:val="00B259C1"/>
    <w:rsid w:val="00B33DAF"/>
    <w:rsid w:val="00B47649"/>
    <w:rsid w:val="00B50BF5"/>
    <w:rsid w:val="00B518BD"/>
    <w:rsid w:val="00B6083D"/>
    <w:rsid w:val="00B60F7F"/>
    <w:rsid w:val="00B64869"/>
    <w:rsid w:val="00B64A3E"/>
    <w:rsid w:val="00B65249"/>
    <w:rsid w:val="00B7247F"/>
    <w:rsid w:val="00B72880"/>
    <w:rsid w:val="00B75C1B"/>
    <w:rsid w:val="00B77100"/>
    <w:rsid w:val="00B94709"/>
    <w:rsid w:val="00B948CE"/>
    <w:rsid w:val="00B977EF"/>
    <w:rsid w:val="00BA0FDA"/>
    <w:rsid w:val="00BA37F9"/>
    <w:rsid w:val="00BB73C6"/>
    <w:rsid w:val="00BC2CAC"/>
    <w:rsid w:val="00BD4C85"/>
    <w:rsid w:val="00BE2F27"/>
    <w:rsid w:val="00BF1463"/>
    <w:rsid w:val="00BF1BE5"/>
    <w:rsid w:val="00BF7809"/>
    <w:rsid w:val="00C01899"/>
    <w:rsid w:val="00C04EC6"/>
    <w:rsid w:val="00C05897"/>
    <w:rsid w:val="00C10388"/>
    <w:rsid w:val="00C11C7C"/>
    <w:rsid w:val="00C320EA"/>
    <w:rsid w:val="00C357CC"/>
    <w:rsid w:val="00C46BFE"/>
    <w:rsid w:val="00C514E7"/>
    <w:rsid w:val="00C52FB1"/>
    <w:rsid w:val="00C567F6"/>
    <w:rsid w:val="00C61EED"/>
    <w:rsid w:val="00C62822"/>
    <w:rsid w:val="00C66C17"/>
    <w:rsid w:val="00C70080"/>
    <w:rsid w:val="00C73AF0"/>
    <w:rsid w:val="00C75E3B"/>
    <w:rsid w:val="00C761BA"/>
    <w:rsid w:val="00C96B21"/>
    <w:rsid w:val="00C9700D"/>
    <w:rsid w:val="00CA2AEE"/>
    <w:rsid w:val="00CA2C3E"/>
    <w:rsid w:val="00CA6785"/>
    <w:rsid w:val="00CB5A5A"/>
    <w:rsid w:val="00CB5ABE"/>
    <w:rsid w:val="00CB742A"/>
    <w:rsid w:val="00CC1B4F"/>
    <w:rsid w:val="00CC282D"/>
    <w:rsid w:val="00CC3AF8"/>
    <w:rsid w:val="00CC4315"/>
    <w:rsid w:val="00CC4BDB"/>
    <w:rsid w:val="00CC5101"/>
    <w:rsid w:val="00CD3951"/>
    <w:rsid w:val="00CD6517"/>
    <w:rsid w:val="00CD69E6"/>
    <w:rsid w:val="00CD6BF1"/>
    <w:rsid w:val="00CD6E25"/>
    <w:rsid w:val="00CE1711"/>
    <w:rsid w:val="00CE79D6"/>
    <w:rsid w:val="00CF3AAB"/>
    <w:rsid w:val="00D1041D"/>
    <w:rsid w:val="00D23296"/>
    <w:rsid w:val="00D32648"/>
    <w:rsid w:val="00D40FC9"/>
    <w:rsid w:val="00D472B2"/>
    <w:rsid w:val="00D47B22"/>
    <w:rsid w:val="00D53C4F"/>
    <w:rsid w:val="00D54629"/>
    <w:rsid w:val="00D573B5"/>
    <w:rsid w:val="00D57446"/>
    <w:rsid w:val="00D57D87"/>
    <w:rsid w:val="00D6069D"/>
    <w:rsid w:val="00D637B3"/>
    <w:rsid w:val="00D639AD"/>
    <w:rsid w:val="00D66EA2"/>
    <w:rsid w:val="00D7232F"/>
    <w:rsid w:val="00D74308"/>
    <w:rsid w:val="00D750CD"/>
    <w:rsid w:val="00D81D21"/>
    <w:rsid w:val="00D9005E"/>
    <w:rsid w:val="00D91FDF"/>
    <w:rsid w:val="00D9590D"/>
    <w:rsid w:val="00DA55B6"/>
    <w:rsid w:val="00DB294F"/>
    <w:rsid w:val="00DB31A9"/>
    <w:rsid w:val="00DD77C4"/>
    <w:rsid w:val="00DE323B"/>
    <w:rsid w:val="00DE44D7"/>
    <w:rsid w:val="00DF26D5"/>
    <w:rsid w:val="00E01A06"/>
    <w:rsid w:val="00E05C57"/>
    <w:rsid w:val="00E07460"/>
    <w:rsid w:val="00E10BD5"/>
    <w:rsid w:val="00E12243"/>
    <w:rsid w:val="00E143F1"/>
    <w:rsid w:val="00E17BFD"/>
    <w:rsid w:val="00E2345E"/>
    <w:rsid w:val="00E25175"/>
    <w:rsid w:val="00E27F14"/>
    <w:rsid w:val="00E3707E"/>
    <w:rsid w:val="00E37A8E"/>
    <w:rsid w:val="00E41259"/>
    <w:rsid w:val="00E42901"/>
    <w:rsid w:val="00E503F1"/>
    <w:rsid w:val="00E54F9C"/>
    <w:rsid w:val="00E60652"/>
    <w:rsid w:val="00E63CEF"/>
    <w:rsid w:val="00E7063C"/>
    <w:rsid w:val="00E80677"/>
    <w:rsid w:val="00E830F1"/>
    <w:rsid w:val="00E83567"/>
    <w:rsid w:val="00E90341"/>
    <w:rsid w:val="00E91913"/>
    <w:rsid w:val="00E93345"/>
    <w:rsid w:val="00E937C9"/>
    <w:rsid w:val="00EA4CC8"/>
    <w:rsid w:val="00EA5B70"/>
    <w:rsid w:val="00EB429C"/>
    <w:rsid w:val="00EC04C4"/>
    <w:rsid w:val="00EC1573"/>
    <w:rsid w:val="00EC6B45"/>
    <w:rsid w:val="00ED13EF"/>
    <w:rsid w:val="00ED1FD6"/>
    <w:rsid w:val="00ED57BB"/>
    <w:rsid w:val="00EE0D14"/>
    <w:rsid w:val="00EE1865"/>
    <w:rsid w:val="00EE2C54"/>
    <w:rsid w:val="00EE43CF"/>
    <w:rsid w:val="00EF23C2"/>
    <w:rsid w:val="00EF601D"/>
    <w:rsid w:val="00EF7528"/>
    <w:rsid w:val="00F02150"/>
    <w:rsid w:val="00F039CA"/>
    <w:rsid w:val="00F04EBD"/>
    <w:rsid w:val="00F07DF3"/>
    <w:rsid w:val="00F107F1"/>
    <w:rsid w:val="00F12D42"/>
    <w:rsid w:val="00F1381D"/>
    <w:rsid w:val="00F21F18"/>
    <w:rsid w:val="00F250BF"/>
    <w:rsid w:val="00F3206D"/>
    <w:rsid w:val="00F33510"/>
    <w:rsid w:val="00F41040"/>
    <w:rsid w:val="00F432A6"/>
    <w:rsid w:val="00F608E0"/>
    <w:rsid w:val="00F6172E"/>
    <w:rsid w:val="00F63FB2"/>
    <w:rsid w:val="00F65607"/>
    <w:rsid w:val="00F662DB"/>
    <w:rsid w:val="00F70ADF"/>
    <w:rsid w:val="00F74619"/>
    <w:rsid w:val="00F809FB"/>
    <w:rsid w:val="00F87018"/>
    <w:rsid w:val="00F929A6"/>
    <w:rsid w:val="00FA33AF"/>
    <w:rsid w:val="00FB0839"/>
    <w:rsid w:val="00FB3B00"/>
    <w:rsid w:val="00FB51B2"/>
    <w:rsid w:val="00FB5478"/>
    <w:rsid w:val="00FD2B07"/>
    <w:rsid w:val="00FD59B9"/>
    <w:rsid w:val="00FD6BDB"/>
    <w:rsid w:val="00FE292B"/>
    <w:rsid w:val="00FE35A0"/>
    <w:rsid w:val="00FF1A0F"/>
    <w:rsid w:val="00FF1D51"/>
    <w:rsid w:val="00FF36F9"/>
    <w:rsid w:val="013154B4"/>
    <w:rsid w:val="01336138"/>
    <w:rsid w:val="016C5039"/>
    <w:rsid w:val="02E74143"/>
    <w:rsid w:val="02FF1E1B"/>
    <w:rsid w:val="034C108A"/>
    <w:rsid w:val="03E43571"/>
    <w:rsid w:val="04C9236E"/>
    <w:rsid w:val="05256961"/>
    <w:rsid w:val="05AF5D9C"/>
    <w:rsid w:val="05ED057D"/>
    <w:rsid w:val="08AE69CD"/>
    <w:rsid w:val="0A4168C4"/>
    <w:rsid w:val="0C89471E"/>
    <w:rsid w:val="0D781E29"/>
    <w:rsid w:val="0E523D0A"/>
    <w:rsid w:val="0EFF5127"/>
    <w:rsid w:val="0FC7624F"/>
    <w:rsid w:val="0FD45B56"/>
    <w:rsid w:val="117B7837"/>
    <w:rsid w:val="12D04206"/>
    <w:rsid w:val="12EA4823"/>
    <w:rsid w:val="13071784"/>
    <w:rsid w:val="13844642"/>
    <w:rsid w:val="144C52D9"/>
    <w:rsid w:val="15654AE3"/>
    <w:rsid w:val="15F01854"/>
    <w:rsid w:val="165F72C3"/>
    <w:rsid w:val="174F49CD"/>
    <w:rsid w:val="177F386F"/>
    <w:rsid w:val="17E822FE"/>
    <w:rsid w:val="188E5546"/>
    <w:rsid w:val="18D15AFF"/>
    <w:rsid w:val="1A2D0F1C"/>
    <w:rsid w:val="1ACD2659"/>
    <w:rsid w:val="1B3A1B22"/>
    <w:rsid w:val="1CB14FEA"/>
    <w:rsid w:val="1CE05FC1"/>
    <w:rsid w:val="1D426967"/>
    <w:rsid w:val="1E996BC3"/>
    <w:rsid w:val="1EA44A9C"/>
    <w:rsid w:val="1F3D0BB7"/>
    <w:rsid w:val="20201EC2"/>
    <w:rsid w:val="206C2486"/>
    <w:rsid w:val="20A867BA"/>
    <w:rsid w:val="20AE4FA9"/>
    <w:rsid w:val="214B2529"/>
    <w:rsid w:val="215634F2"/>
    <w:rsid w:val="21CB7634"/>
    <w:rsid w:val="22002C57"/>
    <w:rsid w:val="230B6414"/>
    <w:rsid w:val="23D16DD0"/>
    <w:rsid w:val="23FE59C7"/>
    <w:rsid w:val="25255027"/>
    <w:rsid w:val="267A14CD"/>
    <w:rsid w:val="26A427FE"/>
    <w:rsid w:val="27094623"/>
    <w:rsid w:val="27153E7B"/>
    <w:rsid w:val="277E24C6"/>
    <w:rsid w:val="27D57FA0"/>
    <w:rsid w:val="2881311F"/>
    <w:rsid w:val="28B14156"/>
    <w:rsid w:val="291214A1"/>
    <w:rsid w:val="295D621E"/>
    <w:rsid w:val="2A050324"/>
    <w:rsid w:val="2A1129EB"/>
    <w:rsid w:val="2A8304E4"/>
    <w:rsid w:val="2A847B4D"/>
    <w:rsid w:val="2B011D1B"/>
    <w:rsid w:val="2C3C4753"/>
    <w:rsid w:val="2C401128"/>
    <w:rsid w:val="2C906572"/>
    <w:rsid w:val="2D5A7676"/>
    <w:rsid w:val="2E29035C"/>
    <w:rsid w:val="2E3E316C"/>
    <w:rsid w:val="30EF252D"/>
    <w:rsid w:val="312B28BA"/>
    <w:rsid w:val="31D6405D"/>
    <w:rsid w:val="34A41F90"/>
    <w:rsid w:val="352B34CF"/>
    <w:rsid w:val="387A4357"/>
    <w:rsid w:val="38AC7189"/>
    <w:rsid w:val="38CC7B18"/>
    <w:rsid w:val="39295A61"/>
    <w:rsid w:val="393061BE"/>
    <w:rsid w:val="39440601"/>
    <w:rsid w:val="3A4B514C"/>
    <w:rsid w:val="3CC911C7"/>
    <w:rsid w:val="3D932E36"/>
    <w:rsid w:val="3E872422"/>
    <w:rsid w:val="40537F2A"/>
    <w:rsid w:val="43306A15"/>
    <w:rsid w:val="43440F44"/>
    <w:rsid w:val="43530499"/>
    <w:rsid w:val="43C845C3"/>
    <w:rsid w:val="448C1D82"/>
    <w:rsid w:val="44C147DB"/>
    <w:rsid w:val="453679F1"/>
    <w:rsid w:val="4605370D"/>
    <w:rsid w:val="46357B33"/>
    <w:rsid w:val="46AA2331"/>
    <w:rsid w:val="46C34AE9"/>
    <w:rsid w:val="487565D5"/>
    <w:rsid w:val="4888168E"/>
    <w:rsid w:val="48DF209C"/>
    <w:rsid w:val="491649FB"/>
    <w:rsid w:val="49E33EC9"/>
    <w:rsid w:val="4A0F0210"/>
    <w:rsid w:val="4A7A08DE"/>
    <w:rsid w:val="4B1367B9"/>
    <w:rsid w:val="4B461FFF"/>
    <w:rsid w:val="4CCA2643"/>
    <w:rsid w:val="4D6C5D8E"/>
    <w:rsid w:val="4D8C3D16"/>
    <w:rsid w:val="4D9E7167"/>
    <w:rsid w:val="4E02150C"/>
    <w:rsid w:val="4E2C69CB"/>
    <w:rsid w:val="4FC17405"/>
    <w:rsid w:val="508230AB"/>
    <w:rsid w:val="509231C7"/>
    <w:rsid w:val="51186119"/>
    <w:rsid w:val="52770B21"/>
    <w:rsid w:val="52B328BC"/>
    <w:rsid w:val="52E15705"/>
    <w:rsid w:val="53C40466"/>
    <w:rsid w:val="540B06ED"/>
    <w:rsid w:val="54554F1B"/>
    <w:rsid w:val="548825BE"/>
    <w:rsid w:val="552D3719"/>
    <w:rsid w:val="575F1D66"/>
    <w:rsid w:val="578702CF"/>
    <w:rsid w:val="58406BD1"/>
    <w:rsid w:val="5994576C"/>
    <w:rsid w:val="5BB3647D"/>
    <w:rsid w:val="5BE40E7A"/>
    <w:rsid w:val="5C774A06"/>
    <w:rsid w:val="5DDE6DD9"/>
    <w:rsid w:val="5E8C5954"/>
    <w:rsid w:val="6081033C"/>
    <w:rsid w:val="61736957"/>
    <w:rsid w:val="6333694F"/>
    <w:rsid w:val="63C11481"/>
    <w:rsid w:val="63D162CD"/>
    <w:rsid w:val="63FD69A5"/>
    <w:rsid w:val="645C488A"/>
    <w:rsid w:val="658E268A"/>
    <w:rsid w:val="664107D0"/>
    <w:rsid w:val="67D751E7"/>
    <w:rsid w:val="6A7C3BC7"/>
    <w:rsid w:val="6B416685"/>
    <w:rsid w:val="6B8E7DFB"/>
    <w:rsid w:val="6C342FCB"/>
    <w:rsid w:val="6CA67684"/>
    <w:rsid w:val="6D1E5C16"/>
    <w:rsid w:val="70CA650A"/>
    <w:rsid w:val="71264A79"/>
    <w:rsid w:val="71B10796"/>
    <w:rsid w:val="73103125"/>
    <w:rsid w:val="731971E5"/>
    <w:rsid w:val="737547B1"/>
    <w:rsid w:val="738F4C70"/>
    <w:rsid w:val="73972047"/>
    <w:rsid w:val="739A55CD"/>
    <w:rsid w:val="73E82D35"/>
    <w:rsid w:val="743933E5"/>
    <w:rsid w:val="744B3ED9"/>
    <w:rsid w:val="744E128A"/>
    <w:rsid w:val="748B2695"/>
    <w:rsid w:val="772F02D0"/>
    <w:rsid w:val="77F072AB"/>
    <w:rsid w:val="783764D9"/>
    <w:rsid w:val="78680807"/>
    <w:rsid w:val="789C1DEF"/>
    <w:rsid w:val="78C728B3"/>
    <w:rsid w:val="78D35BF5"/>
    <w:rsid w:val="7A4430A5"/>
    <w:rsid w:val="7B700FFB"/>
    <w:rsid w:val="7BE06349"/>
    <w:rsid w:val="7CA004A7"/>
    <w:rsid w:val="7D1D510C"/>
    <w:rsid w:val="7EB572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60" w:lineRule="exact"/>
      <w:ind w:firstLine="480"/>
      <w:jc w:val="both"/>
    </w:pPr>
    <w:rPr>
      <w:rFonts w:ascii="Times New Roman" w:hAnsi="Times New Roman" w:eastAsia="宋体" w:cs="Times New Roman"/>
      <w:color w:val="000000"/>
      <w:kern w:val="2"/>
      <w:sz w:val="24"/>
      <w:lang w:val="en-US" w:eastAsia="zh-CN" w:bidi="ar-SA"/>
    </w:rPr>
  </w:style>
  <w:style w:type="paragraph" w:styleId="2">
    <w:name w:val="heading 1"/>
    <w:basedOn w:val="1"/>
    <w:next w:val="1"/>
    <w:link w:val="29"/>
    <w:qFormat/>
    <w:uiPriority w:val="0"/>
    <w:pPr>
      <w:keepNext/>
      <w:keepLines/>
      <w:spacing w:lineRule="exact" w:line="460" w:before="360" w:after="240"/>
      <w:ind w:firstLine="0"/>
      <w:jc w:val="center"/>
      <w:outlineLvl w:val="0"/>
    </w:pPr>
    <w:rPr>
      <w:rFonts w:hint="eastAsia" w:eastAsia="黑体" w:ascii="Times New Roman" w:hAnsi="Times New Roman"/>
      <w:b/>
      <w:kern w:val="44"/>
      <w:sz w:val="36"/>
      <w:szCs w:val="44"/>
    </w:rPr>
  </w:style>
  <w:style w:type="paragraph" w:styleId="3">
    <w:name w:val="heading 2"/>
    <w:basedOn w:val="1"/>
    <w:next w:val="1"/>
    <w:link w:val="30"/>
    <w:qFormat/>
    <w:uiPriority w:val="0"/>
    <w:pPr>
      <w:keepNext/>
      <w:keepLines/>
      <w:spacing w:lineRule="exact" w:line="460" w:before="240" w:after="240"/>
      <w:ind w:firstLine="0"/>
      <w:jc w:val="left"/>
      <w:outlineLvl w:val="1"/>
    </w:pPr>
    <w:rPr>
      <w:rFonts w:eastAsia="黑体" w:ascii="Times New Roman" w:hAnsi="Times New Roman"/>
      <w:b/>
      <w:sz w:val="28"/>
      <w:szCs w:val="32"/>
    </w:rPr>
  </w:style>
  <w:style w:type="paragraph" w:styleId="4">
    <w:name w:val="heading 3"/>
    <w:basedOn w:val="1"/>
    <w:next w:val="1"/>
    <w:link w:val="31"/>
    <w:qFormat/>
    <w:uiPriority w:val="0"/>
    <w:pPr>
      <w:keepNext/>
      <w:keepLines/>
      <w:spacing w:lineRule="exact" w:line="460"/>
      <w:ind w:firstLine="0"/>
      <w:jc w:val="left"/>
      <w:outlineLvl w:val="2"/>
    </w:pPr>
    <w:rPr>
      <w:rFonts w:hint="eastAsia" w:eastAsia="黑体" w:ascii="Times New Roman" w:hAnsi="Times New Roman"/>
      <w:b/>
      <w:sz w:val="24"/>
      <w:szCs w:val="32"/>
    </w:rPr>
  </w:style>
  <w:style w:type="paragraph" w:styleId="5">
    <w:name w:val="heading 4"/>
    <w:basedOn w:val="1"/>
    <w:next w:val="1"/>
    <w:link w:val="32"/>
    <w:qFormat/>
    <w:uiPriority w:val="0"/>
    <w:pPr>
      <w:keepNext/>
      <w:keepLines/>
      <w:spacing w:before="280" w:after="290" w:line="372" w:lineRule="auto"/>
      <w:outlineLvl w:val="3"/>
    </w:pPr>
    <w:rPr>
      <w:rFonts w:ascii="Arial" w:hAnsi="Arial" w:eastAsia="黑体"/>
      <w:b/>
      <w:sz w:val="28"/>
      <w:szCs w:val="24"/>
    </w:rPr>
  </w:style>
  <w:style w:type="paragraph" w:styleId="6">
    <w:name w:val="heading 5"/>
    <w:basedOn w:val="1"/>
    <w:next w:val="1"/>
    <w:link w:val="33"/>
    <w:qFormat/>
    <w:uiPriority w:val="0"/>
    <w:pPr>
      <w:keepNext/>
      <w:keepLines/>
      <w:spacing w:before="280" w:after="290" w:line="376" w:lineRule="auto"/>
      <w:outlineLvl w:val="4"/>
    </w:pPr>
    <w:rPr>
      <w:b/>
      <w:bCs/>
      <w:sz w:val="28"/>
      <w:szCs w:val="28"/>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7">
    <w:name w:val="Normal Indent"/>
    <w:basedOn w:val="1"/>
    <w:qFormat/>
    <w:uiPriority w:val="0"/>
    <w:pPr>
      <w:spacing w:line="400" w:lineRule="exact"/>
      <w:ind w:firstLine="560" w:firstLineChars="200"/>
    </w:pPr>
    <w:rPr>
      <w:rFonts w:hint="eastAsia" w:ascii="仿宋_GB2312" w:eastAsia="仿宋_GB2312"/>
      <w:sz w:val="28"/>
    </w:rPr>
  </w:style>
  <w:style w:type="paragraph" w:styleId="8">
    <w:name w:val="annotation text"/>
    <w:basedOn w:val="1"/>
    <w:link w:val="34"/>
    <w:qFormat/>
    <w:uiPriority w:val="0"/>
    <w:pPr>
      <w:jc w:val="left"/>
    </w:pPr>
  </w:style>
  <w:style w:type="paragraph" w:styleId="9">
    <w:name w:val="Body Text"/>
    <w:basedOn w:val="1"/>
    <w:qFormat/>
    <w:uiPriority w:val="0"/>
    <w:pPr>
      <w:spacing w:after="120"/>
    </w:pPr>
    <w:rPr>
      <w:szCs w:val="24"/>
    </w:rPr>
  </w:style>
  <w:style w:type="paragraph" w:styleId="10">
    <w:name w:val="Body Text Indent"/>
    <w:basedOn w:val="1"/>
    <w:qFormat/>
    <w:uiPriority w:val="0"/>
    <w:pPr>
      <w:tabs>
        <w:tab w:val="left" w:pos="0"/>
      </w:tabs>
      <w:spacing w:line="600" w:lineRule="exact"/>
      <w:ind w:firstLine="560" w:firstLineChars="200"/>
    </w:pPr>
    <w:rPr>
      <w:rFonts w:eastAsia="仿宋_GB2312"/>
      <w:sz w:val="28"/>
      <w:szCs w:val="24"/>
    </w:rPr>
  </w:style>
  <w:style w:type="paragraph" w:styleId="11">
    <w:name w:val="toc 3"/>
    <w:basedOn w:val="1"/>
    <w:next w:val="1"/>
    <w:qFormat/>
    <w:uiPriority w:val="0"/>
    <w:pPr>
      <w:widowControl/>
      <w:spacing w:after="100" w:line="256" w:lineRule="auto"/>
      <w:ind w:left="440"/>
      <w:jc w:val="left"/>
    </w:pPr>
    <w:rPr>
      <w:kern w:val="0"/>
      <w:sz w:val="22"/>
      <w:szCs w:val="22"/>
    </w:rPr>
  </w:style>
  <w:style w:type="paragraph" w:styleId="12">
    <w:name w:val="Plain Text"/>
    <w:basedOn w:val="1"/>
    <w:link w:val="35"/>
    <w:qFormat/>
    <w:uiPriority w:val="0"/>
    <w:rPr>
      <w:rFonts w:ascii="宋体" w:hAnsi="Courier New" w:cs="Courier New"/>
      <w:szCs w:val="21"/>
    </w:rPr>
  </w:style>
  <w:style w:type="paragraph" w:styleId="13">
    <w:name w:val="Date"/>
    <w:basedOn w:val="1"/>
    <w:next w:val="1"/>
    <w:qFormat/>
    <w:uiPriority w:val="0"/>
    <w:pPr>
      <w:ind w:left="100" w:leftChars="2500"/>
    </w:pPr>
  </w:style>
  <w:style w:type="paragraph" w:styleId="14">
    <w:name w:val="Balloon Text"/>
    <w:basedOn w:val="1"/>
    <w:link w:val="36"/>
    <w:qFormat/>
    <w:uiPriority w:val="0"/>
    <w:rPr>
      <w:rFonts w:hint="eastAsia" w:ascii="宋体" w:hAnsi="宋体"/>
      <w:sz w:val="18"/>
      <w:szCs w:val="18"/>
    </w:rPr>
  </w:style>
  <w:style w:type="paragraph" w:styleId="15">
    <w:name w:val="footer"/>
    <w:basedOn w:val="1"/>
    <w:link w:val="37"/>
    <w:qFormat/>
    <w:uiPriority w:val="99"/>
    <w:pPr>
      <w:tabs>
        <w:tab w:val="center" w:pos="4153"/>
        <w:tab w:val="right" w:pos="8306"/>
      </w:tabs>
      <w:snapToGrid w:val="0"/>
      <w:jc w:val="left"/>
    </w:pPr>
    <w:rPr>
      <w:sz w:val="18"/>
      <w:szCs w:val="18"/>
    </w:rPr>
  </w:style>
  <w:style w:type="paragraph" w:styleId="16">
    <w:name w:val="header"/>
    <w:basedOn w:val="1"/>
    <w:link w:val="38"/>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pPr>
      <w:widowControl/>
      <w:spacing w:after="40" w:line="256" w:lineRule="auto"/>
      <w:jc w:val="left"/>
    </w:pPr>
    <w:rPr>
      <w:rFonts w:ascii="Times New Roman" w:hAnsi="Times New Roman" w:eastAsia="黑体"/>
      <w:b/>
      <w:kern w:val="0"/>
      <w:sz w:val="28"/>
      <w:szCs w:val="22"/>
    </w:rPr>
  </w:style>
  <w:style w:type="paragraph" w:styleId="18">
    <w:name w:val="toc 2"/>
    <w:basedOn w:val="1"/>
    <w:next w:val="1"/>
    <w:qFormat/>
    <w:uiPriority w:val="39"/>
    <w:pPr>
      <w:widowControl/>
      <w:spacing w:after="40" w:line="256" w:lineRule="auto"/>
      <w:ind w:left="220"/>
      <w:jc w:val="left"/>
    </w:pPr>
    <w:rPr>
      <w:rFonts w:ascii="Times New Roman" w:hAnsi="Times New Roman" w:eastAsia="宋体"/>
      <w:b w:val="0"/>
      <w:kern w:val="0"/>
      <w:sz w:val="24"/>
      <w:szCs w:val="22"/>
    </w:rPr>
  </w:style>
  <w:style w:type="paragraph" w:styleId="19">
    <w:name w:val="HTML Preformatted"/>
    <w:basedOn w:val="1"/>
    <w:link w:val="39"/>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Cs w:val="24"/>
    </w:rPr>
  </w:style>
  <w:style w:type="paragraph" w:styleId="20">
    <w:name w:val="Normal (Web)"/>
    <w:basedOn w:val="1"/>
    <w:qFormat/>
    <w:uiPriority w:val="99"/>
    <w:pPr>
      <w:widowControl/>
      <w:spacing w:before="100" w:beforeAutospacing="1" w:after="100" w:afterAutospacing="1"/>
      <w:jc w:val="left"/>
    </w:pPr>
    <w:rPr>
      <w:rFonts w:ascii="宋体" w:hAnsi="宋体" w:cs="宋体"/>
      <w:kern w:val="0"/>
      <w:szCs w:val="24"/>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qFormat/>
    <w:uiPriority w:val="22"/>
    <w:rPr>
      <w:b/>
      <w:bCs/>
    </w:rPr>
  </w:style>
  <w:style w:type="character" w:styleId="25">
    <w:name w:val="page number"/>
    <w:qFormat/>
    <w:uiPriority w:val="0"/>
  </w:style>
  <w:style w:type="character" w:styleId="26">
    <w:name w:val="FollowedHyperlink"/>
    <w:qFormat/>
    <w:uiPriority w:val="0"/>
    <w:rPr>
      <w:color w:val="800080"/>
      <w:u w:val="single"/>
    </w:rPr>
  </w:style>
  <w:style w:type="character" w:styleId="27">
    <w:name w:val="Hyperlink"/>
    <w:qFormat/>
    <w:uiPriority w:val="99"/>
    <w:rPr>
      <w:color w:val="0000FF"/>
      <w:u w:val="single"/>
    </w:rPr>
  </w:style>
  <w:style w:type="character" w:styleId="28">
    <w:name w:val="HTML Code"/>
    <w:unhideWhenUsed/>
    <w:qFormat/>
    <w:uiPriority w:val="99"/>
    <w:rPr>
      <w:rFonts w:ascii="宋体" w:hAnsi="宋体" w:eastAsia="宋体" w:cs="宋体"/>
      <w:sz w:val="24"/>
      <w:szCs w:val="24"/>
    </w:rPr>
  </w:style>
  <w:style w:type="character" w:customStyle="1" w:styleId="29">
    <w:name w:val="标题 1 字符"/>
    <w:link w:val="2"/>
    <w:qFormat/>
    <w:uiPriority w:val="0"/>
    <w:rPr>
      <w:rFonts w:hint="eastAsia" w:ascii="宋体" w:hAnsi="宋体" w:eastAsia="宋体" w:cs="宋体"/>
      <w:b/>
      <w:kern w:val="44"/>
      <w:sz w:val="24"/>
      <w:szCs w:val="44"/>
      <w:lang w:val="en-US" w:eastAsia="zh-CN" w:bidi="ar"/>
    </w:rPr>
  </w:style>
  <w:style w:type="character" w:customStyle="1" w:styleId="30">
    <w:name w:val="标题 2 字符"/>
    <w:link w:val="3"/>
    <w:qFormat/>
    <w:uiPriority w:val="0"/>
    <w:rPr>
      <w:rFonts w:hint="default" w:ascii="Arial" w:hAnsi="Arial" w:eastAsia="黑体" w:cs="Arial"/>
      <w:b/>
      <w:kern w:val="2"/>
      <w:sz w:val="32"/>
      <w:szCs w:val="32"/>
      <w:lang w:val="en-US" w:eastAsia="zh-CN" w:bidi="ar"/>
    </w:rPr>
  </w:style>
  <w:style w:type="character" w:customStyle="1" w:styleId="31">
    <w:name w:val="标题 3 字符"/>
    <w:link w:val="4"/>
    <w:qFormat/>
    <w:uiPriority w:val="0"/>
    <w:rPr>
      <w:rFonts w:hint="eastAsia" w:ascii="宋体" w:hAnsi="宋体" w:eastAsia="宋体" w:cs="宋体"/>
      <w:b/>
      <w:kern w:val="2"/>
      <w:sz w:val="32"/>
      <w:szCs w:val="32"/>
      <w:lang w:val="en-US" w:eastAsia="zh-CN" w:bidi="ar"/>
    </w:rPr>
  </w:style>
  <w:style w:type="character" w:customStyle="1" w:styleId="32">
    <w:name w:val="标题 4 字符"/>
    <w:link w:val="5"/>
    <w:qFormat/>
    <w:uiPriority w:val="0"/>
    <w:rPr>
      <w:rFonts w:ascii="Arial" w:hAnsi="Arial" w:eastAsia="黑体" w:cs="Arial"/>
      <w:b/>
      <w:kern w:val="2"/>
      <w:sz w:val="28"/>
      <w:szCs w:val="24"/>
      <w:lang w:val="en-US" w:eastAsia="zh-CN" w:bidi="ar"/>
    </w:rPr>
  </w:style>
  <w:style w:type="character" w:customStyle="1" w:styleId="33">
    <w:name w:val="标题 5 字符"/>
    <w:link w:val="6"/>
    <w:semiHidden/>
    <w:qFormat/>
    <w:uiPriority w:val="0"/>
    <w:rPr>
      <w:b/>
      <w:bCs/>
      <w:kern w:val="2"/>
      <w:sz w:val="28"/>
      <w:szCs w:val="28"/>
    </w:rPr>
  </w:style>
  <w:style w:type="character" w:customStyle="1" w:styleId="34">
    <w:name w:val="批注文字 字符"/>
    <w:link w:val="8"/>
    <w:qFormat/>
    <w:uiPriority w:val="0"/>
    <w:rPr>
      <w:kern w:val="2"/>
      <w:sz w:val="21"/>
    </w:rPr>
  </w:style>
  <w:style w:type="character" w:customStyle="1" w:styleId="35">
    <w:name w:val="纯文本 字符"/>
    <w:link w:val="12"/>
    <w:qFormat/>
    <w:uiPriority w:val="0"/>
    <w:rPr>
      <w:rFonts w:ascii="宋体" w:hAnsi="Courier New" w:eastAsia="宋体" w:cs="Courier New"/>
      <w:kern w:val="2"/>
      <w:sz w:val="21"/>
      <w:szCs w:val="21"/>
      <w:lang w:val="en-US" w:eastAsia="zh-CN" w:bidi="ar-SA"/>
    </w:rPr>
  </w:style>
  <w:style w:type="character" w:customStyle="1" w:styleId="36">
    <w:name w:val="批注框文本 字符"/>
    <w:link w:val="14"/>
    <w:qFormat/>
    <w:uiPriority w:val="0"/>
    <w:rPr>
      <w:rFonts w:hint="eastAsia" w:ascii="宋体" w:hAnsi="宋体" w:eastAsia="宋体" w:cs="宋体"/>
      <w:kern w:val="2"/>
      <w:sz w:val="18"/>
      <w:szCs w:val="18"/>
      <w:lang w:val="en-US" w:eastAsia="zh-CN" w:bidi="ar"/>
    </w:rPr>
  </w:style>
  <w:style w:type="character" w:customStyle="1" w:styleId="37">
    <w:name w:val="页脚 字符"/>
    <w:link w:val="15"/>
    <w:qFormat/>
    <w:uiPriority w:val="99"/>
    <w:rPr>
      <w:kern w:val="2"/>
      <w:sz w:val="18"/>
      <w:szCs w:val="18"/>
      <w:lang w:bidi="ar"/>
    </w:rPr>
  </w:style>
  <w:style w:type="character" w:customStyle="1" w:styleId="38">
    <w:name w:val="页眉 字符"/>
    <w:link w:val="16"/>
    <w:qFormat/>
    <w:uiPriority w:val="99"/>
    <w:rPr>
      <w:kern w:val="2"/>
      <w:sz w:val="18"/>
      <w:szCs w:val="18"/>
      <w:lang w:bidi="ar"/>
    </w:rPr>
  </w:style>
  <w:style w:type="character" w:customStyle="1" w:styleId="39">
    <w:name w:val="HTML 预设格式 字符"/>
    <w:link w:val="19"/>
    <w:qFormat/>
    <w:uiPriority w:val="99"/>
    <w:rPr>
      <w:rFonts w:ascii="宋体" w:hAnsi="宋体" w:cs="宋体"/>
      <w:sz w:val="24"/>
      <w:szCs w:val="24"/>
    </w:rPr>
  </w:style>
  <w:style w:type="paragraph" w:customStyle="1" w:styleId="40">
    <w:name w:val="TOC 标题1"/>
    <w:basedOn w:val="2"/>
    <w:next w:val="1"/>
    <w:qFormat/>
    <w:uiPriority w:val="0"/>
    <w:pPr>
      <w:keepNext w:val="0"/>
      <w:widowControl/>
      <w:snapToGrid w:val="0"/>
      <w:spacing w:before="240" w:line="256" w:lineRule="auto"/>
      <w:jc w:val="left"/>
    </w:pPr>
    <w:rPr>
      <w:rFonts w:hint="default" w:ascii="Calibri Light" w:hAnsi="Calibri Light"/>
      <w:color w:val="2E74B5"/>
      <w:kern w:val="0"/>
      <w:sz w:val="32"/>
      <w:szCs w:val="32"/>
    </w:rPr>
  </w:style>
  <w:style w:type="paragraph" w:customStyle="1" w:styleId="41">
    <w:name w:val="列出段落1"/>
    <w:basedOn w:val="1"/>
    <w:qFormat/>
    <w:uiPriority w:val="0"/>
    <w:pPr>
      <w:ind w:firstLine="420" w:firstLineChars="200"/>
    </w:pPr>
    <w:rPr>
      <w:szCs w:val="24"/>
    </w:rPr>
  </w:style>
  <w:style w:type="paragraph" w:customStyle="1" w:styleId="42">
    <w:name w:val="zhengwen"/>
    <w:basedOn w:val="1"/>
    <w:qFormat/>
    <w:uiPriority w:val="0"/>
    <w:pPr>
      <w:widowControl/>
      <w:spacing w:before="100" w:beforeAutospacing="1" w:after="100" w:afterAutospacing="1" w:line="360" w:lineRule="auto"/>
      <w:jc w:val="left"/>
    </w:pPr>
    <w:rPr>
      <w:rFonts w:hint="eastAsia" w:ascii="楷体_GB2312" w:hAnsi="宋体" w:eastAsia="楷体_GB2312"/>
      <w:kern w:val="0"/>
      <w:sz w:val="27"/>
      <w:szCs w:val="27"/>
    </w:rPr>
  </w:style>
  <w:style w:type="paragraph" w:customStyle="1" w:styleId="43">
    <w:name w:val="bodyfont"/>
    <w:basedOn w:val="1"/>
    <w:qFormat/>
    <w:uiPriority w:val="0"/>
    <w:pPr>
      <w:widowControl/>
      <w:spacing w:before="100" w:beforeAutospacing="1" w:after="100" w:afterAutospacing="1"/>
      <w:jc w:val="left"/>
    </w:pPr>
    <w:rPr>
      <w:rFonts w:hint="eastAsia" w:ascii="宋体" w:hAnsi="宋体"/>
      <w:kern w:val="0"/>
      <w:szCs w:val="24"/>
    </w:rPr>
  </w:style>
  <w:style w:type="paragraph" w:customStyle="1" w:styleId="44">
    <w:name w:val="列出段落3"/>
    <w:basedOn w:val="1"/>
    <w:qFormat/>
    <w:uiPriority w:val="0"/>
    <w:pPr>
      <w:ind w:firstLine="420" w:firstLineChars="200"/>
    </w:pPr>
    <w:rPr>
      <w:szCs w:val="24"/>
    </w:rPr>
  </w:style>
  <w:style w:type="paragraph" w:customStyle="1" w:styleId="45">
    <w:name w:val="标题4"/>
    <w:basedOn w:val="1"/>
    <w:qFormat/>
    <w:uiPriority w:val="0"/>
    <w:pPr>
      <w:spacing w:before="120" w:after="120"/>
      <w:ind w:firstLine="425"/>
    </w:pPr>
    <w:rPr>
      <w:rFonts w:eastAsia="黑体"/>
      <w:b/>
    </w:rPr>
  </w:style>
  <w:style w:type="paragraph" w:customStyle="1" w:styleId="46">
    <w:name w:val="bigtitle"/>
    <w:basedOn w:val="1"/>
    <w:qFormat/>
    <w:uiPriority w:val="0"/>
    <w:pPr>
      <w:widowControl/>
      <w:spacing w:before="100" w:beforeAutospacing="1" w:after="100" w:afterAutospacing="1"/>
      <w:jc w:val="left"/>
    </w:pPr>
    <w:rPr>
      <w:rFonts w:ascii="宋体" w:hAnsi="宋体"/>
      <w:kern w:val="0"/>
    </w:rPr>
  </w:style>
  <w:style w:type="paragraph" w:customStyle="1" w:styleId="47">
    <w:name w:val="一级1"/>
    <w:basedOn w:val="1"/>
    <w:next w:val="1"/>
    <w:qFormat/>
    <w:uiPriority w:val="0"/>
    <w:pPr>
      <w:keepNext/>
      <w:keepLines/>
      <w:widowControl/>
      <w:tabs>
        <w:tab w:val="center" w:pos="4419"/>
        <w:tab w:val="left" w:pos="6195"/>
      </w:tabs>
      <w:spacing w:before="80" w:beforeLines="80" w:after="50" w:afterLines="50"/>
      <w:outlineLvl w:val="0"/>
    </w:pPr>
    <w:rPr>
      <w:rFonts w:hint="eastAsia" w:ascii="黑体" w:hAnsi="黑体" w:eastAsia="黑体" w:cs="黑体"/>
      <w:color w:val="FF0000"/>
      <w:kern w:val="0"/>
      <w:sz w:val="36"/>
      <w:szCs w:val="36"/>
      <w:lang w:val="zh-CN"/>
    </w:rPr>
  </w:style>
  <w:style w:type="paragraph" w:customStyle="1" w:styleId="48">
    <w:name w:val="二级目录"/>
    <w:basedOn w:val="1"/>
    <w:qFormat/>
    <w:uiPriority w:val="0"/>
    <w:pPr>
      <w:spacing w:before="50" w:beforeLines="50" w:after="50" w:afterLines="50"/>
    </w:pPr>
    <w:rPr>
      <w:rFonts w:hint="eastAsia" w:ascii="黑体" w:hAnsi="黑体" w:eastAsia="黑体"/>
      <w:sz w:val="28"/>
      <w:szCs w:val="28"/>
    </w:rPr>
  </w:style>
  <w:style w:type="paragraph" w:customStyle="1" w:styleId="49">
    <w:name w:val="last-node"/>
    <w:basedOn w:val="1"/>
    <w:qFormat/>
    <w:uiPriority w:val="0"/>
    <w:pPr>
      <w:widowControl/>
      <w:spacing w:before="100" w:beforeAutospacing="1" w:after="100" w:afterAutospacing="1"/>
      <w:jc w:val="left"/>
    </w:pPr>
    <w:rPr>
      <w:rFonts w:ascii="宋体" w:hAnsi="宋体" w:cs="宋体"/>
      <w:kern w:val="0"/>
      <w:szCs w:val="24"/>
    </w:rPr>
  </w:style>
  <w:style w:type="character" w:customStyle="1" w:styleId="50">
    <w:name w:val="token"/>
    <w:qFormat/>
    <w:uiPriority w:val="0"/>
  </w:style>
  <w:style w:type="character" w:customStyle="1" w:styleId="51">
    <w:name w:val="katex-mathml"/>
    <w:qFormat/>
    <w:uiPriority w:val="0"/>
  </w:style>
  <w:style w:type="character" w:customStyle="1" w:styleId="52">
    <w:name w:val="mord"/>
    <w:qFormat/>
    <w:uiPriority w:val="0"/>
  </w:style>
  <w:style w:type="character" w:customStyle="1" w:styleId="53">
    <w:name w:val="mrel"/>
    <w:qFormat/>
    <w:uiPriority w:val="0"/>
  </w:style>
  <w:style w:type="character" w:customStyle="1" w:styleId="54">
    <w:name w:val="mopen"/>
    <w:qFormat/>
    <w:uiPriority w:val="0"/>
  </w:style>
  <w:style w:type="character" w:customStyle="1" w:styleId="55">
    <w:name w:val="mop"/>
    <w:qFormat/>
    <w:uiPriority w:val="0"/>
  </w:style>
  <w:style w:type="character" w:customStyle="1" w:styleId="56">
    <w:name w:val="vlist-s"/>
    <w:qFormat/>
    <w:uiPriority w:val="0"/>
  </w:style>
  <w:style w:type="character" w:customStyle="1" w:styleId="57">
    <w:name w:val="mbin"/>
    <w:qFormat/>
    <w:uiPriority w:val="0"/>
  </w:style>
  <w:style w:type="character" w:customStyle="1" w:styleId="58">
    <w:name w:val="mclose"/>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 Id="rId32" Type="http://schemas.openxmlformats.org/officeDocument/2006/relationships/footer" Target="footer6.xml"/><Relationship Id="rId33" Type="http://schemas.openxmlformats.org/officeDocument/2006/relationships/footer" Target="footer7.xml"/><Relationship Id="rId34"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Info spid="_x0000_s1029"/>
    <customShpInfo spid="_x0000_s213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38</Pages>
  <Words>5068</Words>
  <Characters>7663</Characters>
  <Lines>831</Lines>
  <Paragraphs>694</Paragraphs>
  <TotalTime>3</TotalTime>
  <ScaleCrop>false</ScaleCrop>
  <LinksUpToDate>false</LinksUpToDate>
  <CharactersWithSpaces>8431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2026-03-19T16:05:00Z</dcterms:created>
  <dc:creator>郭子健</dc:creator>
  <cp:lastModifiedBy>龙昊天</cp:lastModifiedBy>
  <cp:lastPrinted>2025-05-16T15:01:00Z</cp:lastPrinted>
  <dcterms:modified xsi:type="dcterms:W3CDTF">2026-03-20T02:49:03Z</dcterms:modified>
  <dc:title>中国金融期货大数据分析与风险评估系统设计与实现</dc:title>
  <cp:revision>3</cp:revision>
  <dc:subject>上海立达学院本科毕业论文</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DDD72E215F49454FAD3A078139A3A398_13</vt:lpwstr>
  </property>
  <property fmtid="{D5CDD505-2E9C-101B-9397-08002B2CF9AE}" pid="4" name="KSOTemplateDocerSaveRecord">
    <vt:lpwstr>eyJoZGlkIjoiMjhlOTI1Mzk4NjYwZmI4ODdlOGZkNmYzNWViMjY5ZTQiLCJ1c2VySWQiOiIxNDg2ODk1MjQxIn0=</vt:lpwstr>
  </property>
</Properties>
</file>