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63FB" w14:textId="77777777" w:rsidR="003B4D28" w:rsidRDefault="00000000">
      <w:pPr>
        <w:widowControl/>
        <w:snapToGrid w:val="0"/>
        <w:spacing w:line="440" w:lineRule="exact"/>
        <w:rPr>
          <w:rFonts w:ascii="仿宋_GB2312" w:eastAsia="黑体" w:hAnsi="仿宋_GB2312" w:cs="仿宋_GB2312" w:hint="eastAsia"/>
          <w:bCs/>
          <w:kern w:val="0"/>
          <w:szCs w:val="21"/>
        </w:rPr>
      </w:pPr>
      <w:r>
        <w:rPr>
          <w:rFonts w:ascii="黑体" w:eastAsia="黑体" w:hAnsi="黑体" w:cs="黑体" w:hint="eastAsia"/>
          <w:bCs/>
          <w:kern w:val="0"/>
          <w:sz w:val="32"/>
          <w:szCs w:val="32"/>
        </w:rPr>
        <w:t>附件4</w:t>
      </w:r>
    </w:p>
    <w:p w14:paraId="52A2EBAE" w14:textId="77777777" w:rsidR="003B4D28" w:rsidRDefault="003B4D28">
      <w:pPr>
        <w:widowControl/>
        <w:snapToGrid w:val="0"/>
        <w:spacing w:line="440" w:lineRule="exact"/>
        <w:rPr>
          <w:rFonts w:ascii="仿宋_GB2312" w:eastAsia="仿宋_GB2312" w:hAnsi="仿宋_GB2312" w:cs="仿宋_GB2312" w:hint="eastAsia"/>
          <w:bCs/>
          <w:kern w:val="0"/>
          <w:szCs w:val="21"/>
        </w:rPr>
      </w:pPr>
    </w:p>
    <w:p w14:paraId="27832C63" w14:textId="77777777" w:rsidR="003B4D28" w:rsidRDefault="003B4D28">
      <w:pPr>
        <w:widowControl/>
        <w:snapToGrid w:val="0"/>
        <w:spacing w:line="360" w:lineRule="auto"/>
        <w:jc w:val="center"/>
        <w:rPr>
          <w:rFonts w:ascii="楷体" w:eastAsia="楷体" w:hAnsi="楷体" w:cs="楷体" w:hint="eastAsia"/>
          <w:b/>
          <w:bCs/>
          <w:color w:val="000000"/>
          <w:sz w:val="72"/>
          <w:szCs w:val="72"/>
          <w:lang w:bidi="ar"/>
        </w:rPr>
      </w:pPr>
    </w:p>
    <w:p w14:paraId="72323A93" w14:textId="77777777" w:rsidR="003B4D28" w:rsidRDefault="00000000">
      <w:pPr>
        <w:widowControl/>
        <w:snapToGrid w:val="0"/>
        <w:spacing w:line="360" w:lineRule="auto"/>
        <w:jc w:val="center"/>
        <w:rPr>
          <w:rFonts w:ascii="方正大标宋简体" w:eastAsia="方正大标宋简体" w:hAnsi="宋体" w:cs="方正大标宋简体" w:hint="eastAsia"/>
          <w:b/>
          <w:bCs/>
          <w:color w:val="000000"/>
          <w:sz w:val="72"/>
          <w:szCs w:val="72"/>
          <w:lang w:bidi="ar"/>
        </w:rPr>
      </w:pPr>
      <w:r>
        <w:rPr>
          <w:rFonts w:ascii="楷体" w:eastAsia="楷体" w:hAnsi="楷体" w:cs="楷体" w:hint="eastAsia"/>
          <w:b/>
          <w:bCs/>
          <w:color w:val="000000"/>
          <w:sz w:val="72"/>
          <w:szCs w:val="72"/>
          <w:lang w:bidi="ar"/>
        </w:rPr>
        <w:t>上海立达学院</w:t>
      </w:r>
    </w:p>
    <w:p w14:paraId="7C2F3B09" w14:textId="77777777" w:rsidR="003B4D28" w:rsidRDefault="003B4D28">
      <w:pPr>
        <w:widowControl/>
        <w:snapToGrid w:val="0"/>
        <w:spacing w:line="640" w:lineRule="exact"/>
        <w:rPr>
          <w:rFonts w:ascii="方正大标宋简体" w:eastAsia="方正大标宋简体" w:hAnsi="宋体" w:cs="方正大标宋简体" w:hint="eastAsia"/>
          <w:color w:val="000000"/>
          <w:sz w:val="52"/>
          <w:szCs w:val="52"/>
          <w:lang w:bidi="ar"/>
        </w:rPr>
      </w:pPr>
    </w:p>
    <w:p w14:paraId="768F016D" w14:textId="77777777" w:rsidR="00AE5EBB" w:rsidRDefault="00AE5EBB">
      <w:pPr>
        <w:widowControl/>
        <w:snapToGrid w:val="0"/>
        <w:spacing w:line="640" w:lineRule="exact"/>
        <w:rPr>
          <w:rFonts w:ascii="方正大标宋简体" w:eastAsia="方正大标宋简体" w:hAnsi="宋体" w:cs="方正大标宋简体" w:hint="eastAsia"/>
          <w:color w:val="000000"/>
          <w:sz w:val="52"/>
          <w:szCs w:val="52"/>
          <w:lang w:bidi="ar"/>
        </w:rPr>
      </w:pPr>
    </w:p>
    <w:p w14:paraId="61312B20" w14:textId="77777777" w:rsidR="003B4D28" w:rsidRDefault="00000000">
      <w:pPr>
        <w:widowControl/>
        <w:snapToGrid w:val="0"/>
        <w:spacing w:line="640" w:lineRule="exact"/>
        <w:jc w:val="center"/>
        <w:rPr>
          <w:rFonts w:ascii="方正大标宋简体" w:eastAsia="方正大标宋简体" w:hAnsi="宋体" w:cs="方正大标宋简体" w:hint="eastAsia"/>
          <w:color w:val="000000"/>
          <w:sz w:val="52"/>
          <w:szCs w:val="52"/>
        </w:rPr>
      </w:pPr>
      <w:r>
        <w:rPr>
          <w:rFonts w:ascii="方正大标宋简体" w:eastAsia="方正大标宋简体" w:hAnsi="宋体" w:cs="方正大标宋简体" w:hint="eastAsia"/>
          <w:color w:val="000000"/>
          <w:sz w:val="52"/>
          <w:szCs w:val="52"/>
          <w:lang w:bidi="ar"/>
        </w:rPr>
        <w:t>本科毕业论文(设计)开题报告</w:t>
      </w:r>
    </w:p>
    <w:p w14:paraId="2829F594" w14:textId="77777777" w:rsidR="00AE5EBB" w:rsidRDefault="00AE5EBB">
      <w:pPr>
        <w:widowControl/>
        <w:snapToGrid w:val="0"/>
        <w:spacing w:line="640" w:lineRule="exact"/>
        <w:rPr>
          <w:rFonts w:ascii="方正大标宋简体" w:eastAsia="方正大标宋简体" w:hAnsi="宋体" w:cs="方正大标宋简体" w:hint="eastAsia"/>
          <w:color w:val="000000"/>
          <w:sz w:val="52"/>
          <w:szCs w:val="52"/>
        </w:rPr>
      </w:pPr>
    </w:p>
    <w:p w14:paraId="3967A95B" w14:textId="4A4D2BC7" w:rsidR="00AE5EBB" w:rsidRDefault="00AE5EBB">
      <w:pPr>
        <w:widowControl/>
        <w:spacing w:line="640" w:lineRule="exact"/>
        <w:jc w:val="center"/>
        <w:rPr>
          <w:rFonts w:ascii="黑体" w:eastAsia="黑体" w:hAnsi="宋体" w:cs="黑体"/>
          <w:b/>
          <w:color w:val="222222"/>
          <w:kern w:val="0"/>
          <w:sz w:val="44"/>
          <w:szCs w:val="44"/>
          <w:lang w:bidi="ar"/>
        </w:rPr>
      </w:pPr>
      <w:proofErr w:type="gramStart"/>
      <w:r w:rsidRPr="00AE5EBB">
        <w:rPr>
          <w:rFonts w:ascii="黑体" w:eastAsia="黑体" w:hAnsi="宋体" w:cs="黑体" w:hint="eastAsia"/>
          <w:b/>
          <w:color w:val="222222"/>
          <w:kern w:val="0"/>
          <w:sz w:val="44"/>
          <w:szCs w:val="44"/>
          <w:lang w:bidi="ar"/>
        </w:rPr>
        <w:t>基</w:t>
      </w:r>
      <w:r w:rsidR="00A43717" w:rsidRPr="00A43717">
        <w:rPr>
          <w:rFonts w:ascii="黑体" w:eastAsia="黑体" w:hAnsi="宋体" w:cs="黑体"/>
          <w:b/>
          <w:color w:val="222222"/>
          <w:kern w:val="0"/>
          <w:sz w:val="44"/>
          <w:szCs w:val="44"/>
          <w:lang w:bidi="ar"/>
        </w:rPr>
        <w:t>金融</w:t>
      </w:r>
      <w:proofErr w:type="gramEnd"/>
      <w:r w:rsidR="00A43717" w:rsidRPr="00A43717">
        <w:rPr>
          <w:rFonts w:ascii="黑体" w:eastAsia="黑体" w:hAnsi="宋体" w:cs="黑体"/>
          <w:b/>
          <w:color w:val="222222"/>
          <w:kern w:val="0"/>
          <w:sz w:val="44"/>
          <w:szCs w:val="44"/>
          <w:lang w:bidi="ar"/>
        </w:rPr>
        <w:t>交易欺诈检测</w:t>
      </w:r>
    </w:p>
    <w:p w14:paraId="11FE7712" w14:textId="77777777" w:rsidR="00112E75" w:rsidRDefault="00112E75">
      <w:pPr>
        <w:widowControl/>
        <w:spacing w:line="640" w:lineRule="exact"/>
        <w:jc w:val="center"/>
        <w:rPr>
          <w:rFonts w:ascii="黑体" w:eastAsia="黑体" w:hAnsi="宋体" w:cs="黑体" w:hint="eastAsia"/>
          <w:b/>
          <w:color w:val="222222"/>
          <w:kern w:val="0"/>
          <w:sz w:val="44"/>
          <w:szCs w:val="44"/>
          <w:lang w:bidi="ar"/>
        </w:rPr>
      </w:pPr>
    </w:p>
    <w:p w14:paraId="406DBFCE" w14:textId="6D17A403" w:rsidR="003B4D28" w:rsidRDefault="00000000">
      <w:pPr>
        <w:ind w:firstLineChars="700" w:firstLine="2240"/>
        <w:rPr>
          <w:rFonts w:ascii="宋体" w:hAnsi="宋体" w:cs="宋体" w:hint="eastAsia"/>
          <w:color w:val="000000"/>
          <w:sz w:val="32"/>
          <w:szCs w:val="32"/>
          <w:u w:val="single"/>
        </w:rPr>
      </w:pPr>
      <w:r>
        <w:rPr>
          <w:rFonts w:ascii="宋体" w:hAnsi="宋体" w:cs="宋体" w:hint="eastAsia"/>
          <w:color w:val="000000"/>
          <w:sz w:val="32"/>
          <w:szCs w:val="32"/>
          <w:lang w:bidi="ar"/>
        </w:rPr>
        <w:t>学    院：</w:t>
      </w:r>
      <w:r w:rsidR="00AE5EBB">
        <w:rPr>
          <w:rFonts w:ascii="宋体" w:hAnsi="宋体" w:cs="宋体" w:hint="eastAsia"/>
          <w:color w:val="000000"/>
          <w:sz w:val="32"/>
          <w:szCs w:val="32"/>
          <w:u w:val="single"/>
          <w:lang w:bidi="ar"/>
        </w:rPr>
        <w:t>数字科学学院</w:t>
      </w:r>
    </w:p>
    <w:p w14:paraId="3EAF2686" w14:textId="020E0B51" w:rsidR="003B4D28" w:rsidRDefault="00000000">
      <w:pPr>
        <w:ind w:firstLineChars="700" w:firstLine="2240"/>
        <w:rPr>
          <w:rFonts w:ascii="宋体" w:hAnsi="宋体" w:cs="宋体" w:hint="eastAsia"/>
          <w:color w:val="000000"/>
          <w:sz w:val="32"/>
          <w:szCs w:val="32"/>
          <w:u w:val="thick"/>
        </w:rPr>
      </w:pPr>
      <w:r>
        <w:rPr>
          <w:rFonts w:ascii="宋体" w:hAnsi="宋体" w:cs="宋体" w:hint="eastAsia"/>
          <w:color w:val="000000"/>
          <w:sz w:val="32"/>
          <w:szCs w:val="32"/>
          <w:lang w:bidi="ar"/>
        </w:rPr>
        <w:t>专    业：</w:t>
      </w:r>
      <w:r w:rsidR="00AE5EBB">
        <w:rPr>
          <w:rFonts w:ascii="宋体" w:hAnsi="宋体" w:cs="宋体" w:hint="eastAsia"/>
          <w:color w:val="000000"/>
          <w:sz w:val="32"/>
          <w:szCs w:val="32"/>
          <w:u w:val="single"/>
          <w:lang w:bidi="ar"/>
        </w:rPr>
        <w:t>数据科学与大数据技术</w:t>
      </w:r>
      <w:r>
        <w:rPr>
          <w:rFonts w:ascii="宋体" w:hAnsi="宋体" w:cs="宋体" w:hint="eastAsia"/>
          <w:color w:val="000000"/>
          <w:sz w:val="32"/>
          <w:szCs w:val="32"/>
          <w:lang w:bidi="ar"/>
        </w:rPr>
        <w:t xml:space="preserve"> </w:t>
      </w:r>
    </w:p>
    <w:p w14:paraId="2A0BC460" w14:textId="12A72369" w:rsidR="003B4D28" w:rsidRDefault="00000000">
      <w:pPr>
        <w:ind w:firstLineChars="700" w:firstLine="2240"/>
        <w:rPr>
          <w:rFonts w:ascii="宋体" w:hAnsi="宋体" w:cs="宋体" w:hint="eastAsia"/>
          <w:color w:val="000000"/>
          <w:sz w:val="32"/>
          <w:szCs w:val="32"/>
          <w:u w:val="thick"/>
        </w:rPr>
      </w:pPr>
      <w:r>
        <w:rPr>
          <w:rFonts w:ascii="宋体" w:hAnsi="宋体" w:cs="宋体" w:hint="eastAsia"/>
          <w:color w:val="000000"/>
          <w:sz w:val="32"/>
          <w:szCs w:val="32"/>
          <w:lang w:bidi="ar"/>
        </w:rPr>
        <w:t>学    号：</w:t>
      </w:r>
      <w:r w:rsidR="00AE5EBB">
        <w:rPr>
          <w:rFonts w:ascii="宋体" w:hAnsi="宋体" w:cs="宋体" w:hint="eastAsia"/>
          <w:color w:val="000000"/>
          <w:sz w:val="32"/>
          <w:szCs w:val="32"/>
          <w:u w:val="single"/>
          <w:lang w:bidi="ar"/>
        </w:rPr>
        <w:t>20220950</w:t>
      </w:r>
      <w:r w:rsidR="00A43717">
        <w:rPr>
          <w:rFonts w:ascii="宋体" w:hAnsi="宋体" w:cs="宋体" w:hint="eastAsia"/>
          <w:color w:val="000000"/>
          <w:sz w:val="32"/>
          <w:szCs w:val="32"/>
          <w:u w:val="single"/>
          <w:lang w:bidi="ar"/>
        </w:rPr>
        <w:t>2</w:t>
      </w:r>
      <w:r>
        <w:rPr>
          <w:rFonts w:ascii="宋体" w:hAnsi="宋体" w:cs="宋体" w:hint="eastAsia"/>
          <w:color w:val="000000"/>
          <w:sz w:val="32"/>
          <w:szCs w:val="32"/>
          <w:lang w:bidi="ar"/>
        </w:rPr>
        <w:t xml:space="preserve"> </w:t>
      </w:r>
    </w:p>
    <w:p w14:paraId="325E5B7C" w14:textId="01640B42" w:rsidR="003B4D28" w:rsidRDefault="00000000">
      <w:pPr>
        <w:ind w:firstLineChars="700" w:firstLine="2240"/>
        <w:rPr>
          <w:rFonts w:ascii="宋体" w:hAnsi="宋体" w:cs="宋体" w:hint="eastAsia"/>
          <w:color w:val="000000"/>
          <w:sz w:val="32"/>
          <w:szCs w:val="32"/>
          <w:u w:val="single"/>
        </w:rPr>
      </w:pPr>
      <w:r>
        <w:rPr>
          <w:rFonts w:ascii="宋体" w:hAnsi="宋体" w:cs="宋体" w:hint="eastAsia"/>
          <w:color w:val="000000"/>
          <w:sz w:val="32"/>
          <w:szCs w:val="32"/>
          <w:lang w:bidi="ar"/>
        </w:rPr>
        <w:t>姓    名：</w:t>
      </w:r>
      <w:r w:rsidR="00A43717">
        <w:rPr>
          <w:rFonts w:ascii="宋体" w:hAnsi="宋体" w:cs="宋体" w:hint="eastAsia"/>
          <w:color w:val="000000"/>
          <w:sz w:val="32"/>
          <w:szCs w:val="32"/>
          <w:u w:val="single"/>
          <w:lang w:bidi="ar"/>
        </w:rPr>
        <w:t>王迎汀</w:t>
      </w:r>
    </w:p>
    <w:p w14:paraId="36CC6D85" w14:textId="76109613" w:rsidR="003B4D28" w:rsidRDefault="00000000">
      <w:pPr>
        <w:ind w:firstLineChars="700" w:firstLine="2240"/>
        <w:rPr>
          <w:rFonts w:ascii="宋体" w:hAnsi="宋体" w:cs="宋体" w:hint="eastAsia"/>
          <w:color w:val="000000"/>
          <w:sz w:val="24"/>
          <w:szCs w:val="24"/>
        </w:rPr>
      </w:pPr>
      <w:r>
        <w:rPr>
          <w:rFonts w:ascii="宋体" w:hAnsi="宋体" w:cs="宋体" w:hint="eastAsia"/>
          <w:color w:val="000000"/>
          <w:sz w:val="32"/>
          <w:szCs w:val="32"/>
          <w:lang w:bidi="ar"/>
        </w:rPr>
        <w:t xml:space="preserve">指导教师： </w:t>
      </w:r>
    </w:p>
    <w:p w14:paraId="748FD7C2" w14:textId="77777777" w:rsidR="003B4D28" w:rsidRDefault="003B4D28">
      <w:pPr>
        <w:ind w:firstLineChars="700" w:firstLine="1960"/>
        <w:rPr>
          <w:rFonts w:ascii="宋体" w:hAnsi="宋体" w:cs="宋体" w:hint="eastAsia"/>
          <w:color w:val="000000"/>
          <w:sz w:val="28"/>
          <w:szCs w:val="28"/>
        </w:rPr>
      </w:pPr>
    </w:p>
    <w:p w14:paraId="11019BA3" w14:textId="77777777" w:rsidR="00AE5EBB" w:rsidRDefault="00AE5EBB">
      <w:pPr>
        <w:ind w:firstLineChars="700" w:firstLine="1960"/>
        <w:rPr>
          <w:rFonts w:ascii="宋体" w:hAnsi="宋体" w:cs="宋体"/>
          <w:color w:val="000000"/>
          <w:sz w:val="28"/>
          <w:szCs w:val="28"/>
        </w:rPr>
      </w:pPr>
    </w:p>
    <w:p w14:paraId="046C5A38" w14:textId="77777777" w:rsidR="00112E75" w:rsidRDefault="00112E75">
      <w:pPr>
        <w:ind w:firstLineChars="700" w:firstLine="1960"/>
        <w:rPr>
          <w:rFonts w:ascii="宋体" w:hAnsi="宋体" w:cs="宋体" w:hint="eastAsia"/>
          <w:color w:val="000000"/>
          <w:sz w:val="28"/>
          <w:szCs w:val="28"/>
        </w:rPr>
      </w:pPr>
    </w:p>
    <w:p w14:paraId="38ABA76C" w14:textId="14068A4D" w:rsidR="003B4D28" w:rsidRDefault="00000000">
      <w:pPr>
        <w:ind w:firstLineChars="700" w:firstLine="1960"/>
        <w:rPr>
          <w:rFonts w:ascii="宋体" w:hAnsi="宋体" w:cs="宋体" w:hint="eastAsia"/>
          <w:color w:val="000000"/>
          <w:sz w:val="28"/>
          <w:szCs w:val="28"/>
        </w:rPr>
      </w:pPr>
      <w:r>
        <w:rPr>
          <w:rFonts w:ascii="宋体" w:hAnsi="宋体" w:cs="宋体" w:hint="eastAsia"/>
          <w:color w:val="000000"/>
          <w:sz w:val="28"/>
          <w:szCs w:val="28"/>
          <w:lang w:bidi="ar"/>
        </w:rPr>
        <w:t xml:space="preserve">        </w:t>
      </w:r>
      <w:r w:rsidR="00AE5EBB">
        <w:rPr>
          <w:rFonts w:ascii="宋体" w:hAnsi="宋体" w:cs="宋体" w:hint="eastAsia"/>
          <w:color w:val="000000"/>
          <w:sz w:val="32"/>
          <w:szCs w:val="32"/>
          <w:lang w:bidi="ar"/>
        </w:rPr>
        <w:t>2025</w:t>
      </w:r>
      <w:r>
        <w:rPr>
          <w:rFonts w:ascii="宋体" w:hAnsi="宋体" w:cs="宋体" w:hint="eastAsia"/>
          <w:color w:val="000000"/>
          <w:sz w:val="32"/>
          <w:szCs w:val="32"/>
          <w:lang w:bidi="ar"/>
        </w:rPr>
        <w:t xml:space="preserve">年 </w:t>
      </w:r>
      <w:r w:rsidR="00AE5EBB">
        <w:rPr>
          <w:rFonts w:ascii="宋体" w:hAnsi="宋体" w:cs="宋体" w:hint="eastAsia"/>
          <w:color w:val="000000"/>
          <w:sz w:val="32"/>
          <w:szCs w:val="32"/>
          <w:lang w:bidi="ar"/>
        </w:rPr>
        <w:t>11</w:t>
      </w:r>
      <w:r>
        <w:rPr>
          <w:rFonts w:ascii="宋体" w:hAnsi="宋体" w:cs="宋体" w:hint="eastAsia"/>
          <w:color w:val="000000"/>
          <w:sz w:val="32"/>
          <w:szCs w:val="32"/>
          <w:lang w:bidi="ar"/>
        </w:rPr>
        <w:t>月</w:t>
      </w:r>
    </w:p>
    <w:p w14:paraId="0751EB3C" w14:textId="77777777" w:rsidR="003B4D28" w:rsidRDefault="003B4D28">
      <w:pPr>
        <w:widowControl/>
        <w:snapToGrid w:val="0"/>
        <w:spacing w:line="640" w:lineRule="exact"/>
        <w:jc w:val="center"/>
        <w:rPr>
          <w:rFonts w:ascii="仿宋_GB2312" w:eastAsia="仿宋_GB2312" w:hAnsi="宋体" w:cs="仿宋_GB2312" w:hint="eastAsia"/>
          <w:color w:val="FF0000"/>
          <w:szCs w:val="21"/>
          <w:lang w:bidi="ar"/>
        </w:rPr>
      </w:pPr>
    </w:p>
    <w:p w14:paraId="2A38336A" w14:textId="77777777" w:rsidR="003B4D28" w:rsidRDefault="00000000">
      <w:pPr>
        <w:spacing w:after="120" w:line="360" w:lineRule="auto"/>
        <w:ind w:rightChars="-301" w:right="-632"/>
        <w:rPr>
          <w:rFonts w:ascii="仿宋_GB2312" w:eastAsia="仿宋_GB2312" w:hAnsi="宋体" w:cs="仿宋_GB2312" w:hint="eastAsia"/>
          <w:bCs/>
          <w:color w:val="000000"/>
          <w:kern w:val="0"/>
          <w:sz w:val="24"/>
          <w:szCs w:val="24"/>
        </w:rPr>
      </w:pPr>
      <w:r>
        <w:rPr>
          <w:rFonts w:ascii="方正小标宋_GBK" w:eastAsia="方正小标宋_GBK" w:hAnsi="方正小标宋_GBK" w:cs="方正小标宋_GBK" w:hint="eastAsia"/>
          <w:color w:val="000000"/>
          <w:kern w:val="0"/>
          <w:sz w:val="44"/>
          <w:szCs w:val="44"/>
          <w:lang w:bidi="ar"/>
        </w:rPr>
        <w:lastRenderedPageBreak/>
        <w:t xml:space="preserve">           开题报告填写要求</w:t>
      </w:r>
    </w:p>
    <w:p w14:paraId="28C9B222" w14:textId="77777777" w:rsidR="003B4D28" w:rsidRDefault="00000000">
      <w:pPr>
        <w:spacing w:line="360" w:lineRule="auto"/>
        <w:ind w:rightChars="42" w:right="88" w:firstLineChars="200" w:firstLine="640"/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</w:rPr>
      </w:pPr>
      <w:r>
        <w:rPr>
          <w:rFonts w:ascii="仿宋_GB2312" w:eastAsia="仿宋_GB2312" w:hAnsi="宋体" w:cs="仿宋_GB2312" w:hint="eastAsia"/>
          <w:color w:val="000000"/>
          <w:sz w:val="32"/>
          <w:szCs w:val="32"/>
          <w:lang w:bidi="ar"/>
        </w:rPr>
        <w:t>1.开题报告是毕业设计（论文）答辩委员会对学生答辩资格审查的依据材料之一。此报告应在指导教师指导下，由学生在毕业论文（设计）工作</w:t>
      </w:r>
      <w:proofErr w:type="gramStart"/>
      <w:r>
        <w:rPr>
          <w:rFonts w:ascii="仿宋_GB2312" w:eastAsia="仿宋_GB2312" w:hAnsi="宋体" w:cs="仿宋_GB2312" w:hint="eastAsia"/>
          <w:color w:val="000000"/>
          <w:sz w:val="32"/>
          <w:szCs w:val="32"/>
          <w:lang w:bidi="ar"/>
        </w:rPr>
        <w:t>前期内</w:t>
      </w:r>
      <w:proofErr w:type="gramEnd"/>
      <w:r>
        <w:rPr>
          <w:rFonts w:ascii="仿宋_GB2312" w:eastAsia="仿宋_GB2312" w:hAnsi="宋体" w:cs="仿宋_GB2312" w:hint="eastAsia"/>
          <w:color w:val="000000"/>
          <w:sz w:val="32"/>
          <w:szCs w:val="32"/>
          <w:lang w:bidi="ar"/>
        </w:rPr>
        <w:t>完成，经指导教师签署意见并审查后生效。</w:t>
      </w:r>
    </w:p>
    <w:p w14:paraId="2B5CAFC0" w14:textId="77777777" w:rsidR="003B4D28" w:rsidRDefault="00000000">
      <w:pPr>
        <w:spacing w:line="360" w:lineRule="auto"/>
        <w:ind w:rightChars="42" w:right="88" w:firstLineChars="200" w:firstLine="640"/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</w:rPr>
      </w:pPr>
      <w:r>
        <w:rPr>
          <w:rFonts w:ascii="仿宋_GB2312" w:eastAsia="仿宋_GB2312" w:hAnsi="宋体" w:cs="仿宋_GB2312" w:hint="eastAsia"/>
          <w:color w:val="000000"/>
          <w:sz w:val="32"/>
          <w:szCs w:val="32"/>
          <w:lang w:bidi="ar"/>
        </w:rPr>
        <w:t>2.开题报告内容必须按统一设计的电子文档标准格式填写并单面打印（禁止打印在其它纸上后剪贴），完成后应及时交给指导教师签署意见。</w:t>
      </w:r>
    </w:p>
    <w:p w14:paraId="1C020ACF" w14:textId="77777777" w:rsidR="003B4D28" w:rsidRDefault="00000000">
      <w:pPr>
        <w:spacing w:line="360" w:lineRule="auto"/>
        <w:ind w:rightChars="42" w:right="88" w:firstLineChars="200" w:firstLine="640"/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</w:rPr>
      </w:pPr>
      <w:r>
        <w:rPr>
          <w:rFonts w:ascii="仿宋_GB2312" w:eastAsia="仿宋_GB2312" w:hAnsi="宋体" w:cs="仿宋_GB2312" w:hint="eastAsia"/>
          <w:color w:val="000000"/>
          <w:sz w:val="32"/>
          <w:szCs w:val="32"/>
          <w:lang w:bidi="ar"/>
        </w:rPr>
        <w:t>3.开题报告字数应在1300字以上，参考文献应不少于12篇（不包括辞典、手册</w:t>
      </w:r>
      <w:r>
        <w:rPr>
          <w:rFonts w:ascii="仿宋_GB2312" w:eastAsia="仿宋_GB2312" w:hAnsi="宋体" w:cs="仿宋_GB2312" w:hint="eastAsia"/>
          <w:sz w:val="32"/>
          <w:szCs w:val="32"/>
          <w:lang w:bidi="ar"/>
        </w:rPr>
        <w:t>），</w:t>
      </w:r>
      <w:r>
        <w:rPr>
          <w:rFonts w:ascii="仿宋_GB2312" w:eastAsia="仿宋_GB2312" w:hAnsi="宋体" w:cs="仿宋_GB2312" w:hint="eastAsia"/>
          <w:color w:val="000000"/>
          <w:sz w:val="32"/>
          <w:szCs w:val="32"/>
          <w:lang w:bidi="ar"/>
        </w:rPr>
        <w:t>文中引用参考文献处应标出文献序号，“参考文献”应按照国标GB 7714—87《文后参考文献著录规则》的要求书写。</w:t>
      </w:r>
    </w:p>
    <w:p w14:paraId="0123588E" w14:textId="77777777" w:rsidR="003B4D28" w:rsidRDefault="00000000">
      <w:pPr>
        <w:spacing w:line="360" w:lineRule="auto"/>
        <w:ind w:rightChars="42" w:right="88" w:firstLineChars="200" w:firstLine="640"/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</w:rPr>
      </w:pPr>
      <w:r>
        <w:rPr>
          <w:rFonts w:ascii="仿宋_GB2312" w:eastAsia="仿宋_GB2312" w:hAnsi="宋体" w:cs="仿宋_GB2312" w:hint="eastAsia"/>
          <w:color w:val="000000"/>
          <w:sz w:val="32"/>
          <w:szCs w:val="32"/>
          <w:lang w:bidi="ar"/>
        </w:rPr>
        <w:t>4.年、月、日的日期一律用阿拉伯数字书写，例：“2010年11月26日”或“2010.11.26”。</w:t>
      </w:r>
    </w:p>
    <w:p w14:paraId="19EA9E47" w14:textId="77777777" w:rsidR="003B4D28" w:rsidRDefault="00000000">
      <w:pPr>
        <w:spacing w:line="360" w:lineRule="auto"/>
        <w:ind w:rightChars="42" w:right="88" w:firstLineChars="200" w:firstLine="640"/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</w:rPr>
      </w:pPr>
      <w:r>
        <w:rPr>
          <w:rFonts w:ascii="仿宋_GB2312" w:eastAsia="仿宋_GB2312" w:hAnsi="宋体" w:cs="仿宋_GB2312" w:hint="eastAsia"/>
          <w:color w:val="000000"/>
          <w:sz w:val="32"/>
          <w:szCs w:val="32"/>
          <w:lang w:bidi="ar"/>
        </w:rPr>
        <w:t>5.开题报告应在毕业设计（论文）开始后1～3周内完成，并于第4周前指导老师审查完毕。开题报告审查不合格者，必须在一周内重新完成。</w:t>
      </w:r>
    </w:p>
    <w:p w14:paraId="0B5A4786" w14:textId="77777777" w:rsidR="003B4D28" w:rsidRDefault="003B4D28">
      <w:pPr>
        <w:spacing w:line="360" w:lineRule="auto"/>
        <w:jc w:val="center"/>
        <w:rPr>
          <w:rFonts w:ascii="仿宋_GB2312" w:eastAsia="仿宋_GB2312" w:hAnsi="宋体" w:cs="仿宋_GB2312" w:hint="eastAsia"/>
          <w:bCs/>
          <w:color w:val="000000"/>
          <w:kern w:val="0"/>
          <w:sz w:val="24"/>
          <w:szCs w:val="24"/>
        </w:rPr>
      </w:pPr>
    </w:p>
    <w:p w14:paraId="059517F0" w14:textId="77777777" w:rsidR="003B4D28" w:rsidRDefault="003B4D28">
      <w:pPr>
        <w:spacing w:line="360" w:lineRule="auto"/>
        <w:rPr>
          <w:rFonts w:ascii="仿宋_GB2312" w:eastAsia="仿宋_GB2312" w:hAnsi="宋体" w:cs="仿宋_GB2312" w:hint="eastAsia"/>
          <w:bCs/>
          <w:color w:val="000000"/>
          <w:kern w:val="0"/>
          <w:sz w:val="24"/>
          <w:szCs w:val="24"/>
        </w:rPr>
      </w:pPr>
    </w:p>
    <w:p w14:paraId="626F1CFD" w14:textId="77777777" w:rsidR="003B4D28" w:rsidRDefault="003B4D28">
      <w:pPr>
        <w:spacing w:line="360" w:lineRule="auto"/>
        <w:rPr>
          <w:rFonts w:ascii="仿宋_GB2312" w:eastAsia="仿宋_GB2312" w:hAnsi="宋体" w:cs="仿宋_GB2312" w:hint="eastAsia"/>
          <w:bCs/>
          <w:color w:val="000000"/>
          <w:kern w:val="0"/>
          <w:sz w:val="24"/>
          <w:szCs w:val="24"/>
        </w:rPr>
      </w:pPr>
    </w:p>
    <w:p w14:paraId="4DA5793A" w14:textId="77777777" w:rsidR="003B4D28" w:rsidRDefault="003B4D28">
      <w:pPr>
        <w:spacing w:line="360" w:lineRule="auto"/>
        <w:rPr>
          <w:rFonts w:ascii="仿宋_GB2312" w:eastAsia="仿宋_GB2312" w:hAnsi="宋体" w:cs="仿宋_GB2312" w:hint="eastAsia"/>
          <w:bCs/>
          <w:color w:val="000000"/>
          <w:kern w:val="0"/>
          <w:sz w:val="24"/>
          <w:szCs w:val="24"/>
        </w:rPr>
      </w:pPr>
    </w:p>
    <w:p w14:paraId="07C27253" w14:textId="77777777" w:rsidR="003B4D28" w:rsidRDefault="003B4D28">
      <w:pPr>
        <w:spacing w:line="360" w:lineRule="auto"/>
        <w:rPr>
          <w:rFonts w:ascii="仿宋_GB2312" w:eastAsia="仿宋_GB2312" w:hAnsi="宋体" w:cs="仿宋_GB2312" w:hint="eastAsia"/>
          <w:bCs/>
          <w:color w:val="000000"/>
          <w:kern w:val="0"/>
          <w:sz w:val="24"/>
          <w:szCs w:val="24"/>
        </w:rPr>
      </w:pPr>
    </w:p>
    <w:p w14:paraId="6C4AD5B4" w14:textId="77777777" w:rsidR="003B4D28" w:rsidRDefault="003B4D28">
      <w:pPr>
        <w:spacing w:line="360" w:lineRule="auto"/>
        <w:jc w:val="center"/>
        <w:rPr>
          <w:rFonts w:ascii="仿宋_GB2312" w:eastAsia="仿宋_GB2312" w:hAnsi="宋体" w:cs="仿宋_GB2312" w:hint="eastAsia"/>
          <w:bCs/>
          <w:color w:val="000000"/>
          <w:kern w:val="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58"/>
      </w:tblGrid>
      <w:tr w:rsidR="003B4D28" w14:paraId="1BC3572D" w14:textId="77777777">
        <w:trPr>
          <w:trHeight w:val="398"/>
          <w:jc w:val="center"/>
        </w:trPr>
        <w:tc>
          <w:tcPr>
            <w:tcW w:w="9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5D0BD6" w14:textId="77777777" w:rsidR="003B4D28" w:rsidRDefault="00000000">
            <w:pPr>
              <w:spacing w:beforeLines="50" w:before="156"/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sz w:val="24"/>
                <w:szCs w:val="24"/>
                <w:lang w:bidi="ar"/>
              </w:rPr>
              <w:lastRenderedPageBreak/>
              <w:t>1.毕业设计（论文）选题背景、研究意义</w:t>
            </w:r>
          </w:p>
        </w:tc>
      </w:tr>
      <w:tr w:rsidR="003B4D28" w14:paraId="4BD9C9CC" w14:textId="77777777">
        <w:trPr>
          <w:trHeight w:val="4744"/>
          <w:jc w:val="center"/>
        </w:trPr>
        <w:tc>
          <w:tcPr>
            <w:tcW w:w="9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0095835" w14:textId="77777777" w:rsidR="00A43717" w:rsidRPr="00A43717" w:rsidRDefault="00A43717" w:rsidP="00A43717">
            <w:pPr>
              <w:spacing w:beforeLines="50" w:before="156" w:line="460" w:lineRule="exact"/>
              <w:ind w:firstLineChars="200" w:firstLine="480"/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</w:pPr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t>随着全球数字化进程的加速和电子商务的蓬勃发展，电子支付、线上交易已成为社会经济活动的重要组成部分。然而，在带来便捷的同时，金融交易欺诈行为也呈现出高发、隐蔽、技术化的趋势，给金融机构、商户和消费者带来了巨大的经济损失和信誉风险。据统计，全球每年因金融欺诈造成的损失高达数百亿美元。因此，构建高效、准确的欺诈检测系统，对于维护金融秩序、保障用户资产安全、提升金融机构的风险管控能力具有至关重要的意义。</w:t>
            </w:r>
          </w:p>
          <w:p w14:paraId="4602FF7A" w14:textId="7E3B142B" w:rsidR="003B4D28" w:rsidRPr="00A43717" w:rsidRDefault="00A43717" w:rsidP="00A43717">
            <w:pPr>
              <w:spacing w:beforeLines="50" w:before="156" w:line="460" w:lineRule="exact"/>
              <w:ind w:firstLineChars="200" w:firstLine="480"/>
              <w:rPr>
                <w:rFonts w:ascii="宋体" w:hAnsi="宋体" w:cs="仿宋_GB2312" w:hint="eastAsia"/>
                <w:color w:val="000000"/>
                <w:kern w:val="0"/>
                <w:sz w:val="24"/>
                <w:szCs w:val="24"/>
              </w:rPr>
            </w:pPr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t>本选题“金融交易欺诈检测（极度不平衡数据）”的核心挑战在于数据的极度不平衡性。在真实的交易场景中，绝大多数交易是正常的，欺诈交易只占极小的比例，正负样本比例通常达到1:1000甚至更低。这种数据分布特性给传统机器学习模型带来了严峻的考验：模型会倾向于将大多数样本预测为多数类（正常交易），从而导致对欺诈交易的漏报率极高，而欺诈交易的漏报意味着直接的经济损失。此外，随着欺诈手段的不断演进，欺诈模式也呈现出动态变化、团伙作案等新特点，要求检测系统不仅要高精度，更要具备实时或准实时的响应能力，以便在交易发生的瞬间进行风险干预。本研究旨在利用Python和</w:t>
            </w:r>
            <w:proofErr w:type="spellStart"/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t>PySpark</w:t>
            </w:r>
            <w:proofErr w:type="spellEnd"/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t>等大数据处理技术，结合先进的不平衡学习算法和高效的树模型，构建一个能够应对极度不平衡数据分布的实时风险评分模型。研究成果将不仅有助于提升欺诈交易的召回率，更能通过优化阈值设定来控制误报成本，为金融机构在实际业务中部署高效、经济的反欺诈解决方案提供理论依据和技术支持，具有明确的理论价值和现实应用价值。</w:t>
            </w:r>
          </w:p>
        </w:tc>
      </w:tr>
      <w:tr w:rsidR="003B4D28" w14:paraId="1EA2629D" w14:textId="77777777">
        <w:trPr>
          <w:trHeight w:val="45"/>
          <w:jc w:val="center"/>
        </w:trPr>
        <w:tc>
          <w:tcPr>
            <w:tcW w:w="9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7A9332B3" w14:textId="77777777" w:rsidR="003B4D28" w:rsidRDefault="00000000">
            <w:pPr>
              <w:spacing w:beforeLines="50" w:before="156"/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sz w:val="24"/>
                <w:szCs w:val="24"/>
                <w:lang w:bidi="ar"/>
              </w:rPr>
              <w:t>2.国内外研究现状和发展趋势</w:t>
            </w:r>
          </w:p>
        </w:tc>
      </w:tr>
      <w:tr w:rsidR="003B4D28" w14:paraId="4424A6BC" w14:textId="77777777">
        <w:trPr>
          <w:cantSplit/>
          <w:trHeight w:val="6211"/>
          <w:jc w:val="center"/>
        </w:trPr>
        <w:tc>
          <w:tcPr>
            <w:tcW w:w="9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DEB0CA7" w14:textId="77777777" w:rsidR="00A43717" w:rsidRPr="00A43717" w:rsidRDefault="00A43717" w:rsidP="00A43717">
            <w:pPr>
              <w:spacing w:beforeLines="50" w:before="156" w:line="460" w:lineRule="exact"/>
              <w:ind w:firstLineChars="200" w:firstLine="480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</w:pPr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lastRenderedPageBreak/>
              <w:t>金融交易欺诈检测作为一个经典而又充满挑战的研究领域，其技术演进大致经历了从规则引擎到传统机器学习，再到深度学习与流式处理相结合的几个阶段。</w:t>
            </w:r>
          </w:p>
          <w:p w14:paraId="0D510AFC" w14:textId="77777777" w:rsidR="00A43717" w:rsidRPr="00A43717" w:rsidRDefault="00A43717" w:rsidP="00A43717">
            <w:pPr>
              <w:spacing w:beforeLines="50" w:before="156" w:line="460" w:lineRule="exact"/>
              <w:ind w:firstLineChars="200" w:firstLine="480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</w:pPr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在国内外的早期研究和实践中，规则引擎是应用最广泛的技术。通过专家经验设定一系列静态规则（如单笔交易金额过高、短时间内异地交易等），实现对可疑交易的拦截。这种方法直观、可解释性强，但缺点同样明显：规则难以维护，无法适应快速变化的欺诈模式，且灵活性和准确性有限，容易产生大量误报。</w:t>
            </w:r>
          </w:p>
          <w:p w14:paraId="791F0E61" w14:textId="77777777" w:rsidR="00A43717" w:rsidRPr="00A43717" w:rsidRDefault="00A43717" w:rsidP="00A43717">
            <w:pPr>
              <w:spacing w:beforeLines="50" w:before="156" w:line="460" w:lineRule="exact"/>
              <w:ind w:firstLineChars="200" w:firstLine="480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</w:pPr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为了克服规则引擎的局限性，研究者们转向了传统的机器学习模型，如逻辑回归、决策树和随机森林。这些方法能够从历史数据中自动学习欺诈模式。然而，金融欺诈数据的极度不平衡性严重制约了这些模型的性能。为此，学术界和工业界提出了多种应对策略，主要包括：1）数据层面方法：如随机下采样多数类、上采样少数类，以及更为先进的合成</w:t>
            </w:r>
            <w:proofErr w:type="gramStart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少数类过采样</w:t>
            </w:r>
            <w:proofErr w:type="gramEnd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技术（SMOTE）及其变种，通过人工合成新的欺诈样本来平衡数据分布。2）算法层面方法：如代价敏感学习，通过在模型损失函数中为不同类别的样本赋予不同的误分类代价，迫使模型更加关注少数类。3）集成学习方法：如</w:t>
            </w:r>
            <w:proofErr w:type="spellStart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EasyEnsemble</w:t>
            </w:r>
            <w:proofErr w:type="spellEnd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和</w:t>
            </w:r>
            <w:proofErr w:type="spellStart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BalanceCascade</w:t>
            </w:r>
            <w:proofErr w:type="spellEnd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，通过构建多个平衡的子训练集来训练基分类器，再集成结果。近年来，</w:t>
            </w:r>
            <w:proofErr w:type="spellStart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LightGBM</w:t>
            </w:r>
            <w:proofErr w:type="spellEnd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 等梯度提升决策树模型因其高效的处理速度、对类别不平衡的一定鲁棒性以及卓越的性能，在Kaggle等数据科学竞赛和工业界中得到了广泛应用，成为当前处理表格类欺诈数据的首选模型之一。</w:t>
            </w:r>
          </w:p>
          <w:p w14:paraId="37779F37" w14:textId="77777777" w:rsidR="00A43717" w:rsidRPr="00A43717" w:rsidRDefault="00A43717" w:rsidP="00A43717">
            <w:pPr>
              <w:spacing w:beforeLines="50" w:before="156" w:line="460" w:lineRule="exact"/>
              <w:ind w:firstLineChars="200" w:firstLine="480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</w:pPr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当前的研究趋势正朝着实时化、自动化与深度融合的方向发展。流式处理技术（如Kafka + Spark Streaming）使得实时特征计算和在线模型预测成为可能，满足了业务上对“事中”甚至</w:t>
            </w:r>
            <w:proofErr w:type="gramStart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“事前”风控的</w:t>
            </w:r>
            <w:proofErr w:type="gramEnd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迫切需求。同时，深度学习模型如循环神经网络（RNN）和自编码器（Autoencoder）被尝试用于捕捉复杂的序列模式（用户行为序列）和异常模式（通过无监督学习），但在可解释性和计算成本上仍面临挑战。此外，图神经网络（GNN）被引入用于挖掘交易网络中欺诈团伙的关联关系，这是传统方法难以触及的领域。</w:t>
            </w:r>
          </w:p>
          <w:p w14:paraId="013A5F5B" w14:textId="303FF37A" w:rsidR="003B4D28" w:rsidRDefault="00A43717" w:rsidP="00A43717">
            <w:pPr>
              <w:spacing w:beforeLines="50" w:before="156" w:line="460" w:lineRule="exact"/>
              <w:ind w:firstLineChars="200" w:firstLine="480"/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szCs w:val="24"/>
              </w:rPr>
            </w:pPr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综上所述，尽管已有大量研究，但在极度不平衡数据的背景下，如何将高效的树模型（如</w:t>
            </w:r>
            <w:proofErr w:type="spellStart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LightGBM</w:t>
            </w:r>
            <w:proofErr w:type="spellEnd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）与先进的不平衡学习技术、流式处理框架相结合，构建一个兼顾高召回与低误报成本、且能满足实时性要求的综合解决方案，仍然是当前研究的热点和难点，也是本毕业设计旨在深入探索和解决的核心问题。</w:t>
            </w:r>
          </w:p>
        </w:tc>
      </w:tr>
      <w:tr w:rsidR="003B4D28" w14:paraId="03E12AC6" w14:textId="77777777">
        <w:trPr>
          <w:cantSplit/>
          <w:trHeight w:val="45"/>
          <w:jc w:val="center"/>
        </w:trPr>
        <w:tc>
          <w:tcPr>
            <w:tcW w:w="9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1D89619" w14:textId="77777777" w:rsidR="003B4D28" w:rsidRDefault="00000000">
            <w:pPr>
              <w:spacing w:beforeLines="50" w:before="156"/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sz w:val="24"/>
                <w:szCs w:val="24"/>
                <w:lang w:bidi="ar"/>
              </w:rPr>
              <w:lastRenderedPageBreak/>
              <w:t>3.主要研究内容和研究方法</w:t>
            </w:r>
          </w:p>
        </w:tc>
      </w:tr>
      <w:tr w:rsidR="003B4D28" w14:paraId="70B705F8" w14:textId="77777777">
        <w:trPr>
          <w:cantSplit/>
          <w:trHeight w:val="4036"/>
          <w:jc w:val="center"/>
        </w:trPr>
        <w:tc>
          <w:tcPr>
            <w:tcW w:w="9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5CA8FA1" w14:textId="77777777" w:rsidR="00A43717" w:rsidRPr="00A43717" w:rsidRDefault="00A43717" w:rsidP="00A43717">
            <w:pPr>
              <w:spacing w:beforeLines="50" w:before="156" w:line="460" w:lineRule="exact"/>
              <w:ind w:firstLineChars="200" w:firstLine="480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</w:pPr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本研究将围绕构建一个面向极度不平衡金融交易数据的实时/准实时欺诈检测系统展开，主要研究内容与方法如下：</w:t>
            </w:r>
          </w:p>
          <w:p w14:paraId="26F502E9" w14:textId="77777777" w:rsidR="00A43717" w:rsidRPr="00A43717" w:rsidRDefault="00A43717" w:rsidP="00A43717">
            <w:pPr>
              <w:spacing w:beforeLines="50" w:before="156" w:line="460" w:lineRule="exact"/>
              <w:ind w:firstLineChars="200" w:firstLine="480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</w:pPr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1. 数据预处理与特征工程： 首先，利用</w:t>
            </w:r>
            <w:proofErr w:type="spellStart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PySpark</w:t>
            </w:r>
            <w:proofErr w:type="spellEnd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进行大规模数据的分布式处理，处理缺失值、异常值。在此基础上，结合领域知识构建有效的风险特征，包括但不限于：a) 交易基本特征（金额、商户类别、时间等）；b) 用户行为画像特征（历史交易频率、平均金额、常用设备等）；c) 实时滑动窗口统计特征（如近1小时/10分钟同一用户/同一地区的交易次数和金额总和）；d) 交叉特征（如交易金额与用户历史平均金额的比值）。这些特征将作为模型识别欺诈模式的基础。</w:t>
            </w:r>
          </w:p>
          <w:p w14:paraId="207D5BF2" w14:textId="77777777" w:rsidR="00A43717" w:rsidRPr="00A43717" w:rsidRDefault="00A43717" w:rsidP="00A43717">
            <w:pPr>
              <w:spacing w:beforeLines="50" w:before="156" w:line="460" w:lineRule="exact"/>
              <w:ind w:firstLineChars="200" w:firstLine="480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</w:pPr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2. 不平衡数据处理方法对比研究： 将系统性地对比两种主流的不平衡数据处理策略。a) 数据重采样：具体实施随机下采样和SMOTE过采样方法，生成平衡的训练数据集。b) 代价敏感学习：在</w:t>
            </w:r>
            <w:proofErr w:type="spellStart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LightGBM</w:t>
            </w:r>
            <w:proofErr w:type="spellEnd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模型中直</w:t>
            </w:r>
            <w:proofErr w:type="gramStart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接设置</w:t>
            </w:r>
            <w:proofErr w:type="spellStart"/>
            <w:proofErr w:type="gramEnd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is_unbalance</w:t>
            </w:r>
            <w:proofErr w:type="spellEnd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参数或自定义</w:t>
            </w:r>
            <w:proofErr w:type="spellStart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scale_pos_weight</w:t>
            </w:r>
            <w:proofErr w:type="spellEnd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，以及更为精细的样本权重，让模型在训练过程中对欺诈样本的误分类施加更高的惩罚。</w:t>
            </w:r>
          </w:p>
          <w:p w14:paraId="043D0858" w14:textId="77777777" w:rsidR="00A43717" w:rsidRPr="00A43717" w:rsidRDefault="00A43717" w:rsidP="00A43717">
            <w:pPr>
              <w:spacing w:beforeLines="50" w:before="156" w:line="460" w:lineRule="exact"/>
              <w:ind w:firstLineChars="200" w:firstLine="480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</w:pPr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3. 欺诈检测模型构建与优化</w:t>
            </w:r>
            <w:r w:rsidRPr="00A43717">
              <w:rPr>
                <w:rFonts w:asciiTheme="minorEastAsia" w:eastAsiaTheme="minorEastAsia" w:hAnsiTheme="minorEastAsia" w:cs="仿宋_GB2312"/>
                <w:b/>
                <w:bCs/>
                <w:color w:val="000000"/>
                <w:kern w:val="0"/>
                <w:sz w:val="24"/>
                <w:szCs w:val="24"/>
              </w:rPr>
              <w:t>：</w:t>
            </w:r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 以</w:t>
            </w:r>
            <w:proofErr w:type="spellStart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LightGBM</w:t>
            </w:r>
            <w:proofErr w:type="spellEnd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作为核心分类模型，以其高效性和对类别不平衡的处理能力。同时，将逻辑回归和基于规则的专家系统作为基线模型进行对比。采用网格搜索或贝叶斯优化对</w:t>
            </w:r>
            <w:proofErr w:type="spellStart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LightGBm</w:t>
            </w:r>
            <w:proofErr w:type="spellEnd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的超参数（如学习率、树深度、叶子节点数等）进行调优，以追求最佳性能。</w:t>
            </w:r>
          </w:p>
          <w:p w14:paraId="3475B8A3" w14:textId="77777777" w:rsidR="00A43717" w:rsidRPr="00A43717" w:rsidRDefault="00A43717" w:rsidP="00A43717">
            <w:pPr>
              <w:spacing w:beforeLines="50" w:before="156" w:line="460" w:lineRule="exact"/>
              <w:ind w:firstLineChars="200" w:firstLine="480"/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</w:pPr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4. 实时检测流程设计（可选拓展）： 设计一个基于Kafka和Spark Streaming的准实时处理流程。交易流水数据持续流入Kafka消息队列，Spark Streaming消费这些数据并进行实时特征计算与提取，加载已训练好的</w:t>
            </w:r>
            <w:proofErr w:type="spellStart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LightGBM</w:t>
            </w:r>
            <w:proofErr w:type="spellEnd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模型进行在线风险评分，并根据设定的动态阈值触发告警。</w:t>
            </w:r>
          </w:p>
          <w:p w14:paraId="0DD11D21" w14:textId="07F755EA" w:rsidR="003B4D28" w:rsidRDefault="00A43717" w:rsidP="00A43717">
            <w:pPr>
              <w:spacing w:beforeLines="50" w:before="156" w:line="460" w:lineRule="exact"/>
              <w:ind w:firstLineChars="200" w:firstLine="480"/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szCs w:val="24"/>
              </w:rPr>
            </w:pPr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5. 系统化评估与成本分析： 摒弃单一的准确率指标，采用一套更贴合业务需求的评估体系。核心指标包括：PR-AUC（精确率-召回率曲线下面积，对不平衡数据更敏感）、</w:t>
            </w:r>
            <w:proofErr w:type="spellStart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Recall@Fixed-FPR</w:t>
            </w:r>
            <w:proofErr w:type="spellEnd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（在</w:t>
            </w:r>
            <w:proofErr w:type="gramStart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固定低</w:t>
            </w:r>
            <w:proofErr w:type="gramEnd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误报率下的召回率，直接关联运营成本）、以及自定义的单位时间损失成本敏感指标（综合</w:t>
            </w:r>
            <w:proofErr w:type="gramStart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考量</w:t>
            </w:r>
            <w:proofErr w:type="gramEnd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召回率、误报率及其对应的经济损失）。同时，在流式场景下，还需监测系统的端到端延迟和吞吐量，以确保其实用性。</w:t>
            </w:r>
          </w:p>
        </w:tc>
      </w:tr>
      <w:tr w:rsidR="003B4D28" w14:paraId="233885E0" w14:textId="77777777">
        <w:trPr>
          <w:cantSplit/>
          <w:trHeight w:val="476"/>
          <w:jc w:val="center"/>
        </w:trPr>
        <w:tc>
          <w:tcPr>
            <w:tcW w:w="9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A905EB0" w14:textId="77777777" w:rsidR="003B4D28" w:rsidRDefault="00000000">
            <w:pPr>
              <w:spacing w:beforeLines="50" w:before="156"/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sz w:val="24"/>
                <w:szCs w:val="24"/>
                <w:lang w:bidi="ar"/>
              </w:rPr>
              <w:t>4.预期研究成果</w:t>
            </w:r>
          </w:p>
        </w:tc>
      </w:tr>
      <w:tr w:rsidR="003B4D28" w14:paraId="684A864C" w14:textId="77777777">
        <w:trPr>
          <w:cantSplit/>
          <w:trHeight w:val="3859"/>
          <w:jc w:val="center"/>
        </w:trPr>
        <w:tc>
          <w:tcPr>
            <w:tcW w:w="9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88570E6" w14:textId="5A992C5F" w:rsidR="003B4D28" w:rsidRPr="00A43717" w:rsidRDefault="00A43717" w:rsidP="00A43717">
            <w:pPr>
              <w:spacing w:beforeLines="50" w:before="156" w:line="460" w:lineRule="exact"/>
              <w:ind w:firstLineChars="200" w:firstLine="480"/>
              <w:rPr>
                <w:rFonts w:asciiTheme="minorEastAsia" w:eastAsiaTheme="minorEastAsia" w:hAnsiTheme="minorEastAsia" w:cs="仿宋_GB2312" w:hint="eastAsia"/>
                <w:color w:val="000000"/>
                <w:kern w:val="0"/>
                <w:sz w:val="24"/>
                <w:szCs w:val="24"/>
              </w:rPr>
            </w:pPr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lastRenderedPageBreak/>
              <w:t>本研究期望构建一个高性能、可实用的金融交易欺诈检测模型与方案。预期达到的具体目标包括：1）在典型1:1000的极度不平衡数据集上，所构建的</w:t>
            </w:r>
            <w:proofErr w:type="spellStart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LightGBM</w:t>
            </w:r>
            <w:proofErr w:type="spellEnd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模型在PR-AUC和</w:t>
            </w:r>
            <w:proofErr w:type="spellStart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Recall@Fixed-FPR</w:t>
            </w:r>
            <w:proofErr w:type="spellEnd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等关键指标上显著优于逻辑回归和规则引擎基线模型；2）明确对比出在下采样、SMOTE和代价敏感学习等不同不平衡处理策略中，何种方法在本场景下更具优势；3）完成一套完整的（准）实时风险打分与告警系统设计方案，并验证其技术可行性。最终提交的成果形式为：毕业设计论文一篇、包含完整数据预处理、模型训练、评估与可视化代码的Python/</w:t>
            </w:r>
            <w:proofErr w:type="spellStart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PySpark</w:t>
            </w:r>
            <w:proofErr w:type="spellEnd"/>
            <w:r w:rsidRPr="00A43717">
              <w:rPr>
                <w:rFonts w:asciiTheme="minorEastAsia" w:eastAsiaTheme="minorEastAsia" w:hAnsiTheme="minorEastAsia" w:cs="仿宋_GB2312"/>
                <w:color w:val="000000"/>
                <w:kern w:val="0"/>
                <w:sz w:val="24"/>
                <w:szCs w:val="24"/>
              </w:rPr>
              <w:t>项目源码、以及相关的实验数据与结果分析报告。</w:t>
            </w:r>
          </w:p>
        </w:tc>
      </w:tr>
      <w:tr w:rsidR="003B4D28" w14:paraId="7DA4A042" w14:textId="77777777">
        <w:trPr>
          <w:cantSplit/>
          <w:trHeight w:val="581"/>
          <w:jc w:val="center"/>
        </w:trPr>
        <w:tc>
          <w:tcPr>
            <w:tcW w:w="9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42734481" w14:textId="77777777" w:rsidR="003B4D28" w:rsidRDefault="00000000">
            <w:pPr>
              <w:spacing w:beforeLines="50" w:before="156"/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sz w:val="24"/>
                <w:szCs w:val="24"/>
                <w:lang w:bidi="ar"/>
              </w:rPr>
              <w:t>5.工作进度计划</w:t>
            </w:r>
          </w:p>
        </w:tc>
      </w:tr>
      <w:tr w:rsidR="003B4D28" w14:paraId="261A1395" w14:textId="77777777">
        <w:trPr>
          <w:cantSplit/>
          <w:trHeight w:val="3518"/>
          <w:jc w:val="center"/>
        </w:trPr>
        <w:tc>
          <w:tcPr>
            <w:tcW w:w="9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76938E7" w14:textId="1898E256" w:rsidR="003B4D28" w:rsidRDefault="00A43717" w:rsidP="00A43717">
            <w:pPr>
              <w:spacing w:beforeLines="50" w:before="156" w:line="460" w:lineRule="exact"/>
              <w:rPr>
                <w:rFonts w:ascii="仿宋_GB2312" w:eastAsia="仿宋_GB2312" w:hAnsi="宋体" w:cs="仿宋_GB2312" w:hint="eastAsia"/>
                <w:color w:val="000000"/>
                <w:sz w:val="24"/>
                <w:szCs w:val="24"/>
                <w:lang w:bidi="ar"/>
              </w:rPr>
            </w:pPr>
            <w:r w:rsidRPr="00A43717">
              <w:rPr>
                <w:rFonts w:asciiTheme="minorEastAsia" w:eastAsiaTheme="minorEastAsia" w:hAnsiTheme="minorEastAsia" w:cs="仿宋_GB2312"/>
                <w:color w:val="000000"/>
                <w:sz w:val="24"/>
                <w:szCs w:val="24"/>
                <w:lang w:bidi="ar"/>
              </w:rPr>
              <w:t>第 1 周——第 3 周：深入调研国内外文献，完成开题报告撰写与答辩，熟悉</w:t>
            </w:r>
            <w:proofErr w:type="spellStart"/>
            <w:r w:rsidRPr="00A43717">
              <w:rPr>
                <w:rFonts w:asciiTheme="minorEastAsia" w:eastAsiaTheme="minorEastAsia" w:hAnsiTheme="minorEastAsia" w:cs="仿宋_GB2312"/>
                <w:color w:val="000000"/>
                <w:sz w:val="24"/>
                <w:szCs w:val="24"/>
                <w:lang w:bidi="ar"/>
              </w:rPr>
              <w:t>PySpark</w:t>
            </w:r>
            <w:proofErr w:type="spellEnd"/>
            <w:r w:rsidRPr="00A43717">
              <w:rPr>
                <w:rFonts w:asciiTheme="minorEastAsia" w:eastAsiaTheme="minorEastAsia" w:hAnsiTheme="minorEastAsia" w:cs="仿宋_GB2312"/>
                <w:color w:val="000000"/>
                <w:sz w:val="24"/>
                <w:szCs w:val="24"/>
                <w:lang w:bidi="ar"/>
              </w:rPr>
              <w:t>及相关技术环境搭建；</w:t>
            </w:r>
            <w:r w:rsidRPr="00A43717">
              <w:rPr>
                <w:rFonts w:asciiTheme="minorEastAsia" w:eastAsiaTheme="minorEastAsia" w:hAnsiTheme="minorEastAsia" w:cs="仿宋_GB2312"/>
                <w:color w:val="000000"/>
                <w:sz w:val="24"/>
                <w:szCs w:val="24"/>
                <w:lang w:bidi="ar"/>
              </w:rPr>
              <w:br/>
              <w:t>第 4 周——第 6 周：完成数据集的收集或模拟生成，进行深入的数据探索性分析（EDA），并完成数据清洗与基础特征工程；</w:t>
            </w:r>
            <w:r w:rsidRPr="00A43717">
              <w:rPr>
                <w:rFonts w:asciiTheme="minorEastAsia" w:eastAsiaTheme="minorEastAsia" w:hAnsiTheme="minorEastAsia" w:cs="仿宋_GB2312"/>
                <w:color w:val="000000"/>
                <w:sz w:val="24"/>
                <w:szCs w:val="24"/>
                <w:lang w:bidi="ar"/>
              </w:rPr>
              <w:br/>
              <w:t>第 7 周——第 9 周：实现基线模型（逻辑回归、规则引擎）及多种不平衡数据处理方法（下采样、SMOTE），完成</w:t>
            </w:r>
            <w:proofErr w:type="spellStart"/>
            <w:r w:rsidRPr="00A43717">
              <w:rPr>
                <w:rFonts w:asciiTheme="minorEastAsia" w:eastAsiaTheme="minorEastAsia" w:hAnsiTheme="minorEastAsia" w:cs="仿宋_GB2312"/>
                <w:color w:val="000000"/>
                <w:sz w:val="24"/>
                <w:szCs w:val="24"/>
                <w:lang w:bidi="ar"/>
              </w:rPr>
              <w:t>LightGBM</w:t>
            </w:r>
            <w:proofErr w:type="spellEnd"/>
            <w:r w:rsidRPr="00A43717">
              <w:rPr>
                <w:rFonts w:asciiTheme="minorEastAsia" w:eastAsiaTheme="minorEastAsia" w:hAnsiTheme="minorEastAsia" w:cs="仿宋_GB2312"/>
                <w:color w:val="000000"/>
                <w:sz w:val="24"/>
                <w:szCs w:val="24"/>
                <w:lang w:bidi="ar"/>
              </w:rPr>
              <w:t>模型的初步构建与调优；</w:t>
            </w:r>
            <w:r w:rsidRPr="00A43717">
              <w:rPr>
                <w:rFonts w:asciiTheme="minorEastAsia" w:eastAsiaTheme="minorEastAsia" w:hAnsiTheme="minorEastAsia" w:cs="仿宋_GB2312"/>
                <w:color w:val="000000"/>
                <w:sz w:val="24"/>
                <w:szCs w:val="24"/>
                <w:lang w:bidi="ar"/>
              </w:rPr>
              <w:br/>
              <w:t>第10周——第12周：进行全面的模型对比实验，记录并分析各项评估指标结果；同时开始搭建</w:t>
            </w:r>
            <w:proofErr w:type="spellStart"/>
            <w:r w:rsidRPr="00A43717">
              <w:rPr>
                <w:rFonts w:asciiTheme="minorEastAsia" w:eastAsiaTheme="minorEastAsia" w:hAnsiTheme="minorEastAsia" w:cs="仿宋_GB2312"/>
                <w:color w:val="000000"/>
                <w:sz w:val="24"/>
                <w:szCs w:val="24"/>
                <w:lang w:bidi="ar"/>
              </w:rPr>
              <w:t>Kafka+Spark</w:t>
            </w:r>
            <w:proofErr w:type="spellEnd"/>
            <w:r w:rsidRPr="00A43717">
              <w:rPr>
                <w:rFonts w:asciiTheme="minorEastAsia" w:eastAsiaTheme="minorEastAsia" w:hAnsiTheme="minorEastAsia" w:cs="仿宋_GB2312"/>
                <w:color w:val="000000"/>
                <w:sz w:val="24"/>
                <w:szCs w:val="24"/>
                <w:lang w:bidi="ar"/>
              </w:rPr>
              <w:t xml:space="preserve"> Streaming</w:t>
            </w:r>
            <w:proofErr w:type="gramStart"/>
            <w:r w:rsidRPr="00A43717">
              <w:rPr>
                <w:rFonts w:asciiTheme="minorEastAsia" w:eastAsiaTheme="minorEastAsia" w:hAnsiTheme="minorEastAsia" w:cs="仿宋_GB2312"/>
                <w:color w:val="000000"/>
                <w:sz w:val="24"/>
                <w:szCs w:val="24"/>
                <w:lang w:bidi="ar"/>
              </w:rPr>
              <w:t>流处理</w:t>
            </w:r>
            <w:proofErr w:type="gramEnd"/>
            <w:r w:rsidRPr="00A43717">
              <w:rPr>
                <w:rFonts w:asciiTheme="minorEastAsia" w:eastAsiaTheme="minorEastAsia" w:hAnsiTheme="minorEastAsia" w:cs="仿宋_GB2312"/>
                <w:color w:val="000000"/>
                <w:sz w:val="24"/>
                <w:szCs w:val="24"/>
                <w:lang w:bidi="ar"/>
              </w:rPr>
              <w:t>原型环境；</w:t>
            </w:r>
            <w:r w:rsidRPr="00A43717">
              <w:rPr>
                <w:rFonts w:asciiTheme="minorEastAsia" w:eastAsiaTheme="minorEastAsia" w:hAnsiTheme="minorEastAsia" w:cs="仿宋_GB2312"/>
                <w:color w:val="000000"/>
                <w:sz w:val="24"/>
                <w:szCs w:val="24"/>
                <w:lang w:bidi="ar"/>
              </w:rPr>
              <w:br/>
              <w:t>第13周——第14周：整合模型</w:t>
            </w:r>
            <w:proofErr w:type="gramStart"/>
            <w:r w:rsidRPr="00A43717">
              <w:rPr>
                <w:rFonts w:asciiTheme="minorEastAsia" w:eastAsiaTheme="minorEastAsia" w:hAnsiTheme="minorEastAsia" w:cs="仿宋_GB2312"/>
                <w:color w:val="000000"/>
                <w:sz w:val="24"/>
                <w:szCs w:val="24"/>
                <w:lang w:bidi="ar"/>
              </w:rPr>
              <w:t>至流处理</w:t>
            </w:r>
            <w:proofErr w:type="gramEnd"/>
            <w:r w:rsidRPr="00A43717">
              <w:rPr>
                <w:rFonts w:asciiTheme="minorEastAsia" w:eastAsiaTheme="minorEastAsia" w:hAnsiTheme="minorEastAsia" w:cs="仿宋_GB2312"/>
                <w:color w:val="000000"/>
                <w:sz w:val="24"/>
                <w:szCs w:val="24"/>
                <w:lang w:bidi="ar"/>
              </w:rPr>
              <w:t>环境进行准实时测试，优化系统性能，并完成所有实验结果的整理与分析；</w:t>
            </w:r>
            <w:r w:rsidRPr="00A43717">
              <w:rPr>
                <w:rFonts w:asciiTheme="minorEastAsia" w:eastAsiaTheme="minorEastAsia" w:hAnsiTheme="minorEastAsia" w:cs="仿宋_GB2312"/>
                <w:color w:val="000000"/>
                <w:sz w:val="24"/>
                <w:szCs w:val="24"/>
                <w:lang w:bidi="ar"/>
              </w:rPr>
              <w:br/>
              <w:t>第15周——第16周：撰写毕业论文初稿，并提交导师审阅；</w:t>
            </w:r>
            <w:r w:rsidRPr="00A43717">
              <w:rPr>
                <w:rFonts w:asciiTheme="minorEastAsia" w:eastAsiaTheme="minorEastAsia" w:hAnsiTheme="minorEastAsia" w:cs="仿宋_GB2312"/>
                <w:color w:val="000000"/>
                <w:sz w:val="24"/>
                <w:szCs w:val="24"/>
                <w:lang w:bidi="ar"/>
              </w:rPr>
              <w:br/>
              <w:t>第17周——第18周：根据导师意见修改并最终定稿毕业论文，准备毕业答辩</w:t>
            </w:r>
            <w:r w:rsidRPr="00A43717">
              <w:rPr>
                <w:rFonts w:ascii="仿宋_GB2312" w:eastAsia="仿宋_GB2312" w:hAnsi="宋体" w:cs="仿宋_GB2312"/>
                <w:color w:val="000000"/>
                <w:sz w:val="24"/>
                <w:szCs w:val="24"/>
                <w:lang w:bidi="ar"/>
              </w:rPr>
              <w:t>。</w:t>
            </w:r>
          </w:p>
        </w:tc>
      </w:tr>
      <w:tr w:rsidR="003B4D28" w14:paraId="7E56C024" w14:textId="77777777">
        <w:trPr>
          <w:cantSplit/>
          <w:trHeight w:val="481"/>
          <w:jc w:val="center"/>
        </w:trPr>
        <w:tc>
          <w:tcPr>
            <w:tcW w:w="9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EB1625F" w14:textId="77777777" w:rsidR="003B4D28" w:rsidRDefault="00000000">
            <w:pPr>
              <w:widowControl/>
              <w:snapToGrid w:val="0"/>
              <w:spacing w:line="440" w:lineRule="exact"/>
              <w:rPr>
                <w:rFonts w:ascii="仿宋_GB2312" w:eastAsia="仿宋_GB2312" w:cs="仿宋_GB2312"/>
                <w:color w:val="000000"/>
                <w:sz w:val="24"/>
                <w:szCs w:val="24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sz w:val="24"/>
                <w:szCs w:val="24"/>
                <w:lang w:bidi="ar"/>
              </w:rPr>
              <w:t>6.参考文献与资料</w:t>
            </w:r>
          </w:p>
        </w:tc>
      </w:tr>
      <w:tr w:rsidR="003B4D28" w14:paraId="68FDC179" w14:textId="77777777">
        <w:trPr>
          <w:cantSplit/>
          <w:trHeight w:val="5214"/>
          <w:jc w:val="center"/>
        </w:trPr>
        <w:tc>
          <w:tcPr>
            <w:tcW w:w="9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2591EF9" w14:textId="1826117E" w:rsidR="00A43717" w:rsidRPr="00A43717" w:rsidRDefault="00A43717" w:rsidP="00A43717">
            <w:pPr>
              <w:spacing w:beforeLines="50" w:before="156" w:line="460" w:lineRule="exact"/>
              <w:rPr>
                <w:rFonts w:ascii="宋体" w:hAnsi="宋体" w:cs="仿宋_GB2312" w:hint="eastAsia"/>
                <w:color w:val="000000"/>
                <w:kern w:val="0"/>
                <w:sz w:val="24"/>
                <w:szCs w:val="24"/>
              </w:rPr>
            </w:pPr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lastRenderedPageBreak/>
              <w:t xml:space="preserve">[1] Dal </w:t>
            </w:r>
            <w:proofErr w:type="spellStart"/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t>Pozzolo</w:t>
            </w:r>
            <w:proofErr w:type="spellEnd"/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t xml:space="preserve"> A, Caelen O, Le Borgne Y A, et al. Learned lessons in credit card fraud detection from a practitioner perspective[J]. Expert systems with applications, 2014, 41(10): 4915-4928.</w:t>
            </w:r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br/>
              <w:t>[2] He H, Garcia E A. Learning from imbalanced data[J]. IEEE Transactions on knowledge and data engineering, 2009, 21(9): 1263-1284.</w:t>
            </w:r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br/>
              <w:t>[3] Chawla N V, Bowyer K W, Hall L O, et al. SMOTE: synthetic minority over-sampling technique[J]. Journal of artificial intelligence research, 2002, 16: 321-357.</w:t>
            </w:r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br/>
              <w:t xml:space="preserve">[4] Ke G, Meng Q, Finley T, et al. </w:t>
            </w:r>
            <w:proofErr w:type="spellStart"/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t>Lightgbm</w:t>
            </w:r>
            <w:proofErr w:type="spellEnd"/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t>: A highly efficient gradient boosting decision tree[J]. Advances in neural information processing systems, 2017, 30.</w:t>
            </w:r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br/>
              <w:t xml:space="preserve">[5] Bhattacharyya S, Jha S, </w:t>
            </w:r>
            <w:proofErr w:type="spellStart"/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t>Tharakunnel</w:t>
            </w:r>
            <w:proofErr w:type="spellEnd"/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t xml:space="preserve"> K, et al. Data mining for credit card fraud: A comparative study[J]. Decision Support Systems, 2011, 50(3): 602-613.</w:t>
            </w:r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br/>
              <w:t xml:space="preserve">[6] </w:t>
            </w:r>
            <w:proofErr w:type="spellStart"/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t>Whitrow</w:t>
            </w:r>
            <w:proofErr w:type="spellEnd"/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t xml:space="preserve"> C, Hand D J, Juszczak P, et al. Transaction aggregation as a strategy for credit card fraud detection[J]. Data Mining and Knowledge Discovery, 2009, 18(1): 30-55.</w:t>
            </w:r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br/>
              <w:t>[7] Randhawa K, Loo C K, Seera M, et al. Credit card fraud detection using AdaBoost and majority voting[J]. IEEE access, 2018, 6: 14277-14284.</w:t>
            </w:r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br/>
              <w:t xml:space="preserve">[8] </w:t>
            </w:r>
            <w:proofErr w:type="spellStart"/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t>Carcillo</w:t>
            </w:r>
            <w:proofErr w:type="spellEnd"/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t xml:space="preserve"> F, Le Borgne Y A, Caelen O, et al. Streaming active learning strategies for real-life credit card fraud detection: assessment and visualization[J]. International Journal of Data Science and Analytics, 2018, 5(4): 285-300.</w:t>
            </w:r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br/>
              <w:t>[9] Zadeh A H, Nazari A, T. R. A. A comprehensive review of data mining approaches in credit card fraud detection[J]. Journal of Computer Sciences, 2014, 10(4): 570-577.</w:t>
            </w:r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br/>
              <w:t xml:space="preserve">[10] 王珊, </w:t>
            </w:r>
            <w:proofErr w:type="gramStart"/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t>萨</w:t>
            </w:r>
            <w:proofErr w:type="gramEnd"/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t>师煊. 数据库系统概论（第5版）[M]. 北京：高等教育出版社，2014.</w:t>
            </w:r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br/>
              <w:t>[11] Zaharia M, Xin R S, Wendell P, et al. Apache Spark: a unified engine for big data processing[J]. Communications of the ACM, 2016, 59(11): 56-65.</w:t>
            </w:r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br/>
              <w:t xml:space="preserve">[12] Kreps J, Narkhede N, Rao J. Kafka: A distributed messaging system for log processing[C]//Proceedings of the </w:t>
            </w:r>
            <w:proofErr w:type="spellStart"/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t>NetDB</w:t>
            </w:r>
            <w:proofErr w:type="spellEnd"/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t>. 2011, 11: 1-7.</w:t>
            </w:r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br/>
              <w:t xml:space="preserve">[13] </w:t>
            </w:r>
            <w:proofErr w:type="spellStart"/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t>Breiman</w:t>
            </w:r>
            <w:proofErr w:type="spellEnd"/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t xml:space="preserve"> L. Random forests[J]. Machine learning, 2001, 45(1): 5-32.</w:t>
            </w:r>
            <w:r w:rsidRPr="00A43717">
              <w:rPr>
                <w:rFonts w:ascii="宋体" w:hAnsi="宋体" w:cs="仿宋_GB2312"/>
                <w:color w:val="000000"/>
                <w:kern w:val="0"/>
                <w:sz w:val="24"/>
                <w:szCs w:val="24"/>
              </w:rPr>
              <w:br/>
              <w:t>[14] Liu F T, Ting K M, Zhou Z H. Isolation forest[C]//2008 Eighth IEEE International Conference on Data Mining. IEEE, 2008: 413-422.</w:t>
            </w:r>
          </w:p>
        </w:tc>
      </w:tr>
      <w:tr w:rsidR="003B4D28" w14:paraId="70D9E607" w14:textId="77777777">
        <w:trPr>
          <w:cantSplit/>
          <w:trHeight w:val="478"/>
          <w:jc w:val="center"/>
        </w:trPr>
        <w:tc>
          <w:tcPr>
            <w:tcW w:w="9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26BFECB" w14:textId="77777777" w:rsidR="003B4D28" w:rsidRDefault="00000000">
            <w:pPr>
              <w:spacing w:beforeLines="50" w:before="156"/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sz w:val="24"/>
                <w:szCs w:val="24"/>
                <w:lang w:bidi="ar"/>
              </w:rPr>
              <w:lastRenderedPageBreak/>
              <w:t>7.指导教师意见（对课题的深度、广度及工作量、是否同意开题的意见）。</w:t>
            </w:r>
          </w:p>
        </w:tc>
      </w:tr>
      <w:tr w:rsidR="003B4D28" w14:paraId="31BCFF61" w14:textId="77777777">
        <w:trPr>
          <w:cantSplit/>
          <w:trHeight w:val="3721"/>
          <w:jc w:val="center"/>
        </w:trPr>
        <w:tc>
          <w:tcPr>
            <w:tcW w:w="91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5EAB74E1" w14:textId="77777777" w:rsidR="003B4D28" w:rsidRDefault="003B4D28">
            <w:pPr>
              <w:spacing w:beforeLines="50" w:before="156"/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szCs w:val="24"/>
              </w:rPr>
            </w:pPr>
          </w:p>
          <w:p w14:paraId="3E97DC86" w14:textId="77777777" w:rsidR="003B4D28" w:rsidRDefault="003B4D28">
            <w:pPr>
              <w:spacing w:beforeLines="50" w:before="156"/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szCs w:val="24"/>
              </w:rPr>
            </w:pPr>
          </w:p>
          <w:p w14:paraId="29765AFD" w14:textId="77777777" w:rsidR="003B4D28" w:rsidRDefault="003B4D28">
            <w:pPr>
              <w:spacing w:beforeLines="50" w:before="156"/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szCs w:val="24"/>
              </w:rPr>
            </w:pPr>
          </w:p>
          <w:p w14:paraId="42206C32" w14:textId="77777777" w:rsidR="003B4D28" w:rsidRDefault="003B4D28">
            <w:pPr>
              <w:spacing w:beforeLines="50" w:before="156"/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szCs w:val="24"/>
              </w:rPr>
            </w:pPr>
          </w:p>
          <w:p w14:paraId="5BBADBE5" w14:textId="77777777" w:rsidR="003B4D28" w:rsidRDefault="003B4D28">
            <w:pPr>
              <w:spacing w:beforeLines="50" w:before="156"/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szCs w:val="24"/>
              </w:rPr>
            </w:pPr>
          </w:p>
          <w:p w14:paraId="792A4008" w14:textId="77777777" w:rsidR="003B4D28" w:rsidRDefault="003B4D28">
            <w:pPr>
              <w:spacing w:beforeLines="50" w:before="156"/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szCs w:val="24"/>
              </w:rPr>
            </w:pPr>
          </w:p>
          <w:p w14:paraId="59655CE2" w14:textId="77777777" w:rsidR="003B4D28" w:rsidRDefault="003B4D28">
            <w:pPr>
              <w:spacing w:beforeLines="50" w:before="156"/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szCs w:val="24"/>
              </w:rPr>
            </w:pPr>
          </w:p>
          <w:p w14:paraId="0436A2F2" w14:textId="77777777" w:rsidR="003B4D28" w:rsidRDefault="003B4D28">
            <w:pPr>
              <w:spacing w:beforeLines="50" w:before="156"/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szCs w:val="24"/>
              </w:rPr>
            </w:pPr>
          </w:p>
          <w:p w14:paraId="155102DD" w14:textId="77777777" w:rsidR="003B4D28" w:rsidRDefault="003B4D28">
            <w:pPr>
              <w:spacing w:beforeLines="50" w:before="156"/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szCs w:val="24"/>
              </w:rPr>
            </w:pPr>
          </w:p>
          <w:p w14:paraId="453624E7" w14:textId="77777777" w:rsidR="003B4D28" w:rsidRDefault="003B4D28">
            <w:pPr>
              <w:spacing w:beforeLines="50" w:before="156"/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szCs w:val="24"/>
              </w:rPr>
            </w:pPr>
          </w:p>
          <w:p w14:paraId="3FD8352B" w14:textId="77777777" w:rsidR="003B4D28" w:rsidRDefault="00000000">
            <w:pPr>
              <w:spacing w:line="400" w:lineRule="exact"/>
              <w:ind w:right="560" w:firstLineChars="1800" w:firstLine="4320"/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sz w:val="24"/>
                <w:szCs w:val="24"/>
                <w:lang w:bidi="ar"/>
              </w:rPr>
              <w:t xml:space="preserve">             指导教师：                   </w:t>
            </w:r>
          </w:p>
          <w:p w14:paraId="3DF4FD54" w14:textId="77777777" w:rsidR="003B4D28" w:rsidRDefault="00000000">
            <w:pPr>
              <w:spacing w:beforeLines="50" w:before="156"/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eastAsia="仿宋_GB2312" w:hAnsi="宋体" w:cs="仿宋_GB2312" w:hint="eastAsia"/>
                <w:color w:val="000000"/>
                <w:sz w:val="24"/>
                <w:szCs w:val="24"/>
                <w:lang w:bidi="ar"/>
              </w:rPr>
              <w:t xml:space="preserve">                                                       年   月   日</w:t>
            </w:r>
          </w:p>
          <w:p w14:paraId="5D433648" w14:textId="77777777" w:rsidR="003B4D28" w:rsidRDefault="003B4D28">
            <w:pPr>
              <w:spacing w:beforeLines="50" w:before="156"/>
              <w:rPr>
                <w:rFonts w:ascii="仿宋_GB2312" w:eastAsia="仿宋_GB2312" w:hAnsi="宋体" w:cs="仿宋_GB2312" w:hint="eastAsia"/>
                <w:color w:val="000000"/>
                <w:kern w:val="0"/>
                <w:sz w:val="24"/>
                <w:szCs w:val="24"/>
              </w:rPr>
            </w:pPr>
          </w:p>
        </w:tc>
      </w:tr>
    </w:tbl>
    <w:p w14:paraId="1B69ED3D" w14:textId="77777777" w:rsidR="003B4D28" w:rsidRDefault="003B4D28"/>
    <w:sectPr w:rsidR="003B4D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大标宋简体">
    <w:altName w:val="黑体"/>
    <w:charset w:val="86"/>
    <w:family w:val="auto"/>
    <w:pitch w:val="default"/>
    <w:sig w:usb0="00000000" w:usb1="00000000" w:usb2="00000010" w:usb3="00000000" w:csb0="00040000" w:csb1="00000000"/>
  </w:font>
  <w:font w:name="方正小标宋_GBK">
    <w:altName w:val="黑体"/>
    <w:charset w:val="86"/>
    <w:family w:val="script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WMxYTBmM2ExNDA5MTI5NmEwNjA4YTk5MmRmY2Y2MzgifQ=="/>
  </w:docVars>
  <w:rsids>
    <w:rsidRoot w:val="4FEB597A"/>
    <w:rsid w:val="00112E75"/>
    <w:rsid w:val="002D680C"/>
    <w:rsid w:val="003B4D28"/>
    <w:rsid w:val="009F17A6"/>
    <w:rsid w:val="00A43717"/>
    <w:rsid w:val="00AE5EBB"/>
    <w:rsid w:val="28DE20F1"/>
    <w:rsid w:val="4FEB597A"/>
    <w:rsid w:val="53395433"/>
    <w:rsid w:val="752B4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2EB29B"/>
  <w15:docId w15:val="{1709FEA1-32DB-4C67-B2B5-BEDA61F9B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2802</Words>
  <Characters>3308</Characters>
  <Application>Microsoft Office Word</Application>
  <DocSecurity>0</DocSecurity>
  <Lines>330</Lines>
  <Paragraphs>185</Paragraphs>
  <ScaleCrop>false</ScaleCrop>
  <Company/>
  <LinksUpToDate>false</LinksUpToDate>
  <CharactersWithSpaces>5925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朱辉</dc:creator>
  <cp:lastModifiedBy>chunliang Zeng</cp:lastModifiedBy>
  <cp:revision>4</cp:revision>
  <dcterms:created xsi:type="dcterms:W3CDTF">2023-05-10T01:12:00Z</dcterms:created>
  <dcterms:modified xsi:type="dcterms:W3CDTF">2025-11-19T10:18:00Z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990F15C6F2784C65A7401436599F01A0_11</vt:lpwstr>
  </property>
</Properties>
</file>