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waabanong-weekly-update"/>
    <w:p>
      <w:pPr>
        <w:pStyle w:val="Heading1"/>
      </w:pPr>
      <w:r>
        <w:t xml:space="preserve">Waabanong Weekly Update</w:t>
      </w:r>
    </w:p>
    <w:p>
      <w:pPr>
        <w:pStyle w:val="FirstParagraph"/>
      </w:pPr>
      <w:r>
        <w:rPr>
          <w:b/>
          <w:bCs/>
        </w:rPr>
        <w:t xml:space="preserve">Week of:</w:t>
      </w:r>
      <w:r>
        <w:t xml:space="preserve"> </w:t>
      </w:r>
      <w:r>
        <w:t xml:space="preserve">June 15, 2026</w:t>
      </w:r>
    </w:p>
    <w:p>
      <w:pPr>
        <w:pStyle w:val="BlockText"/>
      </w:pPr>
      <w:r>
        <w:t xml:space="preserve">⚠️ Roadmap image: provide updated PNG path before converting. Prior week’s image will be used as placeholder if not supplied.</w:t>
      </w:r>
    </w:p>
    <w:p>
      <w:r>
        <w:pict>
          <v:rect style="width:0;height:1.5pt" o:hralign="center" o:hrstd="t" o:hr="t"/>
        </w:pict>
      </w:r>
    </w:p>
    <w:bookmarkStart w:id="18" w:name="iteration-summary"/>
    <w:p>
      <w:pPr>
        <w:pStyle w:val="Heading2"/>
      </w:pPr>
      <w:r>
        <w:t xml:space="preserve">Iteration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1545"/>
        <w:gridCol w:w="2897"/>
        <w:gridCol w:w="13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Iteration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Current Phase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I1 - System Infrastructure &amp; Environments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PCFS Testing</w:t>
            </w:r>
          </w:p>
        </w:tc>
        <w:tc>
          <w:tcPr/>
          <w:p>
            <w:pPr>
              <w:pStyle w:val="Compact"/>
            </w:pPr>
            <w:r>
              <w:t xml:space="preserve">Azure testing environment active and stable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I2 - Login &amp; Authorization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PCFS Testing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I3 - Client, Member &amp; Family Data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PCFS Testing</w:t>
            </w:r>
          </w:p>
        </w:tc>
        <w:tc>
          <w:tcPr/>
          <w:p>
            <w:pPr>
              <w:pStyle w:val="Compact"/>
            </w:pPr>
            <w:r>
              <w:t xml:space="preserve">Person logging improvements; search result card accessibility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I4 - Intake Management &amp; Automated Notifications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PCFS Testing</w:t>
            </w:r>
          </w:p>
        </w:tc>
        <w:tc>
          <w:tcPr/>
          <w:p>
            <w:pPr>
              <w:pStyle w:val="Compact"/>
            </w:pPr>
            <w:r>
              <w:t xml:space="preserve">UAT session June 16; major intake additions: director closure approval, existing intake modal, self-referral, CFSIS prefix, intake-to-case-note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I5 A - Case File Management &amp; Signs of Safety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Case file permissions shipped (PR #49); All My Relations and F2F compliance 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I5 B – Abuse Investigations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Solution design</w:t>
            </w:r>
          </w:p>
        </w:tc>
        <w:tc>
          <w:tcPr/>
          <w:p>
            <w:pPr>
              <w:pStyle w:val="Compact"/>
            </w:pPr>
            <w:r>
              <w:t xml:space="preserve">Wireframes 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I6 - Data Cleaning and Migration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Planning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I7 - Financial Tracking &amp; Exports for Sage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Solution design</w:t>
            </w:r>
          </w:p>
        </w:tc>
        <w:tc>
          <w:tcPr/>
          <w:p>
            <w:pPr>
              <w:pStyle w:val="Compact"/>
            </w:pPr>
            <w:r>
              <w:t xml:space="preserve">Internal requirements session June 19; PO workflow design 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I8 - My Dashboard &amp; Reporting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project-management-general"/>
    <w:p>
      <w:pPr>
        <w:pStyle w:val="Heading2"/>
      </w:pPr>
      <w:r>
        <w:t xml:space="preserve">Project Management &amp; General</w:t>
      </w:r>
    </w:p>
    <w:p>
      <w:pPr>
        <w:pStyle w:val="FirstParagraph"/>
      </w:pPr>
      <w:r>
        <w:rPr>
          <w:b/>
          <w:bCs/>
        </w:rPr>
        <w:t xml:space="preserve">Weekly Progress</w:t>
      </w:r>
    </w:p>
    <w:p>
      <w:pPr>
        <w:pStyle w:val="Compact"/>
        <w:numPr>
          <w:ilvl w:val="0"/>
          <w:numId w:val="1001"/>
        </w:numPr>
      </w:pPr>
      <w:r>
        <w:t xml:space="preserve">Intake UAT session held June 16 with the full PCFS team — UAT testers onboarded; feedback collection via Freshdesk initiated.</w:t>
      </w:r>
    </w:p>
    <w:p>
      <w:pPr>
        <w:pStyle w:val="Compact"/>
        <w:numPr>
          <w:ilvl w:val="0"/>
          <w:numId w:val="1001"/>
        </w:numPr>
      </w:pPr>
      <w:r>
        <w:t xml:space="preserve">Internal finance requirements session held June 19 (Marcus, Gabrielle, Rob) — PO workflow design approach confirmed; expense entry from intake/case, auto GL mapping, Finance tab summary view.</w:t>
      </w:r>
    </w:p>
    <w:p>
      <w:r>
        <w:pict>
          <v:rect style="width:0;height:1.5pt" o:hralign="center" o:hrstd="t" o:hr="t"/>
        </w:pict>
      </w:r>
    </w:p>
    <w:bookmarkEnd w:id="19"/>
    <w:bookmarkStart w:id="20" w:name="i1---system-infrastructure-environments"/>
    <w:p>
      <w:pPr>
        <w:pStyle w:val="Heading2"/>
      </w:pPr>
      <w:r>
        <w:t xml:space="preserve">I1 - System Infrastructure &amp; Environments</w:t>
      </w:r>
    </w:p>
    <w:p>
      <w:pPr>
        <w:pStyle w:val="FirstParagraph"/>
      </w:pPr>
      <w:r>
        <w:rPr>
          <w:b/>
          <w:bCs/>
        </w:rPr>
        <w:t xml:space="preserve">Features</w:t>
      </w:r>
    </w:p>
    <w:p>
      <w:pPr>
        <w:pStyle w:val="Compact"/>
        <w:numPr>
          <w:ilvl w:val="0"/>
          <w:numId w:val="1002"/>
        </w:numPr>
      </w:pPr>
      <w:r>
        <w:t xml:space="preserve">Set up Development, Testing, and Production environments</w:t>
      </w:r>
    </w:p>
    <w:p>
      <w:pPr>
        <w:pStyle w:val="FirstParagraph"/>
      </w:pPr>
      <w:r>
        <w:rPr>
          <w:b/>
          <w:bCs/>
        </w:rPr>
        <w:t xml:space="preserve">Weekly Progress</w:t>
      </w:r>
    </w:p>
    <w:p>
      <w:pPr>
        <w:pStyle w:val="Compact"/>
        <w:numPr>
          <w:ilvl w:val="0"/>
          <w:numId w:val="1003"/>
        </w:numPr>
      </w:pPr>
      <w:r>
        <w:t xml:space="preserve">No infrastructure changes this week — Azure testing environment active and stable for PCFS UAT.</w:t>
      </w:r>
    </w:p>
    <w:p>
      <w:r>
        <w:pict>
          <v:rect style="width:0;height:1.5pt" o:hralign="center" o:hrstd="t" o:hr="t"/>
        </w:pict>
      </w:r>
    </w:p>
    <w:bookmarkEnd w:id="20"/>
    <w:bookmarkStart w:id="21" w:name="i2---login-authorization"/>
    <w:p>
      <w:pPr>
        <w:pStyle w:val="Heading2"/>
      </w:pPr>
      <w:r>
        <w:t xml:space="preserve">I2 - Login &amp; Authorization</w:t>
      </w:r>
    </w:p>
    <w:p>
      <w:pPr>
        <w:pStyle w:val="FirstParagraph"/>
      </w:pPr>
      <w:r>
        <w:rPr>
          <w:b/>
          <w:bCs/>
        </w:rPr>
        <w:t xml:space="preserve">Features</w:t>
      </w:r>
    </w:p>
    <w:p>
      <w:pPr>
        <w:pStyle w:val="Compact"/>
        <w:numPr>
          <w:ilvl w:val="0"/>
          <w:numId w:val="1004"/>
        </w:numPr>
      </w:pPr>
      <w:r>
        <w:t xml:space="preserve">Microsoft 365–based authentication</w:t>
      </w:r>
    </w:p>
    <w:p>
      <w:pPr>
        <w:pStyle w:val="Compact"/>
        <w:numPr>
          <w:ilvl w:val="0"/>
          <w:numId w:val="1004"/>
        </w:numPr>
      </w:pPr>
      <w:r>
        <w:t xml:space="preserve">User login</w:t>
      </w:r>
    </w:p>
    <w:p>
      <w:pPr>
        <w:pStyle w:val="FirstParagraph"/>
      </w:pPr>
      <w:r>
        <w:rPr>
          <w:b/>
          <w:bCs/>
        </w:rPr>
        <w:t xml:space="preserve">Weekly Progress</w:t>
      </w:r>
    </w:p>
    <w:p>
      <w:pPr>
        <w:pStyle w:val="Compact"/>
        <w:numPr>
          <w:ilvl w:val="0"/>
          <w:numId w:val="1005"/>
        </w:numPr>
      </w:pPr>
      <w:r>
        <w:t xml:space="preserve">Permissions and role assignments refined in preparation for the June 16 UAT session; UAT access confirmed for all PCFS testers.</w:t>
      </w:r>
    </w:p>
    <w:p>
      <w:r>
        <w:pict>
          <v:rect style="width:0;height:1.5pt" o:hralign="center" o:hrstd="t" o:hr="t"/>
        </w:pict>
      </w:r>
    </w:p>
    <w:bookmarkEnd w:id="21"/>
    <w:bookmarkStart w:id="22" w:name="i3---client-member-family-data"/>
    <w:p>
      <w:pPr>
        <w:pStyle w:val="Heading2"/>
      </w:pPr>
      <w:r>
        <w:t xml:space="preserve">I3 - Client, Member &amp; Family Data</w:t>
      </w:r>
    </w:p>
    <w:p>
      <w:pPr>
        <w:pStyle w:val="FirstParagraph"/>
      </w:pPr>
      <w:r>
        <w:rPr>
          <w:b/>
          <w:bCs/>
        </w:rPr>
        <w:t xml:space="preserve">Features</w:t>
      </w:r>
    </w:p>
    <w:p>
      <w:pPr>
        <w:pStyle w:val="Compact"/>
        <w:numPr>
          <w:ilvl w:val="0"/>
          <w:numId w:val="1006"/>
        </w:numPr>
      </w:pPr>
      <w:r>
        <w:t xml:space="preserve">Centralized person records (children, adults, limited profiles)</w:t>
      </w:r>
    </w:p>
    <w:p>
      <w:pPr>
        <w:pStyle w:val="Compact"/>
        <w:numPr>
          <w:ilvl w:val="1"/>
          <w:numId w:val="1007"/>
        </w:numPr>
      </w:pPr>
      <w:r>
        <w:t xml:space="preserve">Duplicate prevention</w:t>
      </w:r>
    </w:p>
    <w:p>
      <w:pPr>
        <w:pStyle w:val="Compact"/>
        <w:numPr>
          <w:ilvl w:val="0"/>
          <w:numId w:val="1006"/>
        </w:numPr>
      </w:pPr>
      <w:r>
        <w:t xml:space="preserve">Family and household structures</w:t>
      </w:r>
    </w:p>
    <w:p>
      <w:pPr>
        <w:pStyle w:val="Compact"/>
        <w:numPr>
          <w:ilvl w:val="1"/>
          <w:numId w:val="1008"/>
        </w:numPr>
      </w:pPr>
      <w:r>
        <w:t xml:space="preserve">Multi-generation relationships</w:t>
      </w:r>
    </w:p>
    <w:p>
      <w:pPr>
        <w:pStyle w:val="Compact"/>
        <w:numPr>
          <w:ilvl w:val="0"/>
          <w:numId w:val="1006"/>
        </w:numPr>
      </w:pPr>
      <w:r>
        <w:t xml:space="preserve">Reciprocal relationship logic</w:t>
      </w:r>
    </w:p>
    <w:p>
      <w:pPr>
        <w:pStyle w:val="Compact"/>
        <w:numPr>
          <w:ilvl w:val="0"/>
          <w:numId w:val="1006"/>
        </w:numPr>
      </w:pPr>
      <w:r>
        <w:t xml:space="preserve">Global search across people and families</w:t>
      </w:r>
    </w:p>
    <w:p>
      <w:pPr>
        <w:pStyle w:val="FirstParagraph"/>
      </w:pPr>
      <w:r>
        <w:rPr>
          <w:b/>
          <w:bCs/>
        </w:rPr>
        <w:t xml:space="preserve">Weekly Progress</w:t>
      </w:r>
    </w:p>
    <w:p>
      <w:pPr>
        <w:pStyle w:val="Compact"/>
        <w:numPr>
          <w:ilvl w:val="0"/>
          <w:numId w:val="1009"/>
        </w:numPr>
      </w:pPr>
      <w:r>
        <w:t xml:space="preserve">Person activity logging improvements deployed.</w:t>
      </w:r>
    </w:p>
    <w:p>
      <w:pPr>
        <w:pStyle w:val="Compact"/>
        <w:numPr>
          <w:ilvl w:val="0"/>
          <w:numId w:val="1009"/>
        </w:numPr>
      </w:pPr>
      <w:r>
        <w:t xml:space="preserve">Search result cards updated with clickable functionality and improved accessibility (keyboard navigation, ARIA labels).</w:t>
      </w:r>
    </w:p>
    <w:p>
      <w:r>
        <w:pict>
          <v:rect style="width:0;height:1.5pt" o:hralign="center" o:hrstd="t" o:hr="t"/>
        </w:pict>
      </w:r>
    </w:p>
    <w:bookmarkEnd w:id="22"/>
    <w:bookmarkStart w:id="23" w:name="X321d89cc9f3bb8ef67611e806272efe176444fe"/>
    <w:p>
      <w:pPr>
        <w:pStyle w:val="Heading2"/>
      </w:pPr>
      <w:r>
        <w:t xml:space="preserve">I4 - Intake Management &amp; Automated Notifications</w:t>
      </w:r>
    </w:p>
    <w:p>
      <w:pPr>
        <w:pStyle w:val="FirstParagraph"/>
      </w:pPr>
      <w:r>
        <w:rPr>
          <w:b/>
          <w:bCs/>
        </w:rPr>
        <w:t xml:space="preserve">Features</w:t>
      </w:r>
    </w:p>
    <w:p>
      <w:pPr>
        <w:pStyle w:val="Compact"/>
        <w:numPr>
          <w:ilvl w:val="0"/>
          <w:numId w:val="1010"/>
        </w:numPr>
      </w:pPr>
      <w:r>
        <w:t xml:space="preserve">Structured intake workflows with mandatory fields</w:t>
      </w:r>
    </w:p>
    <w:p>
      <w:pPr>
        <w:pStyle w:val="Compact"/>
        <w:numPr>
          <w:ilvl w:val="0"/>
          <w:numId w:val="1010"/>
        </w:numPr>
      </w:pPr>
      <w:r>
        <w:t xml:space="preserve">Intake status tracking and lifecycle</w:t>
      </w:r>
    </w:p>
    <w:p>
      <w:pPr>
        <w:pStyle w:val="Compact"/>
        <w:numPr>
          <w:ilvl w:val="0"/>
          <w:numId w:val="1010"/>
        </w:numPr>
      </w:pPr>
      <w:r>
        <w:t xml:space="preserve">Supervisor review and approval processes</w:t>
      </w:r>
    </w:p>
    <w:p>
      <w:pPr>
        <w:pStyle w:val="Compact"/>
        <w:numPr>
          <w:ilvl w:val="0"/>
          <w:numId w:val="1010"/>
        </w:numPr>
      </w:pPr>
      <w:r>
        <w:t xml:space="preserve">Ability to resolve intake without opening a case</w:t>
      </w:r>
    </w:p>
    <w:p>
      <w:pPr>
        <w:pStyle w:val="Compact"/>
        <w:numPr>
          <w:ilvl w:val="0"/>
          <w:numId w:val="1010"/>
        </w:numPr>
      </w:pPr>
      <w:r>
        <w:t xml:space="preserve">Escalation from intake to case creation</w:t>
      </w:r>
    </w:p>
    <w:p>
      <w:pPr>
        <w:pStyle w:val="Compact"/>
        <w:numPr>
          <w:ilvl w:val="0"/>
          <w:numId w:val="1010"/>
        </w:numPr>
      </w:pPr>
      <w:r>
        <w:t xml:space="preserve">Printable intake records</w:t>
      </w:r>
    </w:p>
    <w:p>
      <w:pPr>
        <w:pStyle w:val="Compact"/>
        <w:numPr>
          <w:ilvl w:val="0"/>
          <w:numId w:val="1010"/>
        </w:numPr>
      </w:pPr>
      <w:r>
        <w:t xml:space="preserve">Automated notifications:</w:t>
      </w:r>
    </w:p>
    <w:p>
      <w:pPr>
        <w:pStyle w:val="Compact"/>
        <w:numPr>
          <w:ilvl w:val="1"/>
          <w:numId w:val="1011"/>
        </w:numPr>
      </w:pPr>
      <w:r>
        <w:t xml:space="preserve">In-application alerts</w:t>
      </w:r>
    </w:p>
    <w:p>
      <w:pPr>
        <w:pStyle w:val="Compact"/>
        <w:numPr>
          <w:ilvl w:val="1"/>
          <w:numId w:val="1011"/>
        </w:numPr>
      </w:pPr>
      <w:r>
        <w:t xml:space="preserve">Defined external channels (email/messaging)</w:t>
      </w:r>
    </w:p>
    <w:p>
      <w:pPr>
        <w:pStyle w:val="FirstParagraph"/>
      </w:pPr>
      <w:r>
        <w:rPr>
          <w:b/>
          <w:bCs/>
        </w:rPr>
        <w:t xml:space="preserve">Weekly Progress</w:t>
      </w:r>
    </w:p>
    <w:p>
      <w:pPr>
        <w:pStyle w:val="Compact"/>
        <w:numPr>
          <w:ilvl w:val="0"/>
          <w:numId w:val="1012"/>
        </w:numPr>
      </w:pPr>
      <w:r>
        <w:t xml:space="preserve">PCFS intake UAT walkthrough held June 16 — all invited participants attended; Freshdesk feedback collection process initiated.</w:t>
      </w:r>
    </w:p>
    <w:p>
      <w:pPr>
        <w:pStyle w:val="Compact"/>
        <w:numPr>
          <w:ilvl w:val="0"/>
          <w:numId w:val="1012"/>
        </w:numPr>
      </w:pPr>
      <w:r>
        <w:t xml:space="preserve">Significant intake additions shipped this period (PR #50):</w:t>
      </w:r>
    </w:p>
    <w:p>
      <w:pPr>
        <w:pStyle w:val="Compact"/>
        <w:numPr>
          <w:ilvl w:val="1"/>
          <w:numId w:val="1013"/>
        </w:numPr>
      </w:pPr>
      <w:r>
        <w:t xml:space="preserve">Director approval step added to Intake Closure workflow</w:t>
      </w:r>
    </w:p>
    <w:p>
      <w:pPr>
        <w:pStyle w:val="Compact"/>
        <w:numPr>
          <w:ilvl w:val="1"/>
          <w:numId w:val="1013"/>
        </w:numPr>
      </w:pPr>
      <w:r>
        <w:t xml:space="preserve">Existing intake modal added — workers can view and link related open intakes when initiating a new one</w:t>
      </w:r>
    </w:p>
    <w:p>
      <w:pPr>
        <w:pStyle w:val="Compact"/>
        <w:numPr>
          <w:ilvl w:val="1"/>
          <w:numId w:val="1013"/>
        </w:numPr>
      </w:pPr>
      <w:r>
        <w:t xml:space="preserve">Self-referral option added to intake form</w:t>
      </w:r>
    </w:p>
    <w:p>
      <w:pPr>
        <w:pStyle w:val="Compact"/>
        <w:numPr>
          <w:ilvl w:val="1"/>
          <w:numId w:val="1013"/>
        </w:numPr>
      </w:pPr>
      <w:r>
        <w:t xml:space="preserve">CFSIS Intake Number implemented with fixed</w:t>
      </w:r>
      <w:r>
        <w:t xml:space="preserve"> </w:t>
      </w:r>
      <w:r>
        <w:t xml:space="preserve">“PCFS”</w:t>
      </w:r>
      <w:r>
        <w:t xml:space="preserve"> </w:t>
      </w:r>
      <w:r>
        <w:t xml:space="preserve">prefix display and format validation</w:t>
      </w:r>
    </w:p>
    <w:p>
      <w:pPr>
        <w:pStyle w:val="Compact"/>
        <w:numPr>
          <w:ilvl w:val="1"/>
          <w:numId w:val="1013"/>
        </w:numPr>
      </w:pPr>
      <w:r>
        <w:t xml:space="preserve">Intake Notes field added — notes entered at intake automatically carry forward as a case note on escalation</w:t>
      </w:r>
    </w:p>
    <w:p>
      <w:pPr>
        <w:pStyle w:val="Compact"/>
        <w:numPr>
          <w:ilvl w:val="1"/>
          <w:numId w:val="1013"/>
        </w:numPr>
      </w:pPr>
      <w:r>
        <w:t xml:space="preserve">Actions Taken section notes field improvements</w:t>
      </w:r>
    </w:p>
    <w:p>
      <w:pPr>
        <w:pStyle w:val="Compact"/>
        <w:numPr>
          <w:ilvl w:val="1"/>
          <w:numId w:val="1013"/>
        </w:numPr>
      </w:pPr>
      <w:r>
        <w:t xml:space="preserve">Fixed: intake and case file records not appearing in person search results</w:t>
      </w:r>
    </w:p>
    <w:p>
      <w:pPr>
        <w:pStyle w:val="Compact"/>
        <w:numPr>
          <w:ilvl w:val="1"/>
          <w:numId w:val="1013"/>
        </w:numPr>
      </w:pPr>
      <w:r>
        <w:t xml:space="preserve">Intake form section anchoring added for smoother in-page navigation</w:t>
      </w:r>
    </w:p>
    <w:p>
      <w:pPr>
        <w:pStyle w:val="Compact"/>
        <w:numPr>
          <w:ilvl w:val="1"/>
          <w:numId w:val="1013"/>
        </w:numPr>
      </w:pPr>
      <w:r>
        <w:t xml:space="preserve">Save and Send to Supervisor now defaults to the general pool (All) rather than a specific supervisor</w:t>
      </w:r>
    </w:p>
    <w:p>
      <w:r>
        <w:pict>
          <v:rect style="width:0;height:1.5pt" o:hralign="center" o:hrstd="t" o:hr="t"/>
        </w:pict>
      </w:r>
    </w:p>
    <w:bookmarkEnd w:id="23"/>
    <w:bookmarkStart w:id="24" w:name="X9854df1a6b5c28820de76916ad85fc5aaef955a"/>
    <w:p>
      <w:pPr>
        <w:pStyle w:val="Heading2"/>
      </w:pPr>
      <w:r>
        <w:t xml:space="preserve">I5 A - Case File Management &amp; Signs of Safety</w:t>
      </w:r>
    </w:p>
    <w:p>
      <w:pPr>
        <w:pStyle w:val="FirstParagraph"/>
      </w:pPr>
      <w:r>
        <w:rPr>
          <w:b/>
          <w:bCs/>
        </w:rPr>
        <w:t xml:space="preserve">Features</w:t>
      </w:r>
    </w:p>
    <w:p>
      <w:pPr>
        <w:pStyle w:val="Compact"/>
        <w:numPr>
          <w:ilvl w:val="0"/>
          <w:numId w:val="1014"/>
        </w:numPr>
      </w:pPr>
      <w:r>
        <w:t xml:space="preserve">Case file creation and lifecycle management</w:t>
      </w:r>
    </w:p>
    <w:p>
      <w:pPr>
        <w:pStyle w:val="Compact"/>
        <w:numPr>
          <w:ilvl w:val="0"/>
          <w:numId w:val="1014"/>
        </w:numPr>
      </w:pPr>
      <w:r>
        <w:t xml:space="preserve">Assignment of caseworkers and supervisors</w:t>
      </w:r>
    </w:p>
    <w:p>
      <w:pPr>
        <w:pStyle w:val="Compact"/>
        <w:numPr>
          <w:ilvl w:val="0"/>
          <w:numId w:val="1014"/>
        </w:numPr>
      </w:pPr>
      <w:r>
        <w:t xml:space="preserve">Case reassignment with approval</w:t>
      </w:r>
    </w:p>
    <w:p>
      <w:pPr>
        <w:pStyle w:val="Compact"/>
        <w:numPr>
          <w:ilvl w:val="0"/>
          <w:numId w:val="1014"/>
        </w:numPr>
      </w:pPr>
      <w:r>
        <w:t xml:space="preserve">Signs of Safety–aligned workflows, including:</w:t>
      </w:r>
    </w:p>
    <w:p>
      <w:pPr>
        <w:pStyle w:val="Compact"/>
        <w:numPr>
          <w:ilvl w:val="1"/>
          <w:numId w:val="1015"/>
        </w:numPr>
      </w:pPr>
      <w:r>
        <w:t xml:space="preserve">Placement</w:t>
      </w:r>
    </w:p>
    <w:p>
      <w:pPr>
        <w:pStyle w:val="Compact"/>
        <w:numPr>
          <w:ilvl w:val="1"/>
          <w:numId w:val="1015"/>
        </w:numPr>
      </w:pPr>
      <w:r>
        <w:t xml:space="preserve">Structured assessments</w:t>
      </w:r>
    </w:p>
    <w:p>
      <w:pPr>
        <w:pStyle w:val="Compact"/>
        <w:numPr>
          <w:ilvl w:val="1"/>
          <w:numId w:val="1015"/>
        </w:numPr>
      </w:pPr>
      <w:r>
        <w:t xml:space="preserve">Safety goals and planning</w:t>
      </w:r>
    </w:p>
    <w:p>
      <w:pPr>
        <w:pStyle w:val="Compact"/>
        <w:numPr>
          <w:ilvl w:val="1"/>
          <w:numId w:val="1015"/>
        </w:numPr>
      </w:pPr>
      <w:r>
        <w:t xml:space="preserve">Ongoing review checkpoints</w:t>
      </w:r>
    </w:p>
    <w:p>
      <w:pPr>
        <w:pStyle w:val="Compact"/>
        <w:numPr>
          <w:ilvl w:val="0"/>
          <w:numId w:val="1014"/>
        </w:numPr>
      </w:pPr>
      <w:r>
        <w:t xml:space="preserve">Visibility into historical and related cases</w:t>
      </w:r>
    </w:p>
    <w:p>
      <w:pPr>
        <w:pStyle w:val="Compact"/>
        <w:numPr>
          <w:ilvl w:val="0"/>
          <w:numId w:val="1014"/>
        </w:numPr>
      </w:pPr>
      <w:r>
        <w:t xml:space="preserve">Case notes for visits, services, and interactions</w:t>
      </w:r>
    </w:p>
    <w:p>
      <w:pPr>
        <w:pStyle w:val="Compact"/>
        <w:numPr>
          <w:ilvl w:val="0"/>
          <w:numId w:val="1014"/>
        </w:numPr>
      </w:pPr>
      <w:r>
        <w:t xml:space="preserve">Communication tracking across intake and case contexts</w:t>
      </w:r>
    </w:p>
    <w:p>
      <w:pPr>
        <w:pStyle w:val="Compact"/>
        <w:numPr>
          <w:ilvl w:val="1"/>
          <w:numId w:val="1016"/>
        </w:numPr>
      </w:pPr>
      <w:r>
        <w:t xml:space="preserve">Document management: Person, Intake &amp; Case</w:t>
      </w:r>
    </w:p>
    <w:p>
      <w:pPr>
        <w:pStyle w:val="FirstParagraph"/>
      </w:pPr>
      <w:r>
        <w:rPr>
          <w:b/>
          <w:bCs/>
        </w:rPr>
        <w:t xml:space="preserve">Weekly Progress</w:t>
      </w:r>
    </w:p>
    <w:p>
      <w:pPr>
        <w:pStyle w:val="Compact"/>
        <w:numPr>
          <w:ilvl w:val="0"/>
          <w:numId w:val="1017"/>
        </w:numPr>
      </w:pPr>
      <w:r>
        <w:t xml:space="preserve">Case file permissions fully implemented and merged (PR #49) — role-based visibility and action controls now enforced across case file views.</w:t>
      </w:r>
    </w:p>
    <w:p>
      <w:pPr>
        <w:pStyle w:val="Compact"/>
        <w:numPr>
          <w:ilvl w:val="0"/>
          <w:numId w:val="1017"/>
        </w:numPr>
      </w:pPr>
      <w:r>
        <w:t xml:space="preserve">All My Relations (AMR) module implemented:</w:t>
      </w:r>
    </w:p>
    <w:p>
      <w:pPr>
        <w:pStyle w:val="Compact"/>
        <w:numPr>
          <w:ilvl w:val="1"/>
          <w:numId w:val="1018"/>
        </w:numPr>
      </w:pPr>
      <w:r>
        <w:t xml:space="preserve">Create/Update/View Plan modals, AMR Visit Log, and visitation continuum display</w:t>
      </w:r>
    </w:p>
    <w:p>
      <w:pPr>
        <w:pStyle w:val="Compact"/>
        <w:numPr>
          <w:ilvl w:val="1"/>
          <w:numId w:val="1018"/>
        </w:numPr>
      </w:pPr>
      <w:r>
        <w:t xml:space="preserve">F2F compliance automation: daily overdue escalation job, supervisor and director task alerts, AMR tasks auto-generated on first placements</w:t>
      </w:r>
    </w:p>
    <w:p>
      <w:pPr>
        <w:pStyle w:val="Compact"/>
        <w:numPr>
          <w:ilvl w:val="0"/>
          <w:numId w:val="1017"/>
        </w:numPr>
      </w:pPr>
      <w:r>
        <w:t xml:space="preserve">Case notes: improved sorting and display; new lines now render correctly.</w:t>
      </w:r>
    </w:p>
    <w:p>
      <w:pPr>
        <w:pStyle w:val="Compact"/>
        <w:numPr>
          <w:ilvl w:val="0"/>
          <w:numId w:val="1017"/>
        </w:numPr>
      </w:pPr>
      <w:r>
        <w:t xml:space="preserve">Document tab updated with document replacement logic.</w:t>
      </w:r>
    </w:p>
    <w:p>
      <w:r>
        <w:pict>
          <v:rect style="width:0;height:1.5pt" o:hralign="center" o:hrstd="t" o:hr="t"/>
        </w:pict>
      </w:r>
    </w:p>
    <w:bookmarkEnd w:id="24"/>
    <w:bookmarkStart w:id="25" w:name="i5-b-abuse-investigations"/>
    <w:p>
      <w:pPr>
        <w:pStyle w:val="Heading2"/>
      </w:pPr>
      <w:r>
        <w:t xml:space="preserve">I5 B – Abuse Investigations</w:t>
      </w:r>
    </w:p>
    <w:p>
      <w:pPr>
        <w:pStyle w:val="FirstParagraph"/>
      </w:pPr>
      <w:r>
        <w:rPr>
          <w:b/>
          <w:bCs/>
        </w:rPr>
        <w:t xml:space="preserve">Features</w:t>
      </w:r>
    </w:p>
    <w:p>
      <w:pPr>
        <w:pStyle w:val="Compact"/>
        <w:numPr>
          <w:ilvl w:val="0"/>
          <w:numId w:val="1019"/>
        </w:numPr>
      </w:pPr>
      <w:r>
        <w:t xml:space="preserve">Triggers and integration with Intake module</w:t>
      </w:r>
    </w:p>
    <w:p>
      <w:pPr>
        <w:pStyle w:val="Compact"/>
        <w:numPr>
          <w:ilvl w:val="0"/>
          <w:numId w:val="1019"/>
        </w:numPr>
      </w:pPr>
      <w:r>
        <w:t xml:space="preserve">Investigation workflow</w:t>
      </w:r>
    </w:p>
    <w:p>
      <w:pPr>
        <w:pStyle w:val="Compact"/>
        <w:numPr>
          <w:ilvl w:val="0"/>
          <w:numId w:val="1019"/>
        </w:numPr>
      </w:pPr>
      <w:r>
        <w:t xml:space="preserve">Investigation document management</w:t>
      </w:r>
    </w:p>
    <w:p>
      <w:pPr>
        <w:pStyle w:val="FirstParagraph"/>
      </w:pPr>
      <w:r>
        <w:rPr>
          <w:b/>
          <w:bCs/>
        </w:rPr>
        <w:t xml:space="preserve">Weekly Progress</w:t>
      </w:r>
    </w:p>
    <w:p>
      <w:pPr>
        <w:pStyle w:val="Compact"/>
        <w:numPr>
          <w:ilvl w:val="0"/>
          <w:numId w:val="1020"/>
        </w:numPr>
      </w:pPr>
      <w:r>
        <w:t xml:space="preserve">No additional external review this week; Abuse Investigations remains in solution design incorporating PCFS workflows.</w:t>
      </w:r>
    </w:p>
    <w:p>
      <w:r>
        <w:pict>
          <v:rect style="width:0;height:1.5pt" o:hralign="center" o:hrstd="t" o:hr="t"/>
        </w:pict>
      </w:r>
    </w:p>
    <w:bookmarkEnd w:id="25"/>
    <w:bookmarkStart w:id="26" w:name="i6---data-cleaning-and-migration"/>
    <w:p>
      <w:pPr>
        <w:pStyle w:val="Heading2"/>
      </w:pPr>
      <w:r>
        <w:t xml:space="preserve">I6 - Data Cleaning and Migration</w:t>
      </w:r>
    </w:p>
    <w:p>
      <w:pPr>
        <w:pStyle w:val="FirstParagraph"/>
      </w:pPr>
      <w:r>
        <w:rPr>
          <w:b/>
          <w:bCs/>
        </w:rPr>
        <w:t xml:space="preserve">Features</w:t>
      </w:r>
    </w:p>
    <w:p>
      <w:pPr>
        <w:pStyle w:val="Compact"/>
        <w:numPr>
          <w:ilvl w:val="0"/>
          <w:numId w:val="1021"/>
        </w:numPr>
      </w:pPr>
      <w:r>
        <w:t xml:space="preserve">Develop a data migration strategy from FAMCare into Waabanong</w:t>
      </w:r>
    </w:p>
    <w:p>
      <w:pPr>
        <w:pStyle w:val="Compact"/>
        <w:numPr>
          <w:ilvl w:val="0"/>
          <w:numId w:val="1021"/>
        </w:numPr>
      </w:pPr>
      <w:r>
        <w:t xml:space="preserve">Support PCFS as they perform data cleanup</w:t>
      </w:r>
    </w:p>
    <w:p>
      <w:pPr>
        <w:pStyle w:val="Compact"/>
        <w:numPr>
          <w:ilvl w:val="0"/>
          <w:numId w:val="1021"/>
        </w:numPr>
      </w:pPr>
      <w:r>
        <w:t xml:space="preserve">Execute trial data migrations in a sandbox environment</w:t>
      </w:r>
    </w:p>
    <w:p>
      <w:pPr>
        <w:pStyle w:val="Compact"/>
        <w:numPr>
          <w:ilvl w:val="0"/>
          <w:numId w:val="1021"/>
        </w:numPr>
      </w:pPr>
      <w:r>
        <w:t xml:space="preserve">Perform live data migration</w:t>
      </w:r>
    </w:p>
    <w:p>
      <w:pPr>
        <w:pStyle w:val="FirstParagraph"/>
      </w:pPr>
      <w:r>
        <w:rPr>
          <w:b/>
          <w:bCs/>
        </w:rPr>
        <w:t xml:space="preserve">Weekly Progress</w:t>
      </w:r>
    </w:p>
    <w:p>
      <w:pPr>
        <w:pStyle w:val="Compact"/>
        <w:numPr>
          <w:ilvl w:val="0"/>
          <w:numId w:val="1022"/>
        </w:numPr>
      </w:pPr>
      <w:r>
        <w:t xml:space="preserve">Data migration planning continues with Campfire, focusing on secure data access approach and privacy requirements for trial migrations.</w:t>
      </w:r>
    </w:p>
    <w:p>
      <w:r>
        <w:pict>
          <v:rect style="width:0;height:1.5pt" o:hralign="center" o:hrstd="t" o:hr="t"/>
        </w:pict>
      </w:r>
    </w:p>
    <w:bookmarkEnd w:id="26"/>
    <w:bookmarkStart w:id="27" w:name="i7---financial-tracking-exports-for-sage"/>
    <w:p>
      <w:pPr>
        <w:pStyle w:val="Heading2"/>
      </w:pPr>
      <w:r>
        <w:t xml:space="preserve">I7 - Financial Tracking &amp; Exports for Sage</w:t>
      </w:r>
    </w:p>
    <w:p>
      <w:pPr>
        <w:pStyle w:val="FirstParagraph"/>
      </w:pPr>
      <w:r>
        <w:rPr>
          <w:b/>
          <w:bCs/>
        </w:rPr>
        <w:t xml:space="preserve">Features (Potential scope may include)</w:t>
      </w:r>
    </w:p>
    <w:p>
      <w:pPr>
        <w:pStyle w:val="Compact"/>
        <w:numPr>
          <w:ilvl w:val="0"/>
          <w:numId w:val="1023"/>
        </w:numPr>
      </w:pPr>
      <w:r>
        <w:t xml:space="preserve">Intake-level emergency supports</w:t>
      </w:r>
    </w:p>
    <w:p>
      <w:pPr>
        <w:pStyle w:val="Compact"/>
        <w:numPr>
          <w:ilvl w:val="0"/>
          <w:numId w:val="1023"/>
        </w:numPr>
      </w:pPr>
      <w:r>
        <w:t xml:space="preserve">Case-level budgets</w:t>
      </w:r>
    </w:p>
    <w:p>
      <w:pPr>
        <w:pStyle w:val="Compact"/>
        <w:numPr>
          <w:ilvl w:val="0"/>
          <w:numId w:val="1023"/>
        </w:numPr>
      </w:pPr>
      <w:r>
        <w:t xml:space="preserve">Spending caps and approvals</w:t>
      </w:r>
    </w:p>
    <w:p>
      <w:pPr>
        <w:pStyle w:val="Compact"/>
        <w:numPr>
          <w:ilvl w:val="0"/>
          <w:numId w:val="1023"/>
        </w:numPr>
      </w:pPr>
      <w:r>
        <w:t xml:space="preserve">Export files to import into Sage 300</w:t>
      </w:r>
    </w:p>
    <w:p>
      <w:pPr>
        <w:pStyle w:val="FirstParagraph"/>
      </w:pPr>
      <w:r>
        <w:rPr>
          <w:b/>
          <w:bCs/>
        </w:rPr>
        <w:t xml:space="preserve">Weekly Progress</w:t>
      </w:r>
    </w:p>
    <w:p>
      <w:pPr>
        <w:pStyle w:val="Compact"/>
        <w:numPr>
          <w:ilvl w:val="0"/>
          <w:numId w:val="1024"/>
        </w:numPr>
      </w:pPr>
      <w:r>
        <w:t xml:space="preserve">Internal finance requirements session held June 19 (Marcus, Gabrielle, Rob):</w:t>
      </w:r>
    </w:p>
    <w:p>
      <w:pPr>
        <w:pStyle w:val="Compact"/>
        <w:numPr>
          <w:ilvl w:val="1"/>
          <w:numId w:val="1025"/>
        </w:numPr>
      </w:pPr>
      <w:r>
        <w:t xml:space="preserve">Design approach confirmed: expense entry triggered from intake or case record; system auto-determines funding stream and GL mapping from existing fields (address, intake type, case type)</w:t>
      </w:r>
    </w:p>
    <w:p>
      <w:pPr>
        <w:pStyle w:val="Compact"/>
        <w:numPr>
          <w:ilvl w:val="1"/>
          <w:numId w:val="1025"/>
        </w:numPr>
      </w:pPr>
      <w:r>
        <w:t xml:space="preserve">Finance tab will display summary totals and request list by family/case</w:t>
      </w:r>
    </w:p>
    <w:p>
      <w:pPr>
        <w:pStyle w:val="Compact"/>
        <w:numPr>
          <w:ilvl w:val="1"/>
          <w:numId w:val="1025"/>
        </w:numPr>
      </w:pPr>
      <w:r>
        <w:t xml:space="preserve">Kinship/placement payment tracking scoped out of this iteration</w:t>
      </w:r>
    </w:p>
    <w:p>
      <w:pPr>
        <w:pStyle w:val="Compact"/>
        <w:numPr>
          <w:ilvl w:val="1"/>
          <w:numId w:val="1025"/>
        </w:numPr>
      </w:pPr>
      <w:r>
        <w:t xml:space="preserve">Next step: Rob to review shared finance documentation; follow-up design session to be scheduled</w:t>
      </w:r>
    </w:p>
    <w:p>
      <w:r>
        <w:pict>
          <v:rect style="width:0;height:1.5pt" o:hralign="center" o:hrstd="t" o:hr="t"/>
        </w:pict>
      </w:r>
    </w:p>
    <w:bookmarkEnd w:id="27"/>
    <w:bookmarkStart w:id="28" w:name="i8---my-dashboard-reporting"/>
    <w:p>
      <w:pPr>
        <w:pStyle w:val="Heading2"/>
      </w:pPr>
      <w:r>
        <w:t xml:space="preserve">I8 - My Dashboard &amp; Reporting</w:t>
      </w:r>
    </w:p>
    <w:p>
      <w:pPr>
        <w:pStyle w:val="FirstParagraph"/>
      </w:pPr>
      <w:r>
        <w:rPr>
          <w:b/>
          <w:bCs/>
        </w:rPr>
        <w:t xml:space="preserve">Features (Potential scope may include)</w:t>
      </w:r>
    </w:p>
    <w:p>
      <w:pPr>
        <w:pStyle w:val="Compact"/>
        <w:numPr>
          <w:ilvl w:val="0"/>
          <w:numId w:val="1026"/>
        </w:numPr>
      </w:pPr>
      <w:r>
        <w:t xml:space="preserve">My Dashboard (simple, quick reference to key items)</w:t>
      </w:r>
    </w:p>
    <w:p>
      <w:pPr>
        <w:pStyle w:val="Compact"/>
        <w:numPr>
          <w:ilvl w:val="0"/>
          <w:numId w:val="1026"/>
        </w:numPr>
      </w:pPr>
      <w:r>
        <w:t xml:space="preserve">Tasks &amp; alerts</w:t>
      </w:r>
    </w:p>
    <w:p>
      <w:pPr>
        <w:pStyle w:val="Compact"/>
        <w:numPr>
          <w:ilvl w:val="0"/>
          <w:numId w:val="1026"/>
        </w:numPr>
      </w:pPr>
      <w:r>
        <w:t xml:space="preserve">Reporting (if required and not covered in other iterations)</w:t>
      </w:r>
    </w:p>
    <w:p>
      <w:pPr>
        <w:pStyle w:val="FirstParagraph"/>
      </w:pPr>
      <w:r>
        <w:rPr>
          <w:b/>
          <w:bCs/>
        </w:rPr>
        <w:t xml:space="preserve">Weekly Progress</w:t>
      </w:r>
    </w:p>
    <w:p>
      <w:pPr>
        <w:pStyle w:val="Compact"/>
        <w:numPr>
          <w:ilvl w:val="0"/>
          <w:numId w:val="1027"/>
        </w:numPr>
      </w:pPr>
      <w:r>
        <w:t xml:space="preserve">Future iteration per schedule (no dashboard/reporting work this week).</w:t>
      </w:r>
    </w:p>
    <w:bookmarkEnd w:id="28"/>
    <w:bookmarkEnd w:id="29"/>
    <w:sectPr w:rsidR="003203A0">
      <w:headerReference r:id="rId8" w:type="default"/>
      <w:footerReference r:id="rId9" w:type="default"/>
      <w:pgSz w:h="15840" w:w="12240"/>
      <w:pgMar w:bottom="1440" w:footer="708" w:gutter="0" w:header="708" w:left="1440" w:right="144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0000000000000000000"/>
    <w:charset w:val="00"/>
    <w:family w:val="roman"/>
    <w:notTrueType/>
    <w:pitch w:val="default"/>
  </w:font>
  <w:font w:name="Open Sans">
    <w:altName w:val="Segoe UI"/>
    <w:charset w:val="00"/>
    <w:family w:val="auto"/>
    <w:pitch w:val="variable"/>
    <w:sig w:usb0="E00002EF" w:usb1="4000205B" w:usb2="00000028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Aptos Display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50F284" w14:textId="77777777" w:rsidR="00C043EE" w:rsidRPr="00C043EE" w:rsidRDefault="00C043EE" w:rsidP="00C043EE">
    <w:pPr>
      <w:pStyle w:val="Footer"/>
      <w:tabs>
        <w:tab w:val="clear" w:pos="8640"/>
        <w:tab w:val="right" w:pos="10065"/>
      </w:tabs>
      <w:rPr>
        <w:sz w:val="20"/>
        <w:szCs w:val="20"/>
      </w:rPr>
    </w:pPr>
    <w:r w:rsidRPr="00862F5A">
      <w:rPr>
        <w:sz w:val="20"/>
        <w:szCs w:val="20"/>
      </w:rPr>
      <w:t>Confidential</w:t>
    </w:r>
    <w:r w:rsidRPr="00862F5A">
      <w:rPr>
        <w:sz w:val="20"/>
        <w:szCs w:val="20"/>
      </w:rPr>
      <w:tab/>
    </w:r>
    <w:r w:rsidRPr="00862F5A">
      <w:rPr>
        <w:sz w:val="20"/>
        <w:szCs w:val="20"/>
      </w:rPr>
      <w:tab/>
      <w:t xml:space="preserve">Page </w:t>
    </w:r>
    <w:r w:rsidRPr="00862F5A">
      <w:rPr>
        <w:sz w:val="20"/>
        <w:szCs w:val="20"/>
      </w:rPr>
      <w:fldChar w:fldCharType="begin"/>
    </w:r>
    <w:r w:rsidRPr="00862F5A">
      <w:rPr>
        <w:sz w:val="20"/>
        <w:szCs w:val="20"/>
      </w:rPr>
      <w:instrText xml:space="preserve"> PAGE   \* MERGEFORMAT </w:instrText>
    </w:r>
    <w:r w:rsidRPr="00862F5A">
      <w:rPr>
        <w:sz w:val="20"/>
        <w:szCs w:val="20"/>
      </w:rPr>
      <w:fldChar w:fldCharType="separate"/>
    </w:r>
    <w:r>
      <w:rPr>
        <w:sz w:val="20"/>
        <w:szCs w:val="20"/>
      </w:rPr>
      <w:t>3</w:t>
    </w:r>
    <w:r w:rsidRPr="00862F5A">
      <w:rPr>
        <w:noProof/>
        <w:sz w:val="20"/>
        <w:szCs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50F283" w14:textId="201FC382" w:rsidR="00C043EE" w:rsidRDefault="00C043EE">
    <w:pPr>
      <w:pStyle w:val="Header"/>
    </w:pPr>
    <w:r w:rsidRPr="000A7C91">
      <w:rPr>
        <w:noProof/>
        <w:lang w:val="en-CA"/>
      </w:rPr>
      <w:drawing>
        <wp:anchor distT="0" distB="0" distL="114300" distR="114300" simplePos="0" relativeHeight="251658241" behindDoc="1" locked="0" layoutInCell="1" allowOverlap="1" wp14:anchorId="3550F285" wp14:editId="3550F286">
          <wp:simplePos x="0" y="0"/>
          <wp:positionH relativeFrom="margin">
            <wp:posOffset>4895850</wp:posOffset>
          </wp:positionH>
          <wp:positionV relativeFrom="paragraph">
            <wp:posOffset>-115014</wp:posOffset>
          </wp:positionV>
          <wp:extent cx="1428115" cy="357028"/>
          <wp:effectExtent l="0" t="0" r="635" b="5080"/>
          <wp:wrapNone/>
          <wp:docPr id="17" name="Picture 55966380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Picture 55966380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28115" cy="3570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A7C91">
      <w:rPr>
        <w:noProof/>
        <w:lang w:val="en-C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3550F287" wp14:editId="3550F288">
              <wp:simplePos x="0" y="0"/>
              <wp:positionH relativeFrom="margin">
                <wp:posOffset>-933450</wp:posOffset>
              </wp:positionH>
              <wp:positionV relativeFrom="paragraph">
                <wp:posOffset>-481648</wp:posOffset>
              </wp:positionV>
              <wp:extent cx="7971155" cy="156845"/>
              <wp:effectExtent l="0" t="0" r="0" b="0"/>
              <wp:wrapNone/>
              <wp:docPr id="854897863" name="Rectangl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971155" cy="156845"/>
                      </a:xfrm>
                      <a:prstGeom prst="rect">
                        <a:avLst/>
                      </a:prstGeom>
                      <a:solidFill>
                        <a:srgbClr val="AEBAB4"/>
                      </a:solidFill>
                      <a:ln w="25400" cap="flat" cmpd="sng" algn="ctr">
                        <a:noFill/>
                        <a:prstDash val="solid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rto="http://schemas.microsoft.com/office/word/2006/arto">
          <w:pict>
            <v:rect w14:anchorId="515F012B" id="Rectangle 5" o:spid="_x0000_s1026" style="position:absolute;margin-left:-73.5pt;margin-top:-37.95pt;width:627.65pt;height:12.35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1fy2UQIAAKQEAAAOAAAAZHJzL2Uyb0RvYy54bWysVE1v2zAMvQ/YfxB0Xx0HST+MOkWarMOA&#10;oC3QFj0rshQbk0WNUuJ0v36U7KRBt9Owi0CKNPn0+Ojrm31r2E6hb8CWPD8bcaashKqxm5K/PN99&#10;ueTMB2ErYcCqkr8pz29mnz9dd65QY6jBVAoZFbG+6FzJ6xBckWVe1qoV/gycshTUgK0I5OImq1B0&#10;VL012Xg0Os86wMohSOU93S77IJ+l+lorGR609iowU3LCFtKJ6VzHM5tdi2KDwtWNHGCIf0DRisZS&#10;02OppQiCbbH5o1TbSAQPOpxJaDPQupEqvYFek48+vOapFk6ltxA53h1p8v+vrLzfPblHjNC9W4H8&#10;4YmRrHO+OEai44ecvcY25hJwtk8svh1ZVPvAJF1eXF3k+XTKmaRYPj2/nEwjzZkoDl879OGbgpZF&#10;o+RIU0rkid3Khz71kJKAgWmqu8aY5OBmvTDIdoImOv96O7+dDNX9aZqxrCv5eDoZ0dSlIGVpIwKZ&#10;ratK7u2GM2E2JFkZMPW2EDskOcTeS+HrvkcqO7QwNkJQSVcD1Hd2orWG6u0RGUIvNO/kXUPVVsKH&#10;R4GkLEJD2xIe6NAGCCIMFmc14K+/3cd8GjhFOetIqQT/51ag4sx8tySFq3wyidJOzmR6MSYHTyPr&#10;04jdtgsg6nLaSyeTGfODOZgaoX2lpZrHrhQSVlLvnqjBWYR+g2gtpZrPUxrJ2Ymwsk9OxuKRp8jj&#10;8/5VoBsGHUgi93BQtSg+zLvPjV9amG8D6CaJ4Z3XQZm0CklOw9rGXTv1U9b7z2X2GwAA//8DAFBL&#10;AwQUAAYACAAAACEAaKjveeEAAAANAQAADwAAAGRycy9kb3ducmV2LnhtbEyPQU/DMAyF70j8h8hI&#10;3La0g7KtNJ0QEhPaaQy0c9Z4bbXEKU3WlX+Pd4Kb7ff0/L1iNTorBuxD60lBOk1AIFXetFQr+Pp8&#10;myxAhKjJaOsJFfxggFV5e1Po3PgLfeCwi7XgEAq5VtDE2OVShqpBp8PUd0isHX3vdOS1r6Xp9YXD&#10;nZWzJHmSTrfEHxrd4WuD1Wl3dgr0sbWbYb/5ft/Wxvr6tM4wrpW6vxtfnkFEHOOfGa74jA4lMx38&#10;mUwQVsEkfZxzmcjTPFuCuFrSZPEA4sCnLJ2BLAv5v0X5CwAA//8DAFBLAQItABQABgAIAAAAIQC2&#10;gziS/gAAAOEBAAATAAAAAAAAAAAAAAAAAAAAAABbQ29udGVudF9UeXBlc10ueG1sUEsBAi0AFAAG&#10;AAgAAAAhADj9If/WAAAAlAEAAAsAAAAAAAAAAAAAAAAALwEAAF9yZWxzLy5yZWxzUEsBAi0AFAAG&#10;AAgAAAAhADbV/LZRAgAApAQAAA4AAAAAAAAAAAAAAAAALgIAAGRycy9lMm9Eb2MueG1sUEsBAi0A&#10;FAAGAAgAAAAhAGio73nhAAAADQEAAA8AAAAAAAAAAAAAAAAAqwQAAGRycy9kb3ducmV2LnhtbFBL&#10;BQYAAAAABAAEAPMAAAC5BQAAAAA=&#10;" fillcolor="#aebab4" stroked="f" strokeweight="2pt">
              <w10:wrap anchorx="margin"/>
            </v:rect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547A6272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235A8B3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4A35F10"/>
    <w:multiLevelType w:val="multilevel"/>
    <w:tmpl w:val="4C98BBC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">
    <w:nsid w:val="196D1FB6"/>
    <w:multiLevelType w:val="multilevel"/>
    <w:tmpl w:val="D46CE650"/>
    <w:lvl w:ilvl="0">
      <w:start w:val="1"/>
      <w:numFmt w:val="decimal"/>
      <w:pStyle w:val="Heading1"/>
      <w:lvlText w:val="%1"/>
      <w:lvlJc w:val="left"/>
      <w:pPr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ind w:hanging="1584" w:left="1584"/>
      </w:pPr>
    </w:lvl>
  </w:abstractNum>
  <w:abstractNum w15:restartNumberingAfterBreak="0" w:abstractNumId="4">
    <w:nsid w:val="1D4640A9"/>
    <w:multiLevelType w:val="hybridMultilevel"/>
    <w:tmpl w:val="71EE2A0C"/>
    <w:lvl w:ilvl="0" w:tplc="90C2DAFC">
      <w:start w:val="1"/>
      <w:numFmt w:val="bullet"/>
      <w:pStyle w:val="list1"/>
      <w:lvlText w:val=""/>
      <w:lvlJc w:val="left"/>
      <w:pPr>
        <w:ind w:hanging="360" w:left="720"/>
      </w:pPr>
      <w:rPr>
        <w:rFonts w:ascii="Wingdings" w:cs="Wingdings" w:hAnsi="Wingdings" w:hint="default"/>
        <w:color w:val="8B9C93"/>
      </w:rPr>
    </w:lvl>
    <w:lvl w:ilvl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21B6000C"/>
    <w:multiLevelType w:val="multilevel"/>
    <w:tmpl w:val="EA1822A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6">
    <w:nsid w:val="386537C0"/>
    <w:multiLevelType w:val="multilevel"/>
    <w:tmpl w:val="15B2957A"/>
    <w:lvl w:ilvl="0">
      <w:start w:val="19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7">
    <w:nsid w:val="58462C61"/>
    <w:multiLevelType w:val="multilevel"/>
    <w:tmpl w:val="A05A04A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8">
    <w:nsid w:val="5D5C55B5"/>
    <w:multiLevelType w:val="hybridMultilevel"/>
    <w:tmpl w:val="A14EAA82"/>
    <w:lvl w:ilvl="0" w:tplc="470A9834">
      <w:start w:val="1"/>
      <w:numFmt w:val="bullet"/>
      <w:pStyle w:val="Bullets"/>
      <w:lvlText w:val=""/>
      <w:lvlJc w:val="left"/>
      <w:pPr>
        <w:ind w:hanging="360" w:left="1080"/>
      </w:pPr>
      <w:rPr>
        <w:rFonts w:ascii="Wingdings" w:cs="Wingdings" w:hAnsi="Wingdings" w:hint="default"/>
        <w:color w:val="8B9C93"/>
      </w:rPr>
    </w:lvl>
    <w:lvl w:ilvl="1" w:tplc="0409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plc="04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9">
    <w:nsid w:val="5E1E0176"/>
    <w:multiLevelType w:val="multilevel"/>
    <w:tmpl w:val="82C412C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0">
    <w:nsid w:val="624B1AFC"/>
    <w:multiLevelType w:val="multilevel"/>
    <w:tmpl w:val="D180B60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1">
    <w:nsid w:val="7639296F"/>
    <w:multiLevelType w:val="hybridMultilevel"/>
    <w:tmpl w:val="7B9ED200"/>
    <w:lvl w:ilvl="0" w:tplc="0AC0AF6A">
      <w:start w:val="1"/>
      <w:numFmt w:val="bullet"/>
      <w:pStyle w:val="list2"/>
      <w:lvlText w:val=""/>
      <w:lvlJc w:val="left"/>
      <w:pPr>
        <w:ind w:hanging="360" w:left="720"/>
      </w:pPr>
      <w:rPr>
        <w:rFonts w:ascii="Wingdings" w:hAnsi="Wingdings" w:hint="default"/>
        <w:color w:val="8B9C93"/>
        <w:sz w:val="22"/>
        <w:szCs w:val="22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0968611" w:numId="1">
    <w:abstractNumId w:val="3"/>
  </w:num>
  <w:num w16cid:durableId="553346368" w:numId="2">
    <w:abstractNumId w:val="3"/>
  </w:num>
  <w:num w16cid:durableId="1860193300" w:numId="3">
    <w:abstractNumId w:val="3"/>
  </w:num>
  <w:num w16cid:durableId="530654322" w:numId="4">
    <w:abstractNumId w:val="3"/>
  </w:num>
  <w:num w16cid:durableId="91249389" w:numId="5">
    <w:abstractNumId w:val="3"/>
  </w:num>
  <w:num w16cid:durableId="353115934" w:numId="6">
    <w:abstractNumId w:val="3"/>
  </w:num>
  <w:num w16cid:durableId="1918636774" w:numId="7">
    <w:abstractNumId w:val="3"/>
  </w:num>
  <w:num w16cid:durableId="1589654140" w:numId="8">
    <w:abstractNumId w:val="3"/>
  </w:num>
  <w:num w16cid:durableId="1344556015" w:numId="9">
    <w:abstractNumId w:val="3"/>
  </w:num>
  <w:num w16cid:durableId="956136198" w:numId="10">
    <w:abstractNumId w:val="4"/>
  </w:num>
  <w:num w16cid:durableId="844396404" w:numId="11">
    <w:abstractNumId w:val="11"/>
  </w:num>
  <w:num w16cid:durableId="17052457" w:numId="12">
    <w:abstractNumId w:val="8"/>
  </w:num>
  <w:num w16cid:durableId="317267289" w:numId="13">
    <w:abstractNumId w:val="4"/>
  </w:num>
  <w:num w16cid:durableId="829752184" w:numId="14">
    <w:abstractNumId w:val="11"/>
  </w:num>
  <w:num w16cid:durableId="1130515113" w:numId="15">
    <w:abstractNumId w:val="3"/>
  </w:num>
  <w:num w16cid:durableId="1174108528" w:numId="16">
    <w:abstractNumId w:val="0"/>
  </w:num>
  <w:num w16cid:durableId="412357735" w:numId="17">
    <w:abstractNumId w:val="1"/>
  </w:num>
  <w:num w16cid:durableId="1627739833" w:numId="18">
    <w:abstractNumId w:val="1"/>
  </w:num>
  <w:num w16cid:durableId="279608366" w:numId="19">
    <w:abstractNumId w:val="1"/>
  </w:num>
  <w:num w16cid:durableId="1561597757" w:numId="20">
    <w:abstractNumId w:val="1"/>
  </w:num>
  <w:num w16cid:durableId="1306933679" w:numId="21">
    <w:abstractNumId w:val="1"/>
  </w:num>
  <w:num w16cid:durableId="1395857013" w:numId="22">
    <w:abstractNumId w:val="1"/>
  </w:num>
  <w:num w16cid:durableId="75521157" w:numId="23">
    <w:abstractNumId w:val="1"/>
  </w:num>
  <w:num w16cid:durableId="374281556" w:numId="24">
    <w:abstractNumId w:val="1"/>
  </w:num>
  <w:num w16cid:durableId="1411853195" w:numId="25">
    <w:abstractNumId w:val="7"/>
  </w:num>
  <w:num w16cid:durableId="513500866" w:numId="26">
    <w:abstractNumId w:val="9"/>
  </w:num>
  <w:num w16cid:durableId="424419527" w:numId="27">
    <w:abstractNumId w:val="10"/>
  </w:num>
  <w:num w16cid:durableId="772627780" w:numId="28">
    <w:abstractNumId w:val="5"/>
  </w:num>
  <w:num w16cid:durableId="2110661731" w:numId="29">
    <w:abstractNumId w:val="6"/>
  </w:num>
  <w:num w16cid:durableId="1961454009" w:numId="30">
    <w:abstractNumId w:val="4"/>
  </w:num>
  <w:num w16cid:durableId="198009757" w:numId="31">
    <w:abstractNumId w:val="4"/>
  </w:num>
  <w:num w16cid:durableId="1233812541" w:numId="32">
    <w:abstractNumId w:val="4"/>
  </w:num>
  <w:num w16cid:durableId="435104262" w:numId="33">
    <w:abstractNumId w:val="4"/>
  </w:num>
  <w:num w16cid:durableId="371227042" w:numId="34">
    <w:abstractNumId w:val="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6C87"/>
    <w:rsid w:val="00045889"/>
    <w:rsid w:val="00053333"/>
    <w:rsid w:val="00063465"/>
    <w:rsid w:val="0006589B"/>
    <w:rsid w:val="00073F88"/>
    <w:rsid w:val="00080A51"/>
    <w:rsid w:val="000942B0"/>
    <w:rsid w:val="000975B2"/>
    <w:rsid w:val="000A6C87"/>
    <w:rsid w:val="000D1C2C"/>
    <w:rsid w:val="000D2839"/>
    <w:rsid w:val="000D51B2"/>
    <w:rsid w:val="000E0CED"/>
    <w:rsid w:val="000F6AD2"/>
    <w:rsid w:val="00122BF0"/>
    <w:rsid w:val="00125570"/>
    <w:rsid w:val="00144B1A"/>
    <w:rsid w:val="001543FE"/>
    <w:rsid w:val="00154C3C"/>
    <w:rsid w:val="00173847"/>
    <w:rsid w:val="001B408E"/>
    <w:rsid w:val="001C675B"/>
    <w:rsid w:val="001D20F7"/>
    <w:rsid w:val="001E11E6"/>
    <w:rsid w:val="001F0938"/>
    <w:rsid w:val="001F2F84"/>
    <w:rsid w:val="002046AD"/>
    <w:rsid w:val="00206701"/>
    <w:rsid w:val="00206B2C"/>
    <w:rsid w:val="00226BFF"/>
    <w:rsid w:val="0024580B"/>
    <w:rsid w:val="00245BC9"/>
    <w:rsid w:val="002505FF"/>
    <w:rsid w:val="0026510F"/>
    <w:rsid w:val="0026639F"/>
    <w:rsid w:val="0028517A"/>
    <w:rsid w:val="0029031C"/>
    <w:rsid w:val="0029289B"/>
    <w:rsid w:val="002A359E"/>
    <w:rsid w:val="002C12BA"/>
    <w:rsid w:val="002D278F"/>
    <w:rsid w:val="002D4B58"/>
    <w:rsid w:val="002D6E30"/>
    <w:rsid w:val="002E4096"/>
    <w:rsid w:val="002F5122"/>
    <w:rsid w:val="002F71CB"/>
    <w:rsid w:val="002F7A2B"/>
    <w:rsid w:val="0030549F"/>
    <w:rsid w:val="003110BE"/>
    <w:rsid w:val="00312C9F"/>
    <w:rsid w:val="00313AE2"/>
    <w:rsid w:val="003203A0"/>
    <w:rsid w:val="00332F22"/>
    <w:rsid w:val="00337648"/>
    <w:rsid w:val="00341056"/>
    <w:rsid w:val="0034469F"/>
    <w:rsid w:val="0034610E"/>
    <w:rsid w:val="0038114C"/>
    <w:rsid w:val="00391EA0"/>
    <w:rsid w:val="003B2641"/>
    <w:rsid w:val="003C4E2E"/>
    <w:rsid w:val="003C7BDA"/>
    <w:rsid w:val="003D6BC7"/>
    <w:rsid w:val="003F5F9C"/>
    <w:rsid w:val="00403F1E"/>
    <w:rsid w:val="00420038"/>
    <w:rsid w:val="00425014"/>
    <w:rsid w:val="00474031"/>
    <w:rsid w:val="00480704"/>
    <w:rsid w:val="0048410D"/>
    <w:rsid w:val="004B1E93"/>
    <w:rsid w:val="004B27A0"/>
    <w:rsid w:val="004B524C"/>
    <w:rsid w:val="004E72E8"/>
    <w:rsid w:val="005218F9"/>
    <w:rsid w:val="00522019"/>
    <w:rsid w:val="005250F3"/>
    <w:rsid w:val="00534773"/>
    <w:rsid w:val="00565C3F"/>
    <w:rsid w:val="005743D6"/>
    <w:rsid w:val="005A1D6F"/>
    <w:rsid w:val="005D2558"/>
    <w:rsid w:val="005D314D"/>
    <w:rsid w:val="005D4EDD"/>
    <w:rsid w:val="005F1AA7"/>
    <w:rsid w:val="006263E8"/>
    <w:rsid w:val="006321D2"/>
    <w:rsid w:val="00633995"/>
    <w:rsid w:val="00643BB4"/>
    <w:rsid w:val="00645A31"/>
    <w:rsid w:val="00652E1E"/>
    <w:rsid w:val="00660644"/>
    <w:rsid w:val="00663817"/>
    <w:rsid w:val="00670A7A"/>
    <w:rsid w:val="006A44EC"/>
    <w:rsid w:val="006A615F"/>
    <w:rsid w:val="006B0FD3"/>
    <w:rsid w:val="006C3781"/>
    <w:rsid w:val="006C643C"/>
    <w:rsid w:val="006D1337"/>
    <w:rsid w:val="0070015E"/>
    <w:rsid w:val="00706C9E"/>
    <w:rsid w:val="00714A7D"/>
    <w:rsid w:val="00730C1F"/>
    <w:rsid w:val="00732D58"/>
    <w:rsid w:val="00742176"/>
    <w:rsid w:val="00742D97"/>
    <w:rsid w:val="00744ADB"/>
    <w:rsid w:val="0074516A"/>
    <w:rsid w:val="00747D9E"/>
    <w:rsid w:val="00750C7A"/>
    <w:rsid w:val="00756B85"/>
    <w:rsid w:val="00756C8B"/>
    <w:rsid w:val="0077470C"/>
    <w:rsid w:val="007779A7"/>
    <w:rsid w:val="00790F5A"/>
    <w:rsid w:val="00793456"/>
    <w:rsid w:val="007A02A7"/>
    <w:rsid w:val="007B757D"/>
    <w:rsid w:val="007C56DD"/>
    <w:rsid w:val="007D7E72"/>
    <w:rsid w:val="007E131F"/>
    <w:rsid w:val="00801EDE"/>
    <w:rsid w:val="00807AD2"/>
    <w:rsid w:val="008121BE"/>
    <w:rsid w:val="00822175"/>
    <w:rsid w:val="0082251A"/>
    <w:rsid w:val="008328FB"/>
    <w:rsid w:val="00840369"/>
    <w:rsid w:val="00852842"/>
    <w:rsid w:val="00854CAB"/>
    <w:rsid w:val="00856C0B"/>
    <w:rsid w:val="00860DA8"/>
    <w:rsid w:val="00891AA6"/>
    <w:rsid w:val="00894FB8"/>
    <w:rsid w:val="00897705"/>
    <w:rsid w:val="008A12EC"/>
    <w:rsid w:val="008B2D11"/>
    <w:rsid w:val="008D2E0C"/>
    <w:rsid w:val="008D6270"/>
    <w:rsid w:val="008F1715"/>
    <w:rsid w:val="0091646D"/>
    <w:rsid w:val="0092340E"/>
    <w:rsid w:val="0092470D"/>
    <w:rsid w:val="00926B3A"/>
    <w:rsid w:val="0093014D"/>
    <w:rsid w:val="00933169"/>
    <w:rsid w:val="00942570"/>
    <w:rsid w:val="00954965"/>
    <w:rsid w:val="009575D0"/>
    <w:rsid w:val="00962164"/>
    <w:rsid w:val="00963980"/>
    <w:rsid w:val="009935A1"/>
    <w:rsid w:val="009B6C9C"/>
    <w:rsid w:val="009C0996"/>
    <w:rsid w:val="009C5122"/>
    <w:rsid w:val="009D5D72"/>
    <w:rsid w:val="009E11B3"/>
    <w:rsid w:val="009F6100"/>
    <w:rsid w:val="00A01107"/>
    <w:rsid w:val="00A07E98"/>
    <w:rsid w:val="00A151A3"/>
    <w:rsid w:val="00A16889"/>
    <w:rsid w:val="00A23F36"/>
    <w:rsid w:val="00A24D92"/>
    <w:rsid w:val="00A301AD"/>
    <w:rsid w:val="00A53769"/>
    <w:rsid w:val="00A7019C"/>
    <w:rsid w:val="00A730A7"/>
    <w:rsid w:val="00A800F6"/>
    <w:rsid w:val="00A85314"/>
    <w:rsid w:val="00A924A8"/>
    <w:rsid w:val="00AB2718"/>
    <w:rsid w:val="00AD01AF"/>
    <w:rsid w:val="00B17FEE"/>
    <w:rsid w:val="00B203E1"/>
    <w:rsid w:val="00B20575"/>
    <w:rsid w:val="00B25380"/>
    <w:rsid w:val="00B321AA"/>
    <w:rsid w:val="00B370BC"/>
    <w:rsid w:val="00B37A14"/>
    <w:rsid w:val="00B57A70"/>
    <w:rsid w:val="00B60F75"/>
    <w:rsid w:val="00B6413E"/>
    <w:rsid w:val="00B66753"/>
    <w:rsid w:val="00B74513"/>
    <w:rsid w:val="00B76E13"/>
    <w:rsid w:val="00B77BEA"/>
    <w:rsid w:val="00B927EF"/>
    <w:rsid w:val="00B92DD6"/>
    <w:rsid w:val="00BA21F3"/>
    <w:rsid w:val="00BA2EE7"/>
    <w:rsid w:val="00BA3782"/>
    <w:rsid w:val="00BA51C7"/>
    <w:rsid w:val="00BB699E"/>
    <w:rsid w:val="00BB6DEB"/>
    <w:rsid w:val="00BD07E2"/>
    <w:rsid w:val="00BE580B"/>
    <w:rsid w:val="00C043EE"/>
    <w:rsid w:val="00C04807"/>
    <w:rsid w:val="00C132FB"/>
    <w:rsid w:val="00C13FC0"/>
    <w:rsid w:val="00C23C70"/>
    <w:rsid w:val="00C46588"/>
    <w:rsid w:val="00C57856"/>
    <w:rsid w:val="00C700EE"/>
    <w:rsid w:val="00C75252"/>
    <w:rsid w:val="00C76481"/>
    <w:rsid w:val="00C773D2"/>
    <w:rsid w:val="00C97C9A"/>
    <w:rsid w:val="00CA6547"/>
    <w:rsid w:val="00CB4E19"/>
    <w:rsid w:val="00CB7B9B"/>
    <w:rsid w:val="00CB7D10"/>
    <w:rsid w:val="00CD42B6"/>
    <w:rsid w:val="00CE6397"/>
    <w:rsid w:val="00D01DB2"/>
    <w:rsid w:val="00D02740"/>
    <w:rsid w:val="00D155B3"/>
    <w:rsid w:val="00D17E95"/>
    <w:rsid w:val="00D24B32"/>
    <w:rsid w:val="00D32FD3"/>
    <w:rsid w:val="00D340A4"/>
    <w:rsid w:val="00D34B29"/>
    <w:rsid w:val="00D40F3F"/>
    <w:rsid w:val="00D51327"/>
    <w:rsid w:val="00DA1D89"/>
    <w:rsid w:val="00DB39FC"/>
    <w:rsid w:val="00DB6427"/>
    <w:rsid w:val="00DC0C5E"/>
    <w:rsid w:val="00DC3FA4"/>
    <w:rsid w:val="00DC77BA"/>
    <w:rsid w:val="00DD126E"/>
    <w:rsid w:val="00DE5DBC"/>
    <w:rsid w:val="00E01937"/>
    <w:rsid w:val="00E04BD0"/>
    <w:rsid w:val="00E11F6D"/>
    <w:rsid w:val="00E139B2"/>
    <w:rsid w:val="00E21F8B"/>
    <w:rsid w:val="00E25A9B"/>
    <w:rsid w:val="00E25BD8"/>
    <w:rsid w:val="00E262E6"/>
    <w:rsid w:val="00E31C76"/>
    <w:rsid w:val="00E40DD3"/>
    <w:rsid w:val="00E40E8A"/>
    <w:rsid w:val="00E41467"/>
    <w:rsid w:val="00E501EC"/>
    <w:rsid w:val="00E5353C"/>
    <w:rsid w:val="00E557CA"/>
    <w:rsid w:val="00E7047B"/>
    <w:rsid w:val="00E823E5"/>
    <w:rsid w:val="00E87CBD"/>
    <w:rsid w:val="00EA5D4C"/>
    <w:rsid w:val="00ED434D"/>
    <w:rsid w:val="00EF1CD0"/>
    <w:rsid w:val="00EF7B1B"/>
    <w:rsid w:val="00F125ED"/>
    <w:rsid w:val="00F13890"/>
    <w:rsid w:val="00F21C9B"/>
    <w:rsid w:val="00F222DA"/>
    <w:rsid w:val="00F27F84"/>
    <w:rsid w:val="00F33680"/>
    <w:rsid w:val="00F34065"/>
    <w:rsid w:val="00F34A11"/>
    <w:rsid w:val="00F4797D"/>
    <w:rsid w:val="00F50CC4"/>
    <w:rsid w:val="00F5223D"/>
    <w:rsid w:val="00F81344"/>
    <w:rsid w:val="00F83219"/>
    <w:rsid w:val="00F837C6"/>
    <w:rsid w:val="00F936D8"/>
    <w:rsid w:val="00F95D91"/>
    <w:rsid w:val="00FA221E"/>
    <w:rsid w:val="00FA2CA0"/>
    <w:rsid w:val="00FA78F5"/>
    <w:rsid w:val="00FB5A9A"/>
    <w:rsid w:val="00FC2B7E"/>
    <w:rsid w:val="00FE4715"/>
    <w:rsid w:val="00FE646D"/>
    <w:rsid w:val="00FF52D7"/>
  </w:rsids>
  <w:themeFontLang w:val="en-CA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="Open Sans" w:hAnsiTheme="minorHAnsi"/>
        <w:kern w:val="2"/>
        <w:sz w:val="24"/>
        <w:szCs w:val="24"/>
        <w:lang w:bidi="ar-SA" w:eastAsia="en-US" w:val="en-CA"/>
        <w14:ligatures w14:val="standardContextual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0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 w:uiPriority="0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420038"/>
    <w:pPr>
      <w:spacing w:after="80" w:before="80" w:line="276" w:lineRule="auto"/>
    </w:pPr>
    <w:rPr>
      <w:rFonts w:ascii="Open Sans" w:cs="Times New Roman" w:hAnsi="Open Sans"/>
      <w:color w:val="404040"/>
      <w:kern w:val="0"/>
      <w:lang w:val="en-US"/>
      <w14:ligatures w14:val="none"/>
    </w:rPr>
  </w:style>
  <w:style w:styleId="Heading1" w:type="paragraph">
    <w:name w:val="heading 1"/>
    <w:basedOn w:val="Normal"/>
    <w:next w:val="Normal"/>
    <w:link w:val="Heading1Char"/>
    <w:uiPriority w:val="9"/>
    <w:qFormat/>
    <w:rsid w:val="00420038"/>
    <w:pPr>
      <w:numPr>
        <w:numId w:val="15"/>
      </w:numPr>
      <w:pBdr>
        <w:bottom w:color="C3CBC7" w:space="1" w:sz="8" w:val="dotted"/>
      </w:pBdr>
      <w:spacing w:after="0" w:before="480"/>
      <w:contextualSpacing/>
      <w:outlineLvl w:val="0"/>
    </w:pPr>
    <w:rPr>
      <w:rFonts w:eastAsia="Times New Roman"/>
      <w:b/>
      <w:bCs/>
      <w:color w:val="000000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420038"/>
    <w:pPr>
      <w:keepNext/>
      <w:numPr>
        <w:ilvl w:val="1"/>
        <w:numId w:val="15"/>
      </w:numPr>
      <w:spacing w:after="0"/>
      <w:outlineLvl w:val="1"/>
    </w:pPr>
    <w:rPr>
      <w:b/>
      <w:bCs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420038"/>
    <w:pPr>
      <w:numPr>
        <w:ilvl w:val="2"/>
        <w:numId w:val="15"/>
      </w:numPr>
      <w:spacing w:after="0" w:before="200" w:line="271" w:lineRule="auto"/>
      <w:outlineLvl w:val="2"/>
    </w:pPr>
    <w:rPr>
      <w:rFonts w:eastAsia="Times New Roman"/>
      <w:b/>
      <w:bCs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420038"/>
    <w:pPr>
      <w:numPr>
        <w:ilvl w:val="3"/>
        <w:numId w:val="15"/>
      </w:numPr>
      <w:spacing w:after="0" w:before="200"/>
      <w:outlineLvl w:val="3"/>
    </w:pPr>
    <w:rPr>
      <w:rFonts w:eastAsia="Times New Roman"/>
      <w:b/>
      <w:bCs/>
      <w:i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420038"/>
    <w:pPr>
      <w:numPr>
        <w:ilvl w:val="4"/>
        <w:numId w:val="15"/>
      </w:numPr>
      <w:spacing w:after="0" w:before="200"/>
      <w:outlineLvl w:val="4"/>
    </w:pPr>
    <w:rPr>
      <w:rFonts w:eastAsia="Times New Roman"/>
      <w:b/>
      <w:bCs/>
      <w:color w:val="7F7F7F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420038"/>
    <w:pPr>
      <w:numPr>
        <w:ilvl w:val="5"/>
        <w:numId w:val="15"/>
      </w:numPr>
      <w:spacing w:after="0" w:line="271" w:lineRule="auto"/>
      <w:outlineLvl w:val="5"/>
    </w:pPr>
    <w:rPr>
      <w:rFonts w:eastAsia="Times New Roman"/>
      <w:b/>
      <w:bCs/>
      <w:i/>
      <w:iCs/>
      <w:color w:val="7F7F7F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420038"/>
    <w:pPr>
      <w:numPr>
        <w:ilvl w:val="6"/>
        <w:numId w:val="15"/>
      </w:numPr>
      <w:spacing w:after="0"/>
      <w:outlineLvl w:val="6"/>
    </w:pPr>
    <w:rPr>
      <w:rFonts w:eastAsia="Times New Roman"/>
      <w:i/>
      <w:iCs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420038"/>
    <w:pPr>
      <w:numPr>
        <w:ilvl w:val="7"/>
        <w:numId w:val="15"/>
      </w:numPr>
      <w:spacing w:after="0"/>
      <w:outlineLvl w:val="7"/>
    </w:pPr>
    <w:rPr>
      <w:rFonts w:eastAsia="Times New Roman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420038"/>
    <w:pPr>
      <w:numPr>
        <w:ilvl w:val="8"/>
        <w:numId w:val="15"/>
      </w:numPr>
      <w:spacing w:after="0"/>
      <w:outlineLvl w:val="8"/>
    </w:pPr>
    <w:rPr>
      <w:rFonts w:eastAsia="Times New Roman"/>
      <w:i/>
      <w:iCs/>
      <w:spacing w:val="5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link w:val="Heading1"/>
    <w:uiPriority w:val="9"/>
    <w:rsid w:val="00420038"/>
    <w:rPr>
      <w:rFonts w:ascii="Open Sans" w:cs="Times New Roman" w:eastAsia="Times New Roman" w:hAnsi="Open Sans"/>
      <w:b/>
      <w:bCs/>
      <w:color w:val="000000"/>
      <w:kern w:val="0"/>
      <w:sz w:val="32"/>
      <w:szCs w:val="28"/>
      <w:lang w:val="en-US"/>
      <w14:ligatures w14:val="none"/>
    </w:rPr>
  </w:style>
  <w:style w:customStyle="1" w:styleId="Heading2Char" w:type="character">
    <w:name w:val="Heading 2 Char"/>
    <w:link w:val="Heading2"/>
    <w:uiPriority w:val="9"/>
    <w:rsid w:val="00420038"/>
    <w:rPr>
      <w:rFonts w:ascii="Open Sans" w:cs="Times New Roman" w:eastAsia="Open Sans" w:hAnsi="Open Sans"/>
      <w:b/>
      <w:bCs/>
      <w:color w:val="404040"/>
      <w:kern w:val="0"/>
      <w:sz w:val="28"/>
      <w:szCs w:val="26"/>
      <w:lang w:val="en-US"/>
      <w14:ligatures w14:val="none"/>
    </w:rPr>
  </w:style>
  <w:style w:customStyle="1" w:styleId="Heading3Char" w:type="character">
    <w:name w:val="Heading 3 Char"/>
    <w:link w:val="Heading3"/>
    <w:uiPriority w:val="9"/>
    <w:rsid w:val="00420038"/>
    <w:rPr>
      <w:rFonts w:ascii="Open Sans" w:cs="Times New Roman" w:eastAsia="Times New Roman" w:hAnsi="Open Sans"/>
      <w:b/>
      <w:bCs/>
      <w:color w:val="404040"/>
      <w:kern w:val="0"/>
      <w:lang w:val="en-US"/>
      <w14:ligatures w14:val="none"/>
    </w:rPr>
  </w:style>
  <w:style w:customStyle="1" w:styleId="Heading4Char" w:type="character">
    <w:name w:val="Heading 4 Char"/>
    <w:link w:val="Heading4"/>
    <w:uiPriority w:val="9"/>
    <w:rsid w:val="00420038"/>
    <w:rPr>
      <w:rFonts w:ascii="Open Sans" w:cs="Times New Roman" w:eastAsia="Times New Roman" w:hAnsi="Open Sans"/>
      <w:b/>
      <w:bCs/>
      <w:i/>
      <w:iCs/>
      <w:color w:val="404040"/>
      <w:kern w:val="0"/>
      <w:lang w:val="en-US"/>
      <w14:ligatures w14:val="none"/>
    </w:rPr>
  </w:style>
  <w:style w:customStyle="1" w:styleId="Heading5Char" w:type="character">
    <w:name w:val="Heading 5 Char"/>
    <w:link w:val="Heading5"/>
    <w:uiPriority w:val="9"/>
    <w:semiHidden/>
    <w:rsid w:val="00420038"/>
    <w:rPr>
      <w:rFonts w:ascii="Open Sans" w:cs="Times New Roman" w:eastAsia="Times New Roman" w:hAnsi="Open Sans"/>
      <w:b/>
      <w:bCs/>
      <w:color w:val="7F7F7F"/>
      <w:kern w:val="0"/>
      <w:lang w:val="en-US"/>
      <w14:ligatures w14:val="none"/>
    </w:rPr>
  </w:style>
  <w:style w:customStyle="1" w:styleId="Heading6Char" w:type="character">
    <w:name w:val="Heading 6 Char"/>
    <w:link w:val="Heading6"/>
    <w:uiPriority w:val="9"/>
    <w:semiHidden/>
    <w:rsid w:val="00420038"/>
    <w:rPr>
      <w:rFonts w:ascii="Open Sans" w:cs="Times New Roman" w:eastAsia="Times New Roman" w:hAnsi="Open Sans"/>
      <w:b/>
      <w:bCs/>
      <w:i/>
      <w:iCs/>
      <w:color w:val="7F7F7F"/>
      <w:kern w:val="0"/>
      <w:lang w:val="en-US"/>
      <w14:ligatures w14:val="none"/>
    </w:rPr>
  </w:style>
  <w:style w:customStyle="1" w:styleId="Heading7Char" w:type="character">
    <w:name w:val="Heading 7 Char"/>
    <w:link w:val="Heading7"/>
    <w:uiPriority w:val="9"/>
    <w:semiHidden/>
    <w:rsid w:val="00420038"/>
    <w:rPr>
      <w:rFonts w:ascii="Open Sans" w:cs="Times New Roman" w:eastAsia="Times New Roman" w:hAnsi="Open Sans"/>
      <w:i/>
      <w:iCs/>
      <w:color w:val="404040"/>
      <w:kern w:val="0"/>
      <w:lang w:val="en-US"/>
      <w14:ligatures w14:val="none"/>
    </w:rPr>
  </w:style>
  <w:style w:customStyle="1" w:styleId="Heading8Char" w:type="character">
    <w:name w:val="Heading 8 Char"/>
    <w:link w:val="Heading8"/>
    <w:uiPriority w:val="9"/>
    <w:semiHidden/>
    <w:rsid w:val="00420038"/>
    <w:rPr>
      <w:rFonts w:ascii="Open Sans" w:cs="Times New Roman" w:eastAsia="Times New Roman" w:hAnsi="Open Sans"/>
      <w:color w:val="404040"/>
      <w:kern w:val="0"/>
      <w:szCs w:val="20"/>
      <w:lang w:val="en-US"/>
      <w14:ligatures w14:val="none"/>
    </w:rPr>
  </w:style>
  <w:style w:customStyle="1" w:styleId="Heading9Char" w:type="character">
    <w:name w:val="Heading 9 Char"/>
    <w:link w:val="Heading9"/>
    <w:uiPriority w:val="9"/>
    <w:semiHidden/>
    <w:rsid w:val="00420038"/>
    <w:rPr>
      <w:rFonts w:ascii="Open Sans" w:cs="Times New Roman" w:eastAsia="Times New Roman" w:hAnsi="Open Sans"/>
      <w:i/>
      <w:iCs/>
      <w:color w:val="404040"/>
      <w:spacing w:val="5"/>
      <w:kern w:val="0"/>
      <w:szCs w:val="20"/>
      <w:lang w:val="en-US"/>
      <w14:ligatures w14:val="none"/>
    </w:rPr>
  </w:style>
  <w:style w:customStyle="1" w:styleId="HeadingNoNumbers" w:type="paragraph">
    <w:name w:val="Heading No Numbers"/>
    <w:basedOn w:val="Heading1"/>
    <w:link w:val="HeadingNoNumbersChar"/>
    <w:qFormat/>
    <w:rsid w:val="00420038"/>
    <w:pPr>
      <w:numPr>
        <w:numId w:val="0"/>
      </w:numPr>
    </w:pPr>
    <w:rPr>
      <w:rFonts w:cs="Open Sans"/>
      <w:szCs w:val="32"/>
    </w:rPr>
  </w:style>
  <w:style w:customStyle="1" w:styleId="HeadingNoNumbersChar" w:type="character">
    <w:name w:val="Heading No Numbers Char"/>
    <w:link w:val="HeadingNoNumbers"/>
    <w:rsid w:val="00420038"/>
    <w:rPr>
      <w:rFonts w:ascii="Open Sans" w:cs="Open Sans" w:eastAsia="Times New Roman" w:hAnsi="Open Sans"/>
      <w:b/>
      <w:bCs/>
      <w:color w:val="000000"/>
      <w:kern w:val="0"/>
      <w:sz w:val="32"/>
      <w:szCs w:val="32"/>
      <w:lang w:val="en-US"/>
      <w14:ligatures w14:val="none"/>
    </w:rPr>
  </w:style>
  <w:style w:styleId="Hyperlink" w:type="character">
    <w:name w:val="Hyperlink"/>
    <w:uiPriority w:val="99"/>
    <w:rsid w:val="00420038"/>
    <w:rPr>
      <w:color w:val="0C0C0C"/>
      <w:u w:val="single"/>
    </w:rPr>
  </w:style>
  <w:style w:styleId="IntenseEmphasis" w:type="character">
    <w:name w:val="Intense Emphasis"/>
    <w:uiPriority w:val="21"/>
    <w:rsid w:val="00420038"/>
    <w:rPr>
      <w:b/>
      <w:bCs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420038"/>
    <w:pPr>
      <w:spacing w:after="0" w:line="240" w:lineRule="auto"/>
    </w:pPr>
    <w:rPr>
      <w:rFonts w:ascii="Tahoma" w:cs="Tahoma" w:hAnsi="Tahoma"/>
      <w:sz w:val="16"/>
      <w:szCs w:val="16"/>
    </w:rPr>
  </w:style>
  <w:style w:customStyle="1" w:styleId="BalloonTextChar" w:type="character">
    <w:name w:val="Balloon Text Char"/>
    <w:link w:val="BalloonText"/>
    <w:uiPriority w:val="99"/>
    <w:semiHidden/>
    <w:rsid w:val="00420038"/>
    <w:rPr>
      <w:rFonts w:ascii="Tahoma" w:cs="Tahoma" w:eastAsia="Open Sans" w:hAnsi="Tahoma"/>
      <w:color w:val="404040"/>
      <w:kern w:val="0"/>
      <w:sz w:val="16"/>
      <w:szCs w:val="16"/>
      <w:lang w:val="en-US"/>
      <w14:ligatures w14:val="none"/>
    </w:rPr>
  </w:style>
  <w:style w:styleId="BodyText" w:type="paragraph">
    <w:name w:val="Body Text"/>
    <w:basedOn w:val="Normal"/>
    <w:link w:val="BodyTextChar"/>
    <w:uiPriority w:val="99"/>
    <w:unhideWhenUsed/>
    <w:rsid w:val="00420038"/>
    <w:pPr>
      <w:spacing w:after="120"/>
    </w:pPr>
  </w:style>
  <w:style w:customStyle="1" w:styleId="BodyTextChar" w:type="character">
    <w:name w:val="Body Text Char"/>
    <w:link w:val="BodyText"/>
    <w:uiPriority w:val="99"/>
    <w:rsid w:val="00420038"/>
    <w:rPr>
      <w:rFonts w:ascii="Open Sans" w:cs="Times New Roman" w:eastAsia="Open Sans" w:hAnsi="Open Sans"/>
      <w:color w:val="404040"/>
      <w:kern w:val="0"/>
      <w:lang w:val="en-US"/>
      <w14:ligatures w14:val="none"/>
    </w:rPr>
  </w:style>
  <w:style w:styleId="BookTitle" w:type="character">
    <w:name w:val="Book Title"/>
    <w:uiPriority w:val="33"/>
    <w:rsid w:val="00420038"/>
    <w:rPr>
      <w:i/>
      <w:iCs/>
      <w:smallCaps/>
      <w:spacing w:val="5"/>
    </w:rPr>
  </w:style>
  <w:style w:customStyle="1" w:styleId="list1" w:type="paragraph">
    <w:name w:val="list1"/>
    <w:basedOn w:val="ListParagraph"/>
    <w:link w:val="list1Char"/>
    <w:qFormat/>
    <w:rsid w:val="00420038"/>
    <w:pPr>
      <w:numPr>
        <w:numId w:val="13"/>
      </w:numPr>
    </w:pPr>
  </w:style>
  <w:style w:customStyle="1" w:styleId="list1Char" w:type="character">
    <w:name w:val="list1 Char"/>
    <w:link w:val="list1"/>
    <w:rsid w:val="00420038"/>
    <w:rPr>
      <w:rFonts w:ascii="Open Sans" w:cs="Times New Roman" w:eastAsia="Open Sans" w:hAnsi="Open Sans"/>
      <w:color w:val="404040"/>
      <w:kern w:val="0"/>
      <w:lang w:val="en-US"/>
      <w14:ligatures w14:val="none"/>
    </w:rPr>
  </w:style>
  <w:style w:styleId="ListParagraph" w:type="paragraph">
    <w:name w:val="List Paragraph"/>
    <w:basedOn w:val="Normal"/>
    <w:link w:val="ListParagraphChar"/>
    <w:uiPriority w:val="34"/>
    <w:qFormat/>
    <w:rsid w:val="00420038"/>
    <w:pPr>
      <w:ind w:left="720"/>
      <w:contextualSpacing/>
    </w:pPr>
  </w:style>
  <w:style w:customStyle="1" w:styleId="list2" w:type="paragraph">
    <w:name w:val="list2"/>
    <w:basedOn w:val="ListParagraph"/>
    <w:link w:val="list2Char"/>
    <w:qFormat/>
    <w:rsid w:val="00420038"/>
    <w:pPr>
      <w:numPr>
        <w:numId w:val="14"/>
      </w:numPr>
    </w:pPr>
  </w:style>
  <w:style w:customStyle="1" w:styleId="list2Char" w:type="character">
    <w:name w:val="list2 Char"/>
    <w:link w:val="list2"/>
    <w:rsid w:val="00420038"/>
    <w:rPr>
      <w:rFonts w:ascii="Open Sans" w:cs="Times New Roman" w:eastAsia="Open Sans" w:hAnsi="Open Sans"/>
      <w:color w:val="404040"/>
      <w:kern w:val="0"/>
      <w:lang w:val="en-US"/>
      <w14:ligatures w14:val="none"/>
    </w:rPr>
  </w:style>
  <w:style w:customStyle="1" w:styleId="Bullets" w:type="paragraph">
    <w:name w:val="Bullets"/>
    <w:basedOn w:val="Closing"/>
    <w:qFormat/>
    <w:rsid w:val="00420038"/>
    <w:pPr>
      <w:numPr>
        <w:numId w:val="12"/>
      </w:numPr>
      <w:spacing w:before="60"/>
    </w:pPr>
    <w:rPr>
      <w:rFonts w:eastAsia="Times New Roman"/>
    </w:rPr>
  </w:style>
  <w:style w:styleId="Closing" w:type="paragraph">
    <w:name w:val="Closing"/>
    <w:basedOn w:val="Normal"/>
    <w:link w:val="ClosingChar"/>
    <w:uiPriority w:val="99"/>
    <w:semiHidden/>
    <w:unhideWhenUsed/>
    <w:rsid w:val="00420038"/>
    <w:pPr>
      <w:ind w:left="4252"/>
    </w:pPr>
  </w:style>
  <w:style w:customStyle="1" w:styleId="ClosingChar" w:type="character">
    <w:name w:val="Closing Char"/>
    <w:basedOn w:val="DefaultParagraphFont"/>
    <w:link w:val="Closing"/>
    <w:uiPriority w:val="99"/>
    <w:semiHidden/>
    <w:rsid w:val="00420038"/>
    <w:rPr>
      <w:rFonts w:ascii="Open Sans" w:cs="Times New Roman" w:eastAsia="Open Sans" w:hAnsi="Open Sans"/>
      <w:color w:val="404040"/>
      <w:kern w:val="0"/>
      <w:lang w:val="en-US"/>
      <w14:ligatures w14:val="none"/>
    </w:rPr>
  </w:style>
  <w:style w:styleId="ColorfulGrid-Accent6" w:type="table">
    <w:name w:val="Colorful Grid Accent 6"/>
    <w:basedOn w:val="TableNormal"/>
    <w:uiPriority w:val="73"/>
    <w:rsid w:val="00420038"/>
    <w:pPr>
      <w:spacing w:after="0" w:line="240" w:lineRule="auto"/>
    </w:pPr>
    <w:rPr>
      <w:rFonts w:ascii="Open Sans" w:cs="Times New Roman" w:hAnsi="Open Sans"/>
      <w:color w:val="000000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insideH w:color="FFFFFF" w:space="0" w:sz="4" w:val="single"/>
      </w:tblBorders>
    </w:tblPr>
    <w:tcPr>
      <w:shd w:color="auto" w:fill="D7DDDA" w:val="clear"/>
    </w:tcPr>
    <w:tblStylePr w:type="firstRow">
      <w:rPr>
        <w:b/>
        <w:bCs/>
        <w:color w:val="FFFFFF"/>
      </w:rPr>
      <w:tblPr/>
      <w:tcPr>
        <w:shd w:color="auto" w:fill="AEBAB4" w:val="clear"/>
      </w:tcPr>
    </w:tblStylePr>
    <w:tblStylePr w:type="lastRow">
      <w:rPr>
        <w:b/>
        <w:bCs/>
        <w:color w:val="000000"/>
      </w:rPr>
      <w:tblPr/>
      <w:tcPr>
        <w:shd w:color="auto" w:fill="AFBBB5" w:val="clear"/>
      </w:tcPr>
    </w:tblStylePr>
    <w:tblStylePr w:type="firstCol">
      <w:rPr>
        <w:color w:val="FFFFFF"/>
      </w:rPr>
      <w:tblPr/>
      <w:tcPr>
        <w:shd w:color="auto" w:fill="303935" w:val="clear"/>
      </w:tcPr>
    </w:tblStylePr>
    <w:tblStylePr w:type="lastCol">
      <w:rPr>
        <w:color w:val="FFFFFF"/>
      </w:rPr>
      <w:tblPr/>
      <w:tcPr>
        <w:shd w:color="auto" w:fill="303935" w:val="clear"/>
      </w:tcPr>
    </w:tblStylePr>
    <w:tblStylePr w:type="band1Vert">
      <w:tblPr/>
      <w:tcPr>
        <w:shd w:color="auto" w:fill="D3DCE3" w:val="clear"/>
      </w:tcPr>
    </w:tblStylePr>
    <w:tblStylePr w:type="band1Horz">
      <w:tblPr/>
      <w:tcPr>
        <w:shd w:color="auto" w:fill="D3DCE3" w:val="clear"/>
      </w:tcPr>
    </w:tblStylePr>
  </w:style>
  <w:style w:styleId="CommentReference" w:type="character">
    <w:name w:val="annotation reference"/>
    <w:uiPriority w:val="99"/>
    <w:semiHidden/>
    <w:unhideWhenUsed/>
    <w:rsid w:val="00420038"/>
    <w:rPr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unhideWhenUsed/>
    <w:rsid w:val="00420038"/>
    <w:pPr>
      <w:spacing w:line="240" w:lineRule="auto"/>
    </w:pPr>
    <w:rPr>
      <w:szCs w:val="20"/>
    </w:rPr>
  </w:style>
  <w:style w:customStyle="1" w:styleId="CommentTextChar" w:type="character">
    <w:name w:val="Comment Text Char"/>
    <w:link w:val="CommentText"/>
    <w:uiPriority w:val="99"/>
    <w:rsid w:val="00420038"/>
    <w:rPr>
      <w:rFonts w:ascii="Open Sans" w:cs="Times New Roman" w:eastAsia="Open Sans" w:hAnsi="Open Sans"/>
      <w:color w:val="404040"/>
      <w:kern w:val="0"/>
      <w:szCs w:val="20"/>
      <w:lang w:val="en-US"/>
      <w14:ligatures w14:val="none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420038"/>
    <w:rPr>
      <w:b/>
      <w:bCs/>
    </w:rPr>
  </w:style>
  <w:style w:customStyle="1" w:styleId="CommentSubjectChar" w:type="character">
    <w:name w:val="Comment Subject Char"/>
    <w:link w:val="CommentSubject"/>
    <w:uiPriority w:val="99"/>
    <w:semiHidden/>
    <w:rsid w:val="00420038"/>
    <w:rPr>
      <w:rFonts w:ascii="Open Sans" w:cs="Times New Roman" w:eastAsia="Open Sans" w:hAnsi="Open Sans"/>
      <w:b/>
      <w:bCs/>
      <w:color w:val="404040"/>
      <w:kern w:val="0"/>
      <w:szCs w:val="20"/>
      <w:lang w:val="en-US"/>
      <w14:ligatures w14:val="none"/>
    </w:rPr>
  </w:style>
  <w:style w:styleId="Emphasis" w:type="character">
    <w:name w:val="Emphasis"/>
    <w:uiPriority w:val="20"/>
    <w:rsid w:val="00420038"/>
    <w:rPr>
      <w:b/>
      <w:bCs/>
      <w:i/>
      <w:iCs/>
      <w:spacing w:val="10"/>
      <w:bdr w:color="auto" w:space="0" w:sz="0" w:val="none"/>
      <w:shd w:color="auto" w:fill="auto" w:val="clear"/>
    </w:rPr>
  </w:style>
  <w:style w:styleId="Footer" w:type="paragraph">
    <w:name w:val="footer"/>
    <w:basedOn w:val="Normal"/>
    <w:link w:val="FooterChar"/>
    <w:uiPriority w:val="99"/>
    <w:unhideWhenUsed/>
    <w:rsid w:val="00420038"/>
    <w:pPr>
      <w:tabs>
        <w:tab w:pos="4320" w:val="center"/>
        <w:tab w:pos="864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420038"/>
    <w:rPr>
      <w:rFonts w:ascii="Open Sans" w:cs="Times New Roman" w:eastAsia="Open Sans" w:hAnsi="Open Sans"/>
      <w:color w:val="404040"/>
      <w:kern w:val="0"/>
      <w:lang w:val="en-US"/>
      <w14:ligatures w14:val="none"/>
    </w:rPr>
  </w:style>
  <w:style w:styleId="FootnoteReference" w:type="character">
    <w:name w:val="footnote reference"/>
    <w:rsid w:val="00420038"/>
    <w:rPr>
      <w:vertAlign w:val="superscript"/>
    </w:rPr>
  </w:style>
  <w:style w:styleId="FootnoteText" w:type="paragraph">
    <w:name w:val="footnote text"/>
    <w:basedOn w:val="Normal"/>
    <w:link w:val="FootnoteTextChar"/>
    <w:rsid w:val="00420038"/>
    <w:pPr>
      <w:spacing w:after="0" w:line="240" w:lineRule="auto"/>
    </w:pPr>
    <w:rPr>
      <w:rFonts w:ascii="Arial" w:eastAsia="Times New Roman" w:hAnsi="Arial"/>
      <w:szCs w:val="20"/>
      <w:lang w:eastAsia="de-CH" w:val="de-CH"/>
    </w:rPr>
  </w:style>
  <w:style w:customStyle="1" w:styleId="FootnoteTextChar" w:type="character">
    <w:name w:val="Footnote Text Char"/>
    <w:link w:val="FootnoteText"/>
    <w:rsid w:val="00420038"/>
    <w:rPr>
      <w:rFonts w:ascii="Arial" w:cs="Times New Roman" w:eastAsia="Times New Roman" w:hAnsi="Arial"/>
      <w:color w:val="404040"/>
      <w:kern w:val="0"/>
      <w:szCs w:val="20"/>
      <w:lang w:eastAsia="de-CH" w:val="de-CH"/>
      <w14:ligatures w14:val="none"/>
    </w:rPr>
  </w:style>
  <w:style w:customStyle="1" w:styleId="GridTable21" w:type="table">
    <w:name w:val="Grid Table 21"/>
    <w:basedOn w:val="TableNormal"/>
    <w:uiPriority w:val="47"/>
    <w:rsid w:val="00420038"/>
    <w:pPr>
      <w:spacing w:after="0" w:line="240" w:lineRule="auto"/>
    </w:pPr>
    <w:rPr>
      <w:rFonts w:ascii="Times New Roman" w:cs="Times New Roman" w:eastAsia="Times New Roman" w:hAnsi="Times New Roman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top w:color="666666" w:space="0" w:sz="2" w:val="single"/>
        <w:bottom w:color="666666" w:space="0" w:sz="2" w:val="single"/>
        <w:insideH w:color="666666" w:space="0" w:sz="2" w:val="single"/>
        <w:insideV w:color="666666" w:space="0" w:sz="2" w:val="single"/>
      </w:tblBorders>
    </w:tblPr>
    <w:tblStylePr w:type="firstRow">
      <w:rPr>
        <w:b/>
        <w:bCs/>
      </w:rPr>
      <w:tblPr/>
      <w:tcPr>
        <w:tcBorders>
          <w:top w:val="nil"/>
          <w:bottom w:color="666666" w:space="0" w:sz="12" w:val="single"/>
          <w:insideH w:val="nil"/>
          <w:insideV w:val="nil"/>
        </w:tcBorders>
        <w:shd w:color="auto" w:fill="FFFFFF" w:val="clear"/>
      </w:tcPr>
    </w:tblStylePr>
    <w:tblStylePr w:type="lastRow">
      <w:rPr>
        <w:b/>
        <w:bCs/>
      </w:rPr>
      <w:tblPr/>
      <w:tcPr>
        <w:tcBorders>
          <w:top w:color="666666" w:space="0" w:sz="2" w:val="double"/>
          <w:bottom w:val="nil"/>
          <w:insideH w:val="nil"/>
          <w:insideV w:val="nil"/>
        </w:tcBorders>
        <w:shd w:color="auto" w:fill="FFFFFF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val="clear"/>
      </w:tcPr>
    </w:tblStylePr>
    <w:tblStylePr w:type="band1Horz">
      <w:tblPr/>
      <w:tcPr>
        <w:shd w:color="auto" w:fill="CCCCCC" w:val="clear"/>
      </w:tcPr>
    </w:tblStylePr>
  </w:style>
  <w:style w:styleId="Header" w:type="paragraph">
    <w:name w:val="header"/>
    <w:basedOn w:val="Normal"/>
    <w:link w:val="HeaderChar"/>
    <w:uiPriority w:val="99"/>
    <w:unhideWhenUsed/>
    <w:rsid w:val="00420038"/>
    <w:pPr>
      <w:tabs>
        <w:tab w:pos="4320" w:val="center"/>
        <w:tab w:pos="864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420038"/>
    <w:rPr>
      <w:rFonts w:ascii="Open Sans" w:cs="Times New Roman" w:eastAsia="Open Sans" w:hAnsi="Open Sans"/>
      <w:color w:val="404040"/>
      <w:kern w:val="0"/>
      <w:lang w:val="en-US"/>
      <w14:ligatures w14:val="none"/>
    </w:rPr>
  </w:style>
  <w:style w:customStyle="1" w:styleId="HeaderAdresse" w:type="paragraph">
    <w:name w:val="Header Adresse"/>
    <w:basedOn w:val="Normal"/>
    <w:rsid w:val="00420038"/>
    <w:pPr>
      <w:overflowPunct w:val="0"/>
      <w:autoSpaceDE w:val="0"/>
      <w:autoSpaceDN w:val="0"/>
      <w:adjustRightInd w:val="0"/>
      <w:spacing w:after="0" w:line="260" w:lineRule="auto"/>
      <w:ind w:left="34"/>
      <w:textAlignment w:val="baseline"/>
    </w:pPr>
    <w:rPr>
      <w:rFonts w:eastAsia="Times New Roman"/>
      <w:color w:val="8B9C93"/>
      <w:sz w:val="16"/>
      <w:szCs w:val="16"/>
      <w:lang w:eastAsia="de-DE" w:val="de-DE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420038"/>
    <w:pPr>
      <w:pBdr>
        <w:bottom w:color="AEBAB4" w:space="1" w:sz="4" w:val="single"/>
      </w:pBdr>
      <w:shd w:color="auto" w:fill="CED5D1" w:val="clear"/>
      <w:spacing w:after="280" w:before="200"/>
      <w:ind w:left="1008" w:right="1152"/>
      <w:jc w:val="both"/>
    </w:pPr>
    <w:rPr>
      <w:b/>
      <w:bCs/>
      <w:i/>
      <w:iCs/>
      <w:color w:val="FFFFFF"/>
    </w:rPr>
  </w:style>
  <w:style w:customStyle="1" w:styleId="IntenseQuoteChar" w:type="character">
    <w:name w:val="Intense Quote Char"/>
    <w:link w:val="IntenseQuote"/>
    <w:uiPriority w:val="30"/>
    <w:rsid w:val="00420038"/>
    <w:rPr>
      <w:rFonts w:ascii="Open Sans" w:cs="Times New Roman" w:eastAsia="Open Sans" w:hAnsi="Open Sans"/>
      <w:b/>
      <w:bCs/>
      <w:i/>
      <w:iCs/>
      <w:color w:val="FFFFFF"/>
      <w:kern w:val="0"/>
      <w:shd w:color="auto" w:fill="CED5D1" w:val="clear"/>
      <w:lang w:val="en-US"/>
      <w14:ligatures w14:val="none"/>
    </w:rPr>
  </w:style>
  <w:style w:styleId="IntenseReference" w:type="character">
    <w:name w:val="Intense Reference"/>
    <w:uiPriority w:val="32"/>
    <w:rsid w:val="00420038"/>
    <w:rPr>
      <w:smallCaps/>
      <w:spacing w:val="5"/>
      <w:u w:val="single"/>
    </w:rPr>
  </w:style>
  <w:style w:styleId="LightList-Accent2" w:type="table">
    <w:name w:val="Light List Accent 2"/>
    <w:basedOn w:val="TableNormal"/>
    <w:uiPriority w:val="61"/>
    <w:rsid w:val="00420038"/>
    <w:pPr>
      <w:spacing w:after="0" w:line="240" w:lineRule="auto"/>
    </w:pPr>
    <w:rPr>
      <w:rFonts w:ascii="Open Sans" w:cs="Times New Roman" w:hAnsi="Open Sans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top w:color="8B9C93" w:space="0" w:sz="8" w:val="single"/>
        <w:left w:color="8B9C93" w:space="0" w:sz="8" w:val="single"/>
        <w:bottom w:color="8B9C93" w:space="0" w:sz="8" w:val="single"/>
        <w:right w:color="8B9C93" w:space="0" w:sz="8" w:val="single"/>
      </w:tblBorders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color="auto" w:fill="8B9C9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B9C93" w:space="0" w:sz="6" w:val="double"/>
          <w:left w:color="8B9C93" w:space="0" w:sz="8" w:val="single"/>
          <w:bottom w:color="8B9C93" w:space="0" w:sz="8" w:val="single"/>
          <w:right w:color="8B9C93" w:space="0" w:sz="8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B9C93" w:space="0" w:sz="8" w:val="single"/>
          <w:left w:color="8B9C93" w:space="0" w:sz="8" w:val="single"/>
          <w:bottom w:color="8B9C93" w:space="0" w:sz="8" w:val="single"/>
          <w:right w:color="8B9C93" w:space="0" w:sz="8" w:val="single"/>
        </w:tcBorders>
      </w:tcPr>
    </w:tblStylePr>
    <w:tblStylePr w:type="band1Horz">
      <w:tblPr/>
      <w:tcPr>
        <w:tcBorders>
          <w:top w:color="8B9C93" w:space="0" w:sz="8" w:val="single"/>
          <w:left w:color="8B9C93" w:space="0" w:sz="8" w:val="single"/>
          <w:bottom w:color="8B9C93" w:space="0" w:sz="8" w:val="single"/>
          <w:right w:color="8B9C93" w:space="0" w:sz="8" w:val="single"/>
        </w:tcBorders>
      </w:tcPr>
    </w:tblStylePr>
  </w:style>
  <w:style w:customStyle="1" w:styleId="LightList-Accent21" w:type="table">
    <w:name w:val="Light List - Accent 21"/>
    <w:basedOn w:val="TableNormal"/>
    <w:next w:val="LightList-Accent2"/>
    <w:uiPriority w:val="61"/>
    <w:rsid w:val="00420038"/>
    <w:pPr>
      <w:spacing w:after="0" w:line="240" w:lineRule="auto"/>
    </w:pPr>
    <w:rPr>
      <w:rFonts w:ascii="Open Sans" w:cs="Times New Roman" w:hAnsi="Open Sans"/>
      <w:color w:val="404040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top w:color="0070C0" w:space="0" w:sz="8" w:val="single"/>
        <w:left w:color="0070C0" w:space="0" w:sz="8" w:val="single"/>
        <w:bottom w:color="0070C0" w:space="0" w:sz="8" w:val="single"/>
        <w:right w:color="0070C0" w:space="0" w:sz="8" w:val="single"/>
      </w:tblBorders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color="auto" w:fill="0070C0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70C0" w:space="0" w:sz="6" w:val="double"/>
          <w:left w:color="0070C0" w:space="0" w:sz="8" w:val="single"/>
          <w:bottom w:color="0070C0" w:space="0" w:sz="8" w:val="single"/>
          <w:right w:color="0070C0" w:space="0" w:sz="8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70C0" w:space="0" w:sz="8" w:val="single"/>
          <w:left w:color="0070C0" w:space="0" w:sz="8" w:val="single"/>
          <w:bottom w:color="0070C0" w:space="0" w:sz="8" w:val="single"/>
          <w:right w:color="0070C0" w:space="0" w:sz="8" w:val="single"/>
        </w:tcBorders>
      </w:tcPr>
    </w:tblStylePr>
    <w:tblStylePr w:type="band1Horz">
      <w:tblPr/>
      <w:tcPr>
        <w:tcBorders>
          <w:top w:color="0070C0" w:space="0" w:sz="8" w:val="single"/>
          <w:left w:color="0070C0" w:space="0" w:sz="8" w:val="single"/>
          <w:bottom w:color="0070C0" w:space="0" w:sz="8" w:val="single"/>
          <w:right w:color="0070C0" w:space="0" w:sz="8" w:val="single"/>
        </w:tcBorders>
      </w:tcPr>
    </w:tblStylePr>
  </w:style>
  <w:style w:customStyle="1" w:styleId="ListParagraphChar" w:type="character">
    <w:name w:val="List Paragraph Char"/>
    <w:link w:val="ListParagraph"/>
    <w:uiPriority w:val="34"/>
    <w:rsid w:val="00420038"/>
    <w:rPr>
      <w:rFonts w:ascii="Open Sans" w:cs="Times New Roman" w:eastAsia="Open Sans" w:hAnsi="Open Sans"/>
      <w:color w:val="404040"/>
      <w:kern w:val="0"/>
      <w:lang w:val="en-US"/>
      <w14:ligatures w14:val="none"/>
    </w:rPr>
  </w:style>
  <w:style w:styleId="MediumShading1-Accent5" w:type="table">
    <w:name w:val="Medium Shading 1 Accent 5"/>
    <w:basedOn w:val="TableNormal"/>
    <w:uiPriority w:val="63"/>
    <w:rsid w:val="00420038"/>
    <w:pPr>
      <w:spacing w:after="0" w:line="240" w:lineRule="auto"/>
    </w:pPr>
    <w:rPr>
      <w:rFonts w:ascii="Open Sans" w:cs="Times New Roman" w:hAnsi="Open Sans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top w:color="D2D8D4" w:space="0" w:sz="8" w:val="single"/>
        <w:left w:color="D2D8D4" w:space="0" w:sz="8" w:val="single"/>
        <w:bottom w:color="D2D8D4" w:space="0" w:sz="8" w:val="single"/>
        <w:right w:color="D2D8D4" w:space="0" w:sz="8" w:val="single"/>
        <w:insideH w:color="D2D8D4" w:space="0" w:sz="8" w:val="single"/>
      </w:tblBorders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color="D2D8D4" w:space="0" w:sz="8" w:val="single"/>
          <w:left w:color="D2D8D4" w:space="0" w:sz="8" w:val="single"/>
          <w:bottom w:color="D2D8D4" w:space="0" w:sz="8" w:val="single"/>
          <w:right w:color="D2D8D4" w:space="0" w:sz="8" w:val="single"/>
          <w:insideH w:val="nil"/>
          <w:insideV w:val="nil"/>
        </w:tcBorders>
        <w:shd w:color="auto" w:fill="C3CBC7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D2D8D4" w:space="0" w:sz="6" w:val="double"/>
          <w:left w:color="D2D8D4" w:space="0" w:sz="8" w:val="single"/>
          <w:bottom w:color="D2D8D4" w:space="0" w:sz="8" w:val="single"/>
          <w:right w:color="D2D8D4" w:space="0" w:sz="8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0F2F0" w:val="clear"/>
      </w:tcPr>
    </w:tblStylePr>
    <w:tblStylePr w:type="band1Horz">
      <w:tblPr/>
      <w:tcPr>
        <w:tcBorders>
          <w:insideH w:val="nil"/>
          <w:insideV w:val="nil"/>
        </w:tcBorders>
        <w:shd w:color="auto" w:fill="F0F2F0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420038"/>
    <w:pPr>
      <w:spacing w:after="0" w:line="240" w:lineRule="auto"/>
    </w:pPr>
    <w:rPr>
      <w:rFonts w:ascii="Open Sans" w:cs="Times New Roman" w:hAnsi="Open Sans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AEBAB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val="clear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AEBAB4" w:val="clear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AEBAB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val="clear"/>
      </w:tcPr>
    </w:tblStylePr>
    <w:tblStylePr w:type="band1Horz">
      <w:tblPr/>
      <w:tcPr>
        <w:shd w:color="auto" w:fill="D8D8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NoSpacing" w:type="paragraph">
    <w:name w:val="No Spacing"/>
    <w:basedOn w:val="Normal"/>
    <w:uiPriority w:val="1"/>
    <w:qFormat/>
    <w:rsid w:val="00420038"/>
    <w:pPr>
      <w:spacing w:after="0" w:line="240" w:lineRule="auto"/>
    </w:pPr>
  </w:style>
  <w:style w:styleId="NormalWeb" w:type="paragraph">
    <w:name w:val="Normal (Web)"/>
    <w:basedOn w:val="Normal"/>
    <w:uiPriority w:val="99"/>
    <w:semiHidden/>
    <w:unhideWhenUsed/>
    <w:rsid w:val="00420038"/>
    <w:pPr>
      <w:spacing w:after="100" w:afterAutospacing="1" w:before="100" w:beforeAutospacing="1" w:line="240" w:lineRule="auto"/>
    </w:pPr>
    <w:rPr>
      <w:rFonts w:ascii="Times New Roman" w:eastAsia="Times New Roman" w:hAnsi="Times New Roman"/>
    </w:rPr>
  </w:style>
  <w:style w:customStyle="1" w:styleId="NormalTabelleSpalterechts" w:type="paragraph">
    <w:name w:val="Normal Tabelle Spalte rechts"/>
    <w:basedOn w:val="Normal"/>
    <w:rsid w:val="00420038"/>
    <w:pPr>
      <w:spacing w:after="120" w:before="120" w:line="240" w:lineRule="auto"/>
      <w:ind w:right="-108"/>
    </w:pPr>
    <w:rPr>
      <w:rFonts w:ascii="Arial" w:eastAsia="Times New Roman" w:hAnsi="Arial"/>
      <w:sz w:val="22"/>
      <w:lang w:eastAsia="de-CH" w:val="de-CH"/>
    </w:rPr>
  </w:style>
  <w:style w:customStyle="1" w:styleId="p1" w:type="paragraph">
    <w:name w:val="p1"/>
    <w:basedOn w:val="Normal"/>
    <w:rsid w:val="00420038"/>
    <w:pPr>
      <w:spacing w:after="100" w:afterAutospacing="1" w:before="100" w:beforeAutospacing="1" w:line="240" w:lineRule="auto"/>
    </w:pPr>
    <w:rPr>
      <w:rFonts w:ascii="Times New Roman" w:eastAsia="Times New Roman" w:hAnsi="Times New Roman"/>
      <w:color w:val="auto"/>
      <w:lang w:val="en-CA"/>
    </w:rPr>
  </w:style>
  <w:style w:styleId="PlaceholderText" w:type="character">
    <w:name w:val="Placeholder Text"/>
    <w:semiHidden/>
    <w:rsid w:val="00420038"/>
    <w:rPr>
      <w:color w:val="808080"/>
    </w:rPr>
  </w:style>
  <w:style w:styleId="Quote" w:type="paragraph">
    <w:name w:val="Quote"/>
    <w:basedOn w:val="Normal"/>
    <w:next w:val="Normal"/>
    <w:link w:val="QuoteChar"/>
    <w:uiPriority w:val="29"/>
    <w:qFormat/>
    <w:rsid w:val="00420038"/>
    <w:pPr>
      <w:spacing w:after="0" w:before="200"/>
      <w:ind w:left="360" w:right="360"/>
    </w:pPr>
    <w:rPr>
      <w:i/>
      <w:iCs/>
    </w:rPr>
  </w:style>
  <w:style w:customStyle="1" w:styleId="QuoteChar" w:type="character">
    <w:name w:val="Quote Char"/>
    <w:link w:val="Quote"/>
    <w:uiPriority w:val="29"/>
    <w:rsid w:val="00420038"/>
    <w:rPr>
      <w:rFonts w:ascii="Open Sans" w:cs="Times New Roman" w:eastAsia="Open Sans" w:hAnsi="Open Sans"/>
      <w:i/>
      <w:iCs/>
      <w:color w:val="404040"/>
      <w:kern w:val="0"/>
      <w:lang w:val="en-US"/>
      <w14:ligatures w14:val="none"/>
    </w:rPr>
  </w:style>
  <w:style w:customStyle="1" w:styleId="s1" w:type="character">
    <w:name w:val="s1"/>
    <w:basedOn w:val="DefaultParagraphFont"/>
    <w:rsid w:val="00420038"/>
  </w:style>
  <w:style w:styleId="Strong" w:type="character">
    <w:name w:val="Strong"/>
    <w:uiPriority w:val="22"/>
    <w:qFormat/>
    <w:rsid w:val="00420038"/>
    <w:rPr>
      <w:b/>
      <w:bCs/>
    </w:rPr>
  </w:style>
  <w:style w:customStyle="1" w:styleId="Style1" w:type="paragraph">
    <w:name w:val="Style1"/>
    <w:basedOn w:val="Normal"/>
    <w:link w:val="Style1Char"/>
    <w:qFormat/>
    <w:rsid w:val="00420038"/>
    <w:pPr>
      <w:spacing w:after="60"/>
      <w:jc w:val="both"/>
    </w:pPr>
    <w:rPr>
      <w:i/>
      <w:iCs/>
      <w:color w:val="7D9086"/>
      <w:szCs w:val="36"/>
    </w:rPr>
  </w:style>
  <w:style w:customStyle="1" w:styleId="Style1Char" w:type="character">
    <w:name w:val="Style1 Char"/>
    <w:link w:val="Style1"/>
    <w:rsid w:val="00420038"/>
    <w:rPr>
      <w:rFonts w:ascii="Open Sans" w:cs="Times New Roman" w:eastAsia="Open Sans" w:hAnsi="Open Sans"/>
      <w:i/>
      <w:iCs/>
      <w:color w:val="7D9086"/>
      <w:kern w:val="0"/>
      <w:szCs w:val="36"/>
      <w:lang w:val="en-US"/>
      <w14:ligatures w14:val="none"/>
    </w:rPr>
  </w:style>
  <w:style w:customStyle="1" w:styleId="subheading" w:type="paragraph">
    <w:name w:val="subheading"/>
    <w:basedOn w:val="Style1"/>
    <w:link w:val="subheadingChar"/>
    <w:qFormat/>
    <w:rsid w:val="00420038"/>
    <w:rPr>
      <w:rFonts w:cs="Arial" w:eastAsia="Calibri"/>
      <w:b/>
      <w:bCs/>
      <w:i w:val="0"/>
      <w:iCs w:val="0"/>
      <w:color w:val="000D4B"/>
      <w:sz w:val="40"/>
      <w:szCs w:val="48"/>
    </w:rPr>
  </w:style>
  <w:style w:customStyle="1" w:styleId="subheadingChar" w:type="character">
    <w:name w:val="subheading Char"/>
    <w:link w:val="subheading"/>
    <w:rsid w:val="00420038"/>
    <w:rPr>
      <w:rFonts w:ascii="Open Sans" w:cs="Arial" w:eastAsia="Calibri" w:hAnsi="Open Sans"/>
      <w:b/>
      <w:bCs/>
      <w:color w:val="000D4B"/>
      <w:kern w:val="0"/>
      <w:sz w:val="40"/>
      <w:szCs w:val="48"/>
      <w:lang w:val="en-US"/>
      <w14:ligatures w14:val="none"/>
    </w:rPr>
  </w:style>
  <w:style w:customStyle="1" w:styleId="Sub-section" w:type="paragraph">
    <w:name w:val="Sub-section"/>
    <w:basedOn w:val="BodyText"/>
    <w:qFormat/>
    <w:rsid w:val="00420038"/>
    <w:pPr>
      <w:keepNext/>
      <w:spacing w:before="120" w:line="240" w:lineRule="auto"/>
    </w:pPr>
    <w:rPr>
      <w:rFonts w:eastAsia="Times New Roman"/>
      <w:b/>
      <w:bCs/>
      <w:szCs w:val="20"/>
    </w:rPr>
  </w:style>
  <w:style w:styleId="Subtitle" w:type="paragraph">
    <w:name w:val="Subtitle"/>
    <w:basedOn w:val="Normal"/>
    <w:next w:val="Normal"/>
    <w:link w:val="SubtitleChar"/>
    <w:rsid w:val="00420038"/>
    <w:pPr>
      <w:spacing w:after="600"/>
    </w:pPr>
    <w:rPr>
      <w:rFonts w:eastAsia="Times New Roman"/>
      <w:iCs/>
      <w:spacing w:val="13"/>
    </w:rPr>
  </w:style>
  <w:style w:customStyle="1" w:styleId="SubtitleChar" w:type="character">
    <w:name w:val="Subtitle Char"/>
    <w:link w:val="Subtitle"/>
    <w:rsid w:val="00420038"/>
    <w:rPr>
      <w:rFonts w:ascii="Open Sans" w:cs="Times New Roman" w:eastAsia="Times New Roman" w:hAnsi="Open Sans"/>
      <w:iCs/>
      <w:color w:val="404040"/>
      <w:spacing w:val="13"/>
      <w:kern w:val="0"/>
      <w:lang w:val="en-US"/>
      <w14:ligatures w14:val="none"/>
    </w:rPr>
  </w:style>
  <w:style w:styleId="SubtleEmphasis" w:type="character">
    <w:name w:val="Subtle Emphasis"/>
    <w:uiPriority w:val="19"/>
    <w:qFormat/>
    <w:rsid w:val="00420038"/>
    <w:rPr>
      <w:i/>
      <w:iCs/>
    </w:rPr>
  </w:style>
  <w:style w:styleId="SubtleReference" w:type="character">
    <w:name w:val="Subtle Reference"/>
    <w:uiPriority w:val="31"/>
    <w:rsid w:val="00420038"/>
    <w:rPr>
      <w:smallCaps/>
    </w:rPr>
  </w:style>
  <w:style w:styleId="TableGrid" w:type="table">
    <w:name w:val="Table Grid"/>
    <w:basedOn w:val="TableNormal"/>
    <w:rsid w:val="00420038"/>
    <w:pPr>
      <w:spacing w:after="0" w:line="240" w:lineRule="auto"/>
    </w:pPr>
    <w:rPr>
      <w:rFonts w:ascii="Open Sans" w:cs="Times New Roman" w:hAnsi="Open Sans"/>
      <w:kern w:val="0"/>
      <w:sz w:val="20"/>
      <w:szCs w:val="20"/>
      <w:lang w:eastAsia="en-CA"/>
      <w14:ligatures w14:val="none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1" w:type="table">
    <w:name w:val="Table Grid1"/>
    <w:basedOn w:val="TableNormal"/>
    <w:next w:val="TableGrid"/>
    <w:uiPriority w:val="59"/>
    <w:rsid w:val="00420038"/>
    <w:pPr>
      <w:spacing w:after="0" w:line="240" w:lineRule="auto"/>
    </w:pPr>
    <w:rPr>
      <w:rFonts w:ascii="Open Sans" w:cs="Times New Roman" w:eastAsia="MS Mincho" w:hAnsi="Open Sans"/>
      <w:kern w:val="0"/>
      <w:sz w:val="20"/>
      <w:szCs w:val="20"/>
      <w:lang w:eastAsia="en-CA"/>
      <w14:ligatures w14:val="none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420038"/>
    <w:pPr>
      <w:spacing w:after="0" w:line="240" w:lineRule="auto"/>
    </w:pPr>
    <w:rPr>
      <w:rFonts w:ascii="Open Sans" w:cs="Times New Roman" w:hAnsi="Open Sans"/>
      <w:kern w:val="0"/>
      <w:sz w:val="20"/>
      <w:szCs w:val="20"/>
      <w:lang w:eastAsia="en-CA"/>
      <w14:ligatures w14:val="none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3" w:type="table">
    <w:name w:val="Table Grid3"/>
    <w:basedOn w:val="TableNormal"/>
    <w:next w:val="TableGrid"/>
    <w:uiPriority w:val="59"/>
    <w:rsid w:val="00420038"/>
    <w:pPr>
      <w:spacing w:after="0" w:line="240" w:lineRule="auto"/>
    </w:pPr>
    <w:rPr>
      <w:rFonts w:ascii="Open Sans" w:cs="Times New Roman" w:hAnsi="Open Sans"/>
      <w:kern w:val="0"/>
      <w:sz w:val="22"/>
      <w:szCs w:val="20"/>
      <w:lang w:eastAsia="en-CA"/>
      <w14:ligatures w14:val="none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itelTabelleSpalteLinks" w:type="paragraph">
    <w:name w:val="Titel Tabelle Spalte Links"/>
    <w:basedOn w:val="Normal"/>
    <w:rsid w:val="00420038"/>
    <w:pPr>
      <w:spacing w:after="120" w:before="120" w:line="240" w:lineRule="auto"/>
      <w:jc w:val="right"/>
    </w:pPr>
    <w:rPr>
      <w:rFonts w:ascii="Arial" w:eastAsia="Times New Roman" w:hAnsi="Arial"/>
      <w:b/>
      <w:sz w:val="22"/>
      <w:lang w:eastAsia="de-CH" w:val="de-CH"/>
    </w:rPr>
  </w:style>
  <w:style w:styleId="Title" w:type="paragraph">
    <w:name w:val="Title"/>
    <w:basedOn w:val="Normal"/>
    <w:next w:val="Normal"/>
    <w:link w:val="TitleChar"/>
    <w:rsid w:val="00420038"/>
    <w:pPr>
      <w:spacing w:line="240" w:lineRule="auto"/>
      <w:contextualSpacing/>
    </w:pPr>
    <w:rPr>
      <w:rFonts w:eastAsia="Times New Roman"/>
      <w:b/>
      <w:color w:val="53615A"/>
      <w:spacing w:val="5"/>
      <w:sz w:val="56"/>
      <w:szCs w:val="56"/>
    </w:rPr>
  </w:style>
  <w:style w:customStyle="1" w:styleId="TitleChar" w:type="character">
    <w:name w:val="Title Char"/>
    <w:link w:val="Title"/>
    <w:rsid w:val="00420038"/>
    <w:rPr>
      <w:rFonts w:ascii="Open Sans" w:cs="Times New Roman" w:eastAsia="Times New Roman" w:hAnsi="Open Sans"/>
      <w:b/>
      <w:color w:val="53615A"/>
      <w:spacing w:val="5"/>
      <w:kern w:val="0"/>
      <w:sz w:val="72"/>
      <w:szCs w:val="5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20038"/>
    <w:pPr>
      <w:tabs>
        <w:tab w:pos="400" w:val="left"/>
        <w:tab w:leader="dot" w:pos="10070" w:val="right"/>
      </w:tabs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420038"/>
    <w:pPr>
      <w:spacing w:after="100"/>
      <w:ind w:left="200"/>
    </w:pPr>
  </w:style>
  <w:style w:styleId="TOC3" w:type="paragraph">
    <w:name w:val="toc 3"/>
    <w:basedOn w:val="Normal"/>
    <w:next w:val="Normal"/>
    <w:autoRedefine/>
    <w:uiPriority w:val="39"/>
    <w:unhideWhenUsed/>
    <w:rsid w:val="00420038"/>
    <w:pPr>
      <w:spacing w:after="100"/>
      <w:ind w:left="400"/>
    </w:pPr>
  </w:style>
  <w:style w:styleId="TOCHeading" w:type="paragraph">
    <w:name w:val="TOC Heading"/>
    <w:basedOn w:val="Heading1"/>
    <w:next w:val="Normal"/>
    <w:uiPriority w:val="39"/>
    <w:unhideWhenUsed/>
    <w:qFormat/>
    <w:rsid w:val="00420038"/>
    <w:pPr>
      <w:spacing w:after="240"/>
      <w:outlineLvl w:val="9"/>
    </w:pPr>
    <w:rPr>
      <w:lang w:bidi="en-US"/>
    </w:rPr>
  </w:style>
  <w:style w:styleId="UnresolvedMention" w:type="character">
    <w:name w:val="Unresolved Mention"/>
    <w:uiPriority w:val="99"/>
    <w:semiHidden/>
    <w:unhideWhenUsed/>
    <w:rsid w:val="00420038"/>
    <w:rPr>
      <w:color w:val="605E5C"/>
      <w:shd w:color="auto" w:fill="E1DFDD" w:val="clear"/>
    </w:rPr>
  </w:style>
  <w:style w:customStyle="1" w:styleId="whitetitle" w:type="paragraph">
    <w:name w:val="white_title"/>
    <w:basedOn w:val="Title"/>
    <w:link w:val="whitetitleChar"/>
    <w:qFormat/>
    <w:rsid w:val="00420038"/>
    <w:rPr>
      <w:color w:val="FFFFFF"/>
      <w:szCs w:val="96"/>
    </w:rPr>
  </w:style>
  <w:style w:customStyle="1" w:styleId="whitetitleChar" w:type="character">
    <w:name w:val="white_title Char"/>
    <w:link w:val="whitetitle"/>
    <w:rsid w:val="00420038"/>
    <w:rPr>
      <w:rFonts w:ascii="Open Sans" w:cs="Times New Roman" w:eastAsia="Times New Roman" w:hAnsi="Open Sans"/>
      <w:b/>
      <w:color w:val="FFFFFF"/>
      <w:spacing w:val="5"/>
      <w:kern w:val="0"/>
      <w:sz w:val="56"/>
      <w:szCs w:val="96"/>
      <w:lang w:val="en-US"/>
      <w14:ligatures w14:val="none"/>
    </w:rPr>
  </w:style>
  <w:style w:customStyle="1" w:styleId="whitesubtitle" w:type="paragraph">
    <w:name w:val="white_subtitle"/>
    <w:basedOn w:val="whitetitle"/>
    <w:link w:val="whitesubtitleChar"/>
    <w:qFormat/>
    <w:rsid w:val="00420038"/>
    <w:rPr>
      <w:sz w:val="36"/>
      <w:szCs w:val="44"/>
    </w:rPr>
  </w:style>
  <w:style w:customStyle="1" w:styleId="whitesubtitleChar" w:type="character">
    <w:name w:val="white_subtitle Char"/>
    <w:link w:val="whitesubtitle"/>
    <w:rsid w:val="00420038"/>
    <w:rPr>
      <w:rFonts w:ascii="Open Sans" w:cs="Times New Roman" w:eastAsia="Times New Roman" w:hAnsi="Open Sans"/>
      <w:b/>
      <w:color w:val="FFFFFF"/>
      <w:spacing w:val="5"/>
      <w:kern w:val="0"/>
      <w:sz w:val="36"/>
      <w:szCs w:val="44"/>
      <w:lang w:val="en-US"/>
      <w14:ligatures w14:val="none"/>
    </w:rPr>
  </w:style>
  <w:style w:customStyle="1" w:styleId="SourceCode" w:type="paragraph">
    <w:name w:val="Source Code"/>
    <w:basedOn w:val="Normal"/>
    <w:pPr>
      <w:shd w:color="auto" w:fill="F8F8F8" w:val="clear"/>
      <w:wordWrap w:val="0"/>
    </w:pPr>
  </w:style>
  <w:style w:customStyle="1" w:styleId="KeywordTok" w:type="character">
    <w:name w:val="KeywordTok"/>
    <w:rPr>
      <w:b/>
      <w:color w:val="204A87"/>
      <w:shd w:color="auto" w:fill="F8F8F8" w:val="clear"/>
    </w:rPr>
  </w:style>
  <w:style w:customStyle="1" w:styleId="DataTypeTok" w:type="character">
    <w:name w:val="DataTypeTok"/>
    <w:rPr>
      <w:color w:val="204A87"/>
      <w:shd w:color="auto" w:fill="F8F8F8" w:val="clear"/>
    </w:rPr>
  </w:style>
  <w:style w:customStyle="1" w:styleId="DecValTok" w:type="character">
    <w:name w:val="DecValTok"/>
    <w:rPr>
      <w:color w:val="0000CF"/>
      <w:shd w:color="auto" w:fill="F8F8F8" w:val="clear"/>
    </w:rPr>
  </w:style>
  <w:style w:customStyle="1" w:styleId="BaseNTok" w:type="character">
    <w:name w:val="BaseNTok"/>
    <w:rPr>
      <w:color w:val="0000CF"/>
      <w:shd w:color="auto" w:fill="F8F8F8" w:val="clear"/>
    </w:rPr>
  </w:style>
  <w:style w:customStyle="1" w:styleId="FloatTok" w:type="character">
    <w:name w:val="FloatTok"/>
    <w:rPr>
      <w:color w:val="0000CF"/>
      <w:shd w:color="auto" w:fill="F8F8F8" w:val="clear"/>
    </w:rPr>
  </w:style>
  <w:style w:customStyle="1" w:styleId="ConstantTok" w:type="character">
    <w:name w:val="ConstantTok"/>
    <w:rPr>
      <w:color w:val="8F5902"/>
      <w:shd w:color="auto" w:fill="F8F8F8" w:val="clear"/>
    </w:rPr>
  </w:style>
  <w:style w:customStyle="1" w:styleId="CharTok" w:type="character">
    <w:name w:val="CharTok"/>
    <w:rPr>
      <w:color w:val="4E9A06"/>
      <w:shd w:color="auto" w:fill="F8F8F8" w:val="clear"/>
    </w:rPr>
  </w:style>
  <w:style w:customStyle="1" w:styleId="SpecialCharTok" w:type="character">
    <w:name w:val="SpecialCharTok"/>
    <w:rPr>
      <w:b/>
      <w:color w:val="CE5C00"/>
      <w:shd w:color="auto" w:fill="F8F8F8" w:val="clear"/>
    </w:rPr>
  </w:style>
  <w:style w:customStyle="1" w:styleId="StringTok" w:type="character">
    <w:name w:val="StringTok"/>
    <w:rPr>
      <w:color w:val="4E9A06"/>
      <w:shd w:color="auto" w:fill="F8F8F8" w:val="clear"/>
    </w:rPr>
  </w:style>
  <w:style w:customStyle="1" w:styleId="VerbatimStringTok" w:type="character">
    <w:name w:val="VerbatimStringTok"/>
    <w:rPr>
      <w:color w:val="4E9A06"/>
      <w:shd w:color="auto" w:fill="F8F8F8" w:val="clear"/>
    </w:rPr>
  </w:style>
  <w:style w:customStyle="1" w:styleId="SpecialStringTok" w:type="character">
    <w:name w:val="SpecialStringTok"/>
    <w:rPr>
      <w:color w:val="4E9A06"/>
      <w:shd w:color="auto" w:fill="F8F8F8" w:val="clear"/>
    </w:rPr>
  </w:style>
  <w:style w:customStyle="1" w:styleId="ImportTok" w:type="character">
    <w:name w:val="ImportTok"/>
    <w:rPr>
      <w:shd w:color="auto" w:fill="F8F8F8" w:val="clear"/>
    </w:rPr>
  </w:style>
  <w:style w:customStyle="1" w:styleId="CommentTok" w:type="character">
    <w:name w:val="CommentTok"/>
    <w:rPr>
      <w:i/>
      <w:color w:val="8F5902"/>
      <w:shd w:color="auto" w:fill="F8F8F8" w:val="clear"/>
    </w:rPr>
  </w:style>
  <w:style w:customStyle="1" w:styleId="DocumentationTok" w:type="character">
    <w:name w:val="DocumentationTok"/>
    <w:rPr>
      <w:b/>
      <w:i/>
      <w:color w:val="8F5902"/>
      <w:shd w:color="auto" w:fill="F8F8F8" w:val="clear"/>
    </w:rPr>
  </w:style>
  <w:style w:customStyle="1" w:styleId="AnnotationTok" w:type="character">
    <w:name w:val="AnnotationTok"/>
    <w:rPr>
      <w:b/>
      <w:i/>
      <w:color w:val="8F5902"/>
      <w:shd w:color="auto" w:fill="F8F8F8" w:val="clear"/>
    </w:rPr>
  </w:style>
  <w:style w:customStyle="1" w:styleId="CommentVarTok" w:type="character">
    <w:name w:val="CommentVarTok"/>
    <w:rPr>
      <w:b/>
      <w:i/>
      <w:color w:val="8F5902"/>
      <w:shd w:color="auto" w:fill="F8F8F8" w:val="clear"/>
    </w:rPr>
  </w:style>
  <w:style w:customStyle="1" w:styleId="OtherTok" w:type="character">
    <w:name w:val="OtherTok"/>
    <w:rPr>
      <w:color w:val="8F5902"/>
      <w:shd w:color="auto" w:fill="F8F8F8" w:val="clear"/>
    </w:rPr>
  </w:style>
  <w:style w:customStyle="1" w:styleId="FunctionTok" w:type="character">
    <w:name w:val="FunctionTok"/>
    <w:rPr>
      <w:b/>
      <w:color w:val="204A87"/>
      <w:shd w:color="auto" w:fill="F8F8F8" w:val="clear"/>
    </w:rPr>
  </w:style>
  <w:style w:customStyle="1" w:styleId="VariableTok" w:type="character">
    <w:name w:val="VariableTok"/>
    <w:rPr>
      <w:color w:val="000000"/>
      <w:shd w:color="auto" w:fill="F8F8F8" w:val="clear"/>
    </w:rPr>
  </w:style>
  <w:style w:customStyle="1" w:styleId="ControlFlowTok" w:type="character">
    <w:name w:val="ControlFlowTok"/>
    <w:rPr>
      <w:b/>
      <w:color w:val="204A87"/>
      <w:shd w:color="auto" w:fill="F8F8F8" w:val="clear"/>
    </w:rPr>
  </w:style>
  <w:style w:customStyle="1" w:styleId="OperatorTok" w:type="character">
    <w:name w:val="OperatorTok"/>
    <w:rPr>
      <w:b/>
      <w:color w:val="CE5C00"/>
      <w:shd w:color="auto" w:fill="F8F8F8" w:val="clear"/>
    </w:rPr>
  </w:style>
  <w:style w:customStyle="1" w:styleId="BuiltInTok" w:type="character">
    <w:name w:val="BuiltInTok"/>
    <w:rPr>
      <w:shd w:color="auto" w:fill="F8F8F8" w:val="clear"/>
    </w:rPr>
  </w:style>
  <w:style w:customStyle="1" w:styleId="ExtensionTok" w:type="character">
    <w:name w:val="ExtensionTok"/>
    <w:rPr>
      <w:shd w:color="auto" w:fill="F8F8F8" w:val="clear"/>
    </w:rPr>
  </w:style>
  <w:style w:customStyle="1" w:styleId="PreprocessorTok" w:type="character">
    <w:name w:val="PreprocessorTok"/>
    <w:rPr>
      <w:i/>
      <w:color w:val="8F5902"/>
      <w:shd w:color="auto" w:fill="F8F8F8" w:val="clear"/>
    </w:rPr>
  </w:style>
  <w:style w:customStyle="1" w:styleId="AttributeTok" w:type="character">
    <w:name w:val="AttributeTok"/>
    <w:rPr>
      <w:color w:val="204A87"/>
      <w:shd w:color="auto" w:fill="F8F8F8" w:val="clear"/>
    </w:rPr>
  </w:style>
  <w:style w:customStyle="1" w:styleId="RegionMarkerTok" w:type="character">
    <w:name w:val="RegionMarkerTok"/>
    <w:rPr>
      <w:shd w:color="auto" w:fill="F8F8F8" w:val="clear"/>
    </w:rPr>
  </w:style>
  <w:style w:customStyle="1" w:styleId="InformationTok" w:type="character">
    <w:name w:val="InformationTok"/>
    <w:rPr>
      <w:b/>
      <w:i/>
      <w:color w:val="8F5902"/>
      <w:shd w:color="auto" w:fill="F8F8F8" w:val="clear"/>
    </w:rPr>
  </w:style>
  <w:style w:customStyle="1" w:styleId="WarningTok" w:type="character">
    <w:name w:val="WarningTok"/>
    <w:rPr>
      <w:b/>
      <w:i/>
      <w:color w:val="8F5902"/>
      <w:shd w:color="auto" w:fill="F8F8F8" w:val="clear"/>
    </w:rPr>
  </w:style>
  <w:style w:customStyle="1" w:styleId="AlertTok" w:type="character">
    <w:name w:val="AlertTok"/>
    <w:rPr>
      <w:color w:val="EF2929"/>
      <w:shd w:color="auto" w:fill="F8F8F8" w:val="clear"/>
    </w:rPr>
  </w:style>
  <w:style w:customStyle="1" w:styleId="ErrorTok" w:type="character">
    <w:name w:val="ErrorTok"/>
    <w:rPr>
      <w:b/>
      <w:color w:val="A40000"/>
      <w:shd w:color="auto" w:fill="F8F8F8" w:val="clear"/>
    </w:rPr>
  </w:style>
  <w:style w:customStyle="1" w:styleId="NormalTok" w:type="character">
    <w:name w:val="NormalTok"/>
    <w:rPr>
      <w:shd w:color="auto" w:fill="F8F8F8" w:val="clear"/>
    </w:rPr>
  </w:style>
  <w:style w:customStyle="1" w:styleId="Head" w:type="paragraph">
    <w:name w:val="Head"/>
    <w:basedOn w:val="Heading3"/>
    <w:qFormat/>
    <w:rsid w:val="00045889"/>
    <w:pPr>
      <w:numPr>
        <w:ilvl w:val="0"/>
        <w:numId w:val="0"/>
      </w:numPr>
      <w:spacing w:before="240"/>
    </w:pPr>
    <w:rPr>
      <w:sz w:val="30"/>
      <w:szCs w:val="30"/>
    </w:rPr>
  </w:style>
  <w:style w:customStyle="1" w:styleId="Section" w:type="paragraph">
    <w:name w:val="Section"/>
    <w:basedOn w:val="Normal"/>
    <w:qFormat/>
    <w:rsid w:val="00E139B2"/>
    <w:pPr>
      <w:keepNext/>
      <w:spacing w:before="160"/>
    </w:pPr>
    <w:rPr>
      <w:b/>
      <w:bCs/>
    </w:rPr>
  </w:style>
  <w:style w:styleId="Revision" w:type="paragraph">
    <w:name w:val="Revision"/>
    <w:hidden/>
    <w:uiPriority w:val="99"/>
    <w:semiHidden/>
    <w:rsid w:val="00A730A7"/>
    <w:pPr>
      <w:spacing w:after="0" w:line="240" w:lineRule="auto"/>
    </w:pPr>
    <w:rPr>
      <w:rFonts w:ascii="Open Sans" w:cs="Times New Roman" w:hAnsi="Open Sans"/>
      <w:color w:val="404040"/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8" Target="header1.xml" Type="http://schemas.openxmlformats.org/officeDocument/2006/relationships/header" /><Relationship Id="rId7" Target="media/image1.png" Type="http://schemas.openxmlformats.org/officeDocument/2006/relationships/image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1</Pages>
  <Words>680</Words>
  <Characters>3881</Characters>
  <Application>Microsoft Office Word</Application>
  <DocSecurity>4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Waabanong Weekly Iteration Update</vt:lpstr>
    </vt:vector>
  </TitlesOfParts>
  <Company/>
  <LinksUpToDate>false</LinksUpToDate>
  <CharactersWithSpaces>4552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2026-06-26T14:45:22Z</dcterms:created>
  <dcterms:modified xsi:type="dcterms:W3CDTF">2026-06-26T14:45:22Z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