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Status Report — Custom-CMS</w:t>
      </w:r>
    </w:p>
    <w:p>
      <w:pPr>
        <w:pStyle w:val="Subtitle"/>
      </w:pPr>
      <w:r>
        <w:t xml:space="preserve">Reporting Period: 2026-W31 · 2026-07-17 to 2026-07-23</w:t>
      </w:r>
    </w:p>
    <w:p>
      <w:pPr>
        <w:pStyle w:val="Author"/>
      </w:pPr>
      <w:r>
        <w:t xml:space="preserve">Marcus Morrisey</w:t>
      </w:r>
    </w:p>
    <w:p>
      <w:pPr>
        <w:pStyle w:val="Date"/>
      </w:pPr>
      <w:r>
        <w:t xml:space="preserve">2026-07-23</w:t>
      </w:r>
    </w:p>
    <w:bookmarkStart w:id="39" w:name="project-status-report"/>
    <w:p>
      <w:pPr>
        <w:pStyle w:val="Heading1"/>
      </w:pPr>
      <w:r>
        <w:t xml:space="preserve">Project Status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PCFS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Custom-CMS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Docket #</w:t>
            </w:r>
          </w:p>
        </w:tc>
        <w:tc>
          <w:tcPr/>
          <w:p>
            <w:pPr>
              <w:pStyle w:val="Compact"/>
            </w:pPr>
            <w:r>
              <w:t xml:space="preserve">PD25-1186-CO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Marcus Morrisey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Date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2025-11-17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Finish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Finish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</w:tr>
    </w:tbl>
    <w:bookmarkStart w:id="17" w:name="health-dashboard"/>
    <w:p>
      <w:pPr>
        <w:pStyle w:val="Heading2"/>
      </w:pPr>
      <w:r>
        <w:t xml:space="preserve">Health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Health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Client’s Feeling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bookmarkEnd w:id="17"/>
    <w:bookmarkStart w:id="18" w:name="project-status-dates"/>
    <w:p>
      <w:pPr>
        <w:pStyle w:val="Heading2"/>
      </w:pPr>
      <w:r>
        <w:t xml:space="preserve">Project Status &amp; Dates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The team iterated on the data migration/cutover plan this period — circulated for review July 17, revised per Rob’s feedback July 21–22 — while case file functionality was opened early to unblock UAT scenarios that depend on an existing open case. A new cost signal emerged: Rob flagged that FAMCare’s database structure is unusually poor quality and may require a change request and contingency-budget spend to build reliable migration scripts. Client engagement was notably positive this period — Ross and team were cooperative and accommodating despite a busy Treaty Days week, a welcome contrast to the capacity pushback seen last period.</w:t>
      </w:r>
    </w:p>
    <w:p>
      <w:pPr>
        <w:pStyle w:val="BodyText"/>
      </w:pPr>
      <w:r>
        <w:rPr>
          <w:b/>
          <w:bCs/>
        </w:rPr>
        <w:t xml:space="preserve">Variance:</w:t>
      </w:r>
      <w:r>
        <w:t xml:space="preserve"> </w:t>
      </w:r>
      <w:r>
        <w:t xml:space="preserve">Planned finish 2026-03-31 → Estimated finish 2026-07-31 (+122 days)</w:t>
      </w:r>
    </w:p>
    <w:bookmarkEnd w:id="18"/>
    <w:bookmarkStart w:id="19" w:name="progress-this-period"/>
    <w:p>
      <w:pPr>
        <w:pStyle w:val="Heading2"/>
      </w:pPr>
      <w:r>
        <w:t xml:space="preserve">Progress This Period</w:t>
      </w:r>
    </w:p>
    <w:p>
      <w:pPr>
        <w:pStyle w:val="Compact"/>
        <w:numPr>
          <w:ilvl w:val="0"/>
          <w:numId w:val="1001"/>
        </w:numPr>
      </w:pPr>
      <w:r>
        <w:t xml:space="preserve">Data migration/cutover plan (2-page brief) drafted and circulated to Varun, Gabrielle, and Rob for review (July 17); revised per Rob’s feedback and recirculated (July 22).</w:t>
      </w:r>
    </w:p>
    <w:p>
      <w:pPr>
        <w:pStyle w:val="Compact"/>
        <w:numPr>
          <w:ilvl w:val="0"/>
          <w:numId w:val="1001"/>
        </w:numPr>
      </w:pPr>
      <w:r>
        <w:t xml:space="preserve">Case file functionality opened ahead of schedule so Ross’s team can test intake scenarios that depend on an existing open case.</w:t>
      </w:r>
    </w:p>
    <w:bookmarkEnd w:id="19"/>
    <w:bookmarkStart w:id="23" w:name="milestones-schedule"/>
    <w:p>
      <w:pPr>
        <w:pStyle w:val="Heading2"/>
      </w:pPr>
      <w:r>
        <w:t xml:space="preserve">Milestones &amp;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806"/>
        <w:gridCol w:w="2084"/>
        <w:gridCol w:w="1111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Baseline End</w:t>
            </w:r>
          </w:p>
        </w:tc>
        <w:tc>
          <w:tcPr/>
          <w:p>
            <w:pPr>
              <w:pStyle w:val="Compact"/>
            </w:pPr>
            <w:r>
              <w:t xml:space="preserve">Estimated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M-01: Stage 1 — Discovery and Requirements complete</w:t>
            </w:r>
          </w:p>
        </w:tc>
        <w:tc>
          <w:tcPr/>
          <w:p>
            <w:pPr>
              <w:pStyle w:val="Compact"/>
            </w:pPr>
            <w:r>
              <w:t xml:space="preserve">2025-12-22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M-02: Stage 2 — Solution Design complete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+54d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M-03: Stage 3 — All 9 iterations complete / system ready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+116d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M-04: Go-Live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+122d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M-05: Stage 4 — Post-launch support complete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+120d</w:t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943600" cy="270789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026-W31_files/figure-docx/mermaid-fig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3"/>
    <w:bookmarkStart w:id="24" w:name="decisions-made"/>
    <w:p>
      <w:pPr>
        <w:pStyle w:val="Heading2"/>
      </w:pPr>
      <w:r>
        <w:t xml:space="preserve">Decisions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Access-control testing item dropped from the cutover plan</w:t>
            </w:r>
          </w:p>
        </w:tc>
        <w:tc>
          <w:tcPr/>
          <w:p>
            <w:pPr>
              <w:pStyle w:val="Compact"/>
            </w:pPr>
            <w:r>
              <w:t xml:space="preserve">Marcus / Rob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  <w:tc>
          <w:tcPr/>
          <w:p>
            <w:pPr>
              <w:pStyle w:val="Compact"/>
            </w:pPr>
            <w:r>
              <w:t xml:space="preserve">Rob suggested removing it; Marcus agreed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test retained in the cutover plan despite Rob’s suggestion to drop it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  <w:tc>
          <w:tcPr/>
          <w:p>
            <w:pPr>
              <w:pStyle w:val="Compact"/>
            </w:pPr>
            <w:r>
              <w:t xml:space="preserve">Ross specifically requested it; Marcus flagged this to Rob rather than unilaterally removing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FamCare will remain accessible (not read-only) for a few months post-cutover, for historical lookups</w:t>
            </w:r>
          </w:p>
        </w:tc>
        <w:tc>
          <w:tcPr/>
          <w:p>
            <w:pPr>
              <w:pStyle w:val="Compact"/>
            </w:pPr>
            <w:r>
              <w:t xml:space="preserve">Rob / Marcus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IDFusion has no access to make FamCare read-only regardless; this will be communicated as an internal message to PCFS staff instead</w:t>
            </w:r>
          </w:p>
        </w:tc>
      </w:tr>
    </w:tbl>
    <w:bookmarkEnd w:id="24"/>
    <w:bookmarkStart w:id="28" w:name="action-items-commitments"/>
    <w:p>
      <w:pPr>
        <w:pStyle w:val="Heading2"/>
      </w:pPr>
      <w:r>
        <w:t xml:space="preserve">Action Items &amp; Commitments</w:t>
      </w:r>
    </w:p>
    <w:bookmarkStart w:id="25" w:name="new-this-period"/>
    <w:p>
      <w:pPr>
        <w:pStyle w:val="Heading3"/>
      </w:pPr>
      <w:r>
        <w:t xml:space="preserve">New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630"/>
        <w:gridCol w:w="1397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A-209</w:t>
            </w:r>
          </w:p>
        </w:tc>
        <w:tc>
          <w:tcPr/>
          <w:p>
            <w:pPr>
              <w:pStyle w:val="Compact"/>
            </w:pPr>
            <w:r>
              <w:t xml:space="preserve">Varun</w:t>
            </w:r>
          </w:p>
        </w:tc>
        <w:tc>
          <w:tcPr/>
          <w:p>
            <w:pPr>
              <w:pStyle w:val="Compact"/>
            </w:pPr>
            <w:r>
              <w:t xml:space="preserve">Review the revised data migration/cutover plan; confirm test-environment access and whether PHP needs to be installed there for migration scripts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A-210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Reconcile signed-SOW status with Rob — a signed copy was already sent to Ross on Jul 15; confirm with Rob/Ross that a copy is on file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A-211</w:t>
            </w:r>
          </w:p>
        </w:tc>
        <w:tc>
          <w:tcPr/>
          <w:p>
            <w:pPr>
              <w:pStyle w:val="Compact"/>
            </w:pPr>
            <w:r>
              <w:t xml:space="preserve">Gabrielle / Ross</w:t>
            </w:r>
          </w:p>
        </w:tc>
        <w:tc>
          <w:tcPr/>
          <w:p>
            <w:pPr>
              <w:pStyle w:val="Compact"/>
            </w:pPr>
            <w:r>
              <w:t xml:space="preserve">Hold the case management module UAT walkthrough (targeting Fri Jul 24 or the following Monday) to formally kick off case file UAT; expand the testing pool with additional service delivery staff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A-212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Review the finance process for ongoing services with Ross’s team (session planned Jul 23)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A-213</w:t>
            </w:r>
          </w:p>
        </w:tc>
        <w:tc>
          <w:tcPr/>
          <w:p>
            <w:pPr>
              <w:pStyle w:val="Compact"/>
            </w:pPr>
            <w:r>
              <w:t xml:space="preserve">Marcus / Rob</w:t>
            </w:r>
          </w:p>
        </w:tc>
        <w:tc>
          <w:tcPr/>
          <w:p>
            <w:pPr>
              <w:pStyle w:val="Compact"/>
            </w:pPr>
            <w:r>
              <w:t xml:space="preserve">Assess whether a change request and contingency budget are needed to handle FAMCare’s database structure during migration scripting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25"/>
    <w:bookmarkStart w:id="26" w:name="changed-this-period"/>
    <w:p>
      <w:pPr>
        <w:pStyle w:val="Heading3"/>
      </w:pPr>
      <w:r>
        <w:t xml:space="preserve">Changed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1131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Compile and send Ross a consolidated go-live readiness update covering: training-video documentation scope/approach, go-live order-of-operations/timeline, switch-over/AMS support agreement details, and next-priority roadmap planning (events, Community Circle of Care)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Internally discussed/drafted (Jul 17 recap email) but not yet sent to Ross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A-206</w:t>
            </w:r>
          </w:p>
        </w:tc>
        <w:tc>
          <w:tcPr/>
          <w:p>
            <w:pPr>
              <w:pStyle w:val="Compact"/>
            </w:pPr>
            <w:r>
              <w:t xml:space="preserve">Ross / Varun</w:t>
            </w:r>
          </w:p>
        </w:tc>
        <w:tc>
          <w:tcPr/>
          <w:p>
            <w:pPr>
              <w:pStyle w:val="Compact"/>
            </w:pPr>
            <w:r>
              <w:t xml:space="preserve">Schedule pre-go-live stress test (simultaneous login load test) as part of go-live activities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Reconfirmed as a firm Ross request during cutover-plan review (Jul 21–22); not yet scheduled</w:t>
            </w:r>
          </w:p>
        </w:tc>
      </w:tr>
    </w:tbl>
    <w:bookmarkEnd w:id="26"/>
    <w:bookmarkStart w:id="27" w:name="carried-forward-no-change"/>
    <w:p>
      <w:pPr>
        <w:pStyle w:val="Heading3"/>
      </w:pPr>
      <w:r>
        <w:t xml:space="preserve">Carried Forward (No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969"/>
        <w:gridCol w:w="1616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Periods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A-104</w:t>
            </w:r>
          </w:p>
        </w:tc>
        <w:tc>
          <w:tcPr/>
          <w:p>
            <w:pPr>
              <w:pStyle w:val="Compact"/>
            </w:pPr>
            <w:r>
              <w:t xml:space="preserve">Christine</w:t>
            </w:r>
          </w:p>
        </w:tc>
        <w:tc>
          <w:tcPr/>
          <w:p>
            <w:pPr>
              <w:pStyle w:val="Compact"/>
            </w:pPr>
            <w:r>
              <w:t xml:space="preserve">Consult Kinship department and QA to ensure licensing and placement info accurately represented in system design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A-118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Design and implement finance dashboard; GL mapping, PO flow, and summary view confirmed in June 19 session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A-127</w:t>
            </w:r>
          </w:p>
        </w:tc>
        <w:tc>
          <w:tcPr/>
          <w:p>
            <w:pPr>
              <w:pStyle w:val="Compact"/>
            </w:pPr>
            <w:r>
              <w:t xml:space="preserve">Christine / Clemene / Marcus</w:t>
            </w:r>
          </w:p>
        </w:tc>
        <w:tc>
          <w:tcPr/>
          <w:p>
            <w:pPr>
              <w:pStyle w:val="Compact"/>
            </w:pPr>
            <w:r>
              <w:t xml:space="preserve">Provide IDFusion with complete list and definitions of all legal terms used by agency, then cross-reference agency law/regulations with system terminology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A-129</w:t>
            </w:r>
          </w:p>
        </w:tc>
        <w:tc>
          <w:tcPr/>
          <w:p>
            <w:pPr>
              <w:pStyle w:val="Compact"/>
            </w:pPr>
            <w:r>
              <w:t xml:space="preserve">IDFusion / Kelvin</w:t>
            </w:r>
          </w:p>
        </w:tc>
        <w:tc>
          <w:tcPr/>
          <w:p>
            <w:pPr>
              <w:pStyle w:val="Compact"/>
            </w:pPr>
            <w:r>
              <w:t xml:space="preserve">Set up alpha testing access for Kelvin, Christine, and Darryl; formal sign-off procedure still pending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A-130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Translate project timeline into Outlook calendar invites for key testing/review milestones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A-131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Implement Apr 13 demo feedback items (footer, gender options, profile types, abuse tab, address history, etc.)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A-135</w:t>
            </w:r>
          </w:p>
        </w:tc>
        <w:tc>
          <w:tcPr/>
          <w:p>
            <w:pPr>
              <w:pStyle w:val="Compact"/>
            </w:pPr>
            <w:r>
              <w:t xml:space="preserve">IDFusion / Rob / Ross</w:t>
            </w:r>
          </w:p>
        </w:tc>
        <w:tc>
          <w:tcPr/>
          <w:p>
            <w:pPr>
              <w:pStyle w:val="Compact"/>
            </w:pPr>
            <w:r>
              <w:t xml:space="preserve">Define post-go-live support tiers (bronze/silver/gold) and SLAs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A-136</w:t>
            </w:r>
          </w:p>
        </w:tc>
        <w:tc>
          <w:tcPr/>
          <w:p>
            <w:pPr>
              <w:pStyle w:val="Compact"/>
            </w:pPr>
            <w:r>
              <w:t xml:space="preserve">Bev / Christine / Barry / Clemene</w:t>
            </w:r>
          </w:p>
        </w:tc>
        <w:tc>
          <w:tcPr/>
          <w:p>
            <w:pPr>
              <w:pStyle w:val="Compact"/>
            </w:pPr>
            <w:r>
              <w:t xml:space="preserve">Send all finance templates and forms; RBC bank export column headers still needed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A-150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finance PO workflow wireframes and finance tab filter/column changes from Jul 3 review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A-151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Redesign abuse module as intake-form wizard per May 11 reset decision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A-152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Implement global holiday calendar in Wabanong system settings for SLA calculations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A-153</w:t>
            </w:r>
          </w:p>
        </w:tc>
        <w:tc>
          <w:tcPr/>
          <w:p>
            <w:pPr>
              <w:pStyle w:val="Compact"/>
            </w:pPr>
            <w:r>
              <w:t xml:space="preserve">Kelvin (PCFS)</w:t>
            </w:r>
          </w:p>
        </w:tc>
        <w:tc>
          <w:tcPr/>
          <w:p>
            <w:pPr>
              <w:pStyle w:val="Compact"/>
            </w:pPr>
            <w:r>
              <w:t xml:space="preserve">Send finalized abuse investigation conclusion terminology; provide provincial abuse form fields for copy-assist mapping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A-155</w:t>
            </w:r>
          </w:p>
        </w:tc>
        <w:tc>
          <w:tcPr/>
          <w:p>
            <w:pPr>
              <w:pStyle w:val="Compact"/>
            </w:pPr>
            <w:r>
              <w:t xml:space="preserve">Marcus / Darryl Boulanger (PCFS)</w:t>
            </w:r>
          </w:p>
        </w:tc>
        <w:tc>
          <w:tcPr/>
          <w:p>
            <w:pPr>
              <w:pStyle w:val="Compact"/>
            </w:pPr>
            <w:r>
              <w:t xml:space="preserve">Follow up re: missing Manitoba CFS Act abuse issue categories for intake form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Clarify how</w:t>
            </w:r>
            <w:r>
              <w:t xml:space="preserve"> </w:t>
            </w:r>
            <w:r>
              <w:t xml:space="preserve">“parenting time”</w:t>
            </w:r>
            <w:r>
              <w:t xml:space="preserve"> </w:t>
            </w:r>
            <w:r>
              <w:t xml:space="preserve">is determined for case anchoring (both parents Peguis members)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A-157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ongoing services wireframes; schedule follow-up review with CRD team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A-160</w:t>
            </w:r>
          </w:p>
        </w:tc>
        <w:tc>
          <w:tcPr/>
          <w:p>
            <w:pPr>
              <w:pStyle w:val="Compact"/>
            </w:pPr>
            <w:r>
              <w:t xml:space="preserve">Ross (IDFusion)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  <w:r>
              <w:t xml:space="preserve"> </w:t>
            </w:r>
            <w:r>
              <w:t xml:space="preserve">“Finance Assigner”</w:t>
            </w:r>
            <w:r>
              <w:t xml:space="preserve"> </w:t>
            </w:r>
            <w:r>
              <w:t xml:space="preserve">role: queue visibility and task assignment capabilities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A-171</w:t>
            </w:r>
          </w:p>
        </w:tc>
        <w:tc>
          <w:tcPr/>
          <w:p>
            <w:pPr>
              <w:pStyle w:val="Compact"/>
            </w:pPr>
            <w:r>
              <w:t xml:space="preserve">Marcus (Rob)</w:t>
            </w:r>
          </w:p>
        </w:tc>
        <w:tc>
          <w:tcPr/>
          <w:p>
            <w:pPr>
              <w:pStyle w:val="Compact"/>
            </w:pPr>
            <w:r>
              <w:t xml:space="preserve">Send updated PCFS status report: revised July go-live, abuse as separate iteration, updated meeting cadence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Clarify which budget pool covers intake-related purchases (operations vs. prevention/family service)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A-177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Implement dual supervisor task assignment in intake task modal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A-178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Add optional case synopsis/summary field at end of intake form; carry over to case file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A-179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Submit development ticket for issue categories expansion to full CFIS list — go-live blocker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A-180</w:t>
            </w:r>
          </w:p>
        </w:tc>
        <w:tc>
          <w:tcPr/>
          <w:p>
            <w:pPr>
              <w:pStyle w:val="Compact"/>
            </w:pPr>
            <w:r>
              <w:t xml:space="preserve">Ross / Darryl</w:t>
            </w:r>
          </w:p>
        </w:tc>
        <w:tc>
          <w:tcPr/>
          <w:p>
            <w:pPr>
              <w:pStyle w:val="Compact"/>
            </w:pPr>
            <w:r>
              <w:t xml:space="preserve">Schedule follow-up intake practice run sessions; coordinate with Marcus/Gabrielle for follow-up reviews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A-181</w:t>
            </w:r>
          </w:p>
        </w:tc>
        <w:tc>
          <w:tcPr/>
          <w:p>
            <w:pPr>
              <w:pStyle w:val="Compact"/>
            </w:pPr>
            <w:r>
              <w:t xml:space="preserve">Ross / Gabrielle / Marcus</w:t>
            </w:r>
          </w:p>
        </w:tc>
        <w:tc>
          <w:tcPr/>
          <w:p>
            <w:pPr>
              <w:pStyle w:val="Compact"/>
            </w:pPr>
            <w:r>
              <w:t xml:space="preserve">Define and implement intake supervisor finance permissions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Activate UAT accounts for newly added team members; send UAT session summary to June 16 participants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A-184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Create/confirm bug ticket for</w:t>
            </w:r>
            <w:r>
              <w:t xml:space="preserve"> </w:t>
            </w:r>
            <w:r>
              <w:t xml:space="preserve">“open services”</w:t>
            </w:r>
            <w:r>
              <w:t xml:space="preserve"> </w:t>
            </w:r>
            <w:r>
              <w:t xml:space="preserve">not showing in person search results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A-187</w:t>
            </w:r>
          </w:p>
        </w:tc>
        <w:tc>
          <w:tcPr/>
          <w:p>
            <w:pPr>
              <w:pStyle w:val="Compact"/>
            </w:pPr>
            <w:r>
              <w:t xml:space="preserve">Rob / Marcus / Gabrielle</w:t>
            </w:r>
          </w:p>
        </w:tc>
        <w:tc>
          <w:tcPr/>
          <w:p>
            <w:pPr>
              <w:pStyle w:val="Compact"/>
            </w:pPr>
            <w:r>
              <w:t xml:space="preserve">Review all shared finance documentation; compile requirements summary and schedule follow-up finance design session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A-189</w:t>
            </w:r>
          </w:p>
        </w:tc>
        <w:tc>
          <w:tcPr/>
          <w:p>
            <w:pPr>
              <w:pStyle w:val="Compact"/>
            </w:pPr>
            <w:r>
              <w:t xml:space="preserve">Marcus / Ross / Varun</w:t>
            </w:r>
          </w:p>
        </w:tc>
        <w:tc>
          <w:tcPr/>
          <w:p>
            <w:pPr>
              <w:pStyle w:val="Compact"/>
            </w:pPr>
            <w:r>
              <w:t xml:space="preserve">Obtain access to live (scrubbed) FAMCare production data — due date passed 2026-07-15 without resolution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A-197</w:t>
            </w:r>
          </w:p>
        </w:tc>
        <w:tc>
          <w:tcPr/>
          <w:p>
            <w:pPr>
              <w:pStyle w:val="Compact"/>
            </w:pPr>
            <w:r>
              <w:t xml:space="preserve">Ross / Marcus / Gabrielle</w:t>
            </w:r>
          </w:p>
        </w:tc>
        <w:tc>
          <w:tcPr/>
          <w:p>
            <w:pPr>
              <w:pStyle w:val="Compact"/>
            </w:pPr>
            <w:r>
              <w:t xml:space="preserve">Schedule meeting to align frontline/finance terminology; document funding-determination role ownership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A-201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t xml:space="preserve">“Complete Task”</w:t>
            </w:r>
            <w:r>
              <w:t xml:space="preserve"> </w:t>
            </w:r>
            <w:r>
              <w:t xml:space="preserve">button (replacing</w:t>
            </w:r>
            <w:r>
              <w:t xml:space="preserve"> </w:t>
            </w:r>
            <w:r>
              <w:t xml:space="preserve">“Edit Task”</w:t>
            </w:r>
            <w:r>
              <w:t xml:space="preserve">) with Yes/No confirmation dialog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A-205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Pre-identify key test cases and perform side-by-side checks after DB import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A-208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Check with Gabrielle on current state of service-referral functionality (Rainbow Lodge/Sun Lodge-type referrals)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i/>
          <w:iCs/>
        </w:rPr>
        <w:t xml:space="preserve">⚠️ = open 8+ periods — flagged for aging review.</w:t>
      </w:r>
    </w:p>
    <w:bookmarkEnd w:id="27"/>
    <w:bookmarkEnd w:id="28"/>
    <w:bookmarkStart w:id="32" w:name="issues-risks"/>
    <w:p>
      <w:pPr>
        <w:pStyle w:val="Heading2"/>
      </w:pPr>
      <w:r>
        <w:t xml:space="preserve">Issues &amp; Risks</w:t>
      </w:r>
    </w:p>
    <w:bookmarkStart w:id="29" w:name="new-this-period-1"/>
    <w:p>
      <w:pPr>
        <w:pStyle w:val="Heading3"/>
      </w:pPr>
      <w:r>
        <w:t xml:space="preserve">New This Period</w:t>
      </w:r>
    </w:p>
    <w:p>
      <w:pPr>
        <w:pStyle w:val="FirstParagraph"/>
      </w:pPr>
      <w:r>
        <w:t xml:space="preserve">None this period.</w:t>
      </w:r>
    </w:p>
    <w:bookmarkEnd w:id="29"/>
    <w:bookmarkStart w:id="30" w:name="changed-this-period-1"/>
    <w:p>
      <w:pPr>
        <w:pStyle w:val="Heading3"/>
      </w:pPr>
      <w:r>
        <w:t xml:space="preserve">Changed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2059"/>
        <w:gridCol w:w="1425"/>
        <w:gridCol w:w="1108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I-042</w:t>
            </w:r>
          </w:p>
        </w:tc>
        <w:tc>
          <w:tcPr/>
          <w:p>
            <w:pPr>
              <w:pStyle w:val="Compact"/>
            </w:pPr>
            <w:r>
              <w:t xml:space="preserve">FAMCare live schema diverges significantly from the test snapshot — risks inaccurate migration scripts if not resolved before finalizing FAMCare→Wabanong migration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Varun / Marcus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Rob flagged (Jul 21) that FAMCare’s current database structure is unusually poor quality, likely requiring a CR and contingency-budget spend to build reliable migration scripts — first concrete cost signal on this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I-035</w:t>
            </w:r>
          </w:p>
        </w:tc>
        <w:tc>
          <w:tcPr/>
          <w:p>
            <w:pPr>
              <w:pStyle w:val="Compact"/>
            </w:pPr>
            <w:r>
              <w:t xml:space="preserve">Abuse program — carved out as separate wizard-style iteration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Kelvin / Clemene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Gabrielle confirmed (Jul 22) internal abuse-module testing has just started; UAT not expected to be ready until the week of Aug 3</w:t>
            </w:r>
          </w:p>
        </w:tc>
      </w:tr>
    </w:tbl>
    <w:bookmarkEnd w:id="30"/>
    <w:bookmarkStart w:id="31" w:name="carried-forward-no-change-1"/>
    <w:p>
      <w:pPr>
        <w:pStyle w:val="Heading3"/>
      </w:pPr>
      <w:r>
        <w:t xml:space="preserve">Carried Forward (No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806"/>
        <w:gridCol w:w="1250"/>
        <w:gridCol w:w="972"/>
        <w:gridCol w:w="138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Periods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I-018</w:t>
            </w:r>
          </w:p>
        </w:tc>
        <w:tc>
          <w:tcPr/>
          <w:p>
            <w:pPr>
              <w:pStyle w:val="Compact"/>
            </w:pPr>
            <w:r>
              <w:t xml:space="preserve">Finance/Sage integration requirements incomplete — formal data entry screen design and Sage integration still 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I-029</w:t>
            </w:r>
          </w:p>
        </w:tc>
        <w:tc>
          <w:tcPr/>
          <w:p>
            <w:pPr>
              <w:pStyle w:val="Compact"/>
            </w:pPr>
            <w:r>
              <w:t xml:space="preserve">Timeline slippage — go-live revised to end of July 2026; formal contract re-baselining still pending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I-032</w:t>
            </w:r>
          </w:p>
        </w:tc>
        <w:tc>
          <w:tcPr/>
          <w:p>
            <w:pPr>
              <w:pStyle w:val="Compact"/>
            </w:pPr>
            <w:r>
              <w:t xml:space="preserve">Development timeline at risk — case file, finance, and abuse iterations still ahead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I-033</w:t>
            </w:r>
          </w:p>
        </w:tc>
        <w:tc>
          <w:tcPr/>
          <w:p>
            <w:pPr>
              <w:pStyle w:val="Compact"/>
            </w:pPr>
            <w:r>
              <w:t xml:space="preserve">Address-based search confirmed as new development requirement — moved to roadmap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I-034</w:t>
            </w:r>
          </w:p>
        </w:tc>
        <w:tc>
          <w:tcPr/>
          <w:p>
            <w:pPr>
              <w:pStyle w:val="Compact"/>
            </w:pPr>
            <w:r>
              <w:t xml:space="preserve">Client-side continuity risk — Haley absent 3+ months; Clemene covering; Alice approaching retirement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I-036</w:t>
            </w:r>
          </w:p>
        </w:tc>
        <w:tc>
          <w:tcPr/>
          <w:p>
            <w:pPr>
              <w:pStyle w:val="Compact"/>
            </w:pPr>
            <w:r>
              <w:t xml:space="preserve">UAT pipeline fully operational — Freshdesk → ClickUp triage active; client+family data module UAT complete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I-037</w:t>
            </w:r>
          </w:p>
        </w:tc>
        <w:tc>
          <w:tcPr/>
          <w:p>
            <w:pPr>
              <w:pStyle w:val="Compact"/>
            </w:pPr>
            <w:r>
              <w:t xml:space="preserve">Demo environment instability — UAT environment set up in PCFS Azure; risk substantially reduced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I-038</w:t>
            </w:r>
          </w:p>
        </w:tc>
        <w:tc>
          <w:tcPr/>
          <w:p>
            <w:pPr>
              <w:pStyle w:val="Compact"/>
            </w:pPr>
            <w:r>
              <w:t xml:space="preserve">Intake form incomplete — full CFIS issue categories expansion confirmed as mandatory pre-go-live requirement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I-039</w:t>
            </w:r>
          </w:p>
        </w:tc>
        <w:tc>
          <w:tcPr/>
          <w:p>
            <w:pPr>
              <w:pStyle w:val="Compact"/>
            </w:pPr>
            <w:r>
              <w:t xml:space="preserve">Holiday calendar missing — Wabanong timer logic does not yet account for observed holidays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I-041</w:t>
            </w:r>
          </w:p>
        </w:tc>
        <w:tc>
          <w:tcPr/>
          <w:p>
            <w:pPr>
              <w:pStyle w:val="Compact"/>
            </w:pPr>
            <w:r>
              <w:t xml:space="preserve">UAT bug:</w:t>
            </w:r>
            <w:r>
              <w:t xml:space="preserve"> </w:t>
            </w:r>
            <w:r>
              <w:t xml:space="preserve">“open services”</w:t>
            </w:r>
            <w:r>
              <w:t xml:space="preserve"> </w:t>
            </w:r>
            <w:r>
              <w:t xml:space="preserve">not showing in person search results when initiating a new intake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I-043</w:t>
            </w:r>
          </w:p>
        </w:tc>
        <w:tc>
          <w:tcPr/>
          <w:p>
            <w:pPr>
              <w:pStyle w:val="Compact"/>
            </w:pPr>
            <w:r>
              <w:t xml:space="preserve">Client requesting event management (Category E) and Community Circle of Care functionality be pulled into near-term planning; no capacity within current schedule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i/>
          <w:iCs/>
        </w:rPr>
        <w:t xml:space="preserve">⚠️ = open 8+ periods — flagged for aging review.</w:t>
      </w:r>
    </w:p>
    <w:bookmarkEnd w:id="31"/>
    <w:bookmarkEnd w:id="32"/>
    <w:bookmarkStart w:id="37" w:name="return-to-green-plans"/>
    <w:p>
      <w:pPr>
        <w:pStyle w:val="Heading2"/>
      </w:pPr>
      <w:r>
        <w:t xml:space="preserve">Return to Green Plans</w:t>
      </w:r>
    </w:p>
    <w:bookmarkStart w:id="33" w:name="overall-red-first-flagged-2025-w48"/>
    <w:p>
      <w:pPr>
        <w:pStyle w:val="Heading3"/>
      </w:pPr>
      <w:r>
        <w:t xml:space="preserve">Overall — 🔴 Red (first flagged: 2025-W48)</w:t>
      </w:r>
    </w:p>
    <w:p>
      <w:pPr>
        <w:pStyle w:val="Compact"/>
        <w:numPr>
          <w:ilvl w:val="0"/>
          <w:numId w:val="1002"/>
        </w:numPr>
      </w:pPr>
      <w:r>
        <w:t xml:space="preserve">Finalize and circulate the data cutover plan once Varun confirms test-environment readiness (A-209)</w:t>
      </w:r>
    </w:p>
    <w:p>
      <w:pPr>
        <w:pStyle w:val="Compact"/>
        <w:numPr>
          <w:ilvl w:val="0"/>
          <w:numId w:val="1002"/>
        </w:numPr>
      </w:pPr>
      <w:r>
        <w:t xml:space="preserve">Hold the case file UAT walkthrough to unblock that module’s sign-off (A-211)</w:t>
      </w:r>
    </w:p>
    <w:p>
      <w:pPr>
        <w:pStyle w:val="Compact"/>
        <w:numPr>
          <w:ilvl w:val="0"/>
          <w:numId w:val="1002"/>
        </w:numPr>
      </w:pPr>
      <w:r>
        <w:t xml:space="preserve">Deliver the consolidated go-live readiness update to Ross that’s been pending since last period (A-202)</w:t>
      </w:r>
    </w:p>
    <w:p>
      <w:pPr>
        <w:pStyle w:val="Compact"/>
        <w:numPr>
          <w:ilvl w:val="0"/>
          <w:numId w:val="1002"/>
        </w:numPr>
      </w:pPr>
      <w:r>
        <w:t xml:space="preserve">Resolve production-data anonymization approach so scrubbed FAMCare data becomes available for migration testing (A-189, I-042)</w:t>
      </w:r>
    </w:p>
    <w:bookmarkEnd w:id="33"/>
    <w:bookmarkStart w:id="34" w:name="schedule-red-first-flagged-2025-w48"/>
    <w:p>
      <w:pPr>
        <w:pStyle w:val="Heading3"/>
      </w:pPr>
      <w:r>
        <w:t xml:space="preserve">Schedule — 🔴 Red (first flagged: 2025-W48)</w:t>
      </w:r>
    </w:p>
    <w:p>
      <w:pPr>
        <w:pStyle w:val="Compact"/>
        <w:numPr>
          <w:ilvl w:val="0"/>
          <w:numId w:val="1003"/>
        </w:numPr>
      </w:pPr>
      <w:r>
        <w:t xml:space="preserve">Formally re-baseline contract timeline with Clemene/Rob — July 31 go-live target needs a signed-off schedule</w:t>
      </w:r>
    </w:p>
    <w:p>
      <w:pPr>
        <w:pStyle w:val="Compact"/>
        <w:numPr>
          <w:ilvl w:val="0"/>
          <w:numId w:val="1003"/>
        </w:numPr>
      </w:pPr>
      <w:r>
        <w:t xml:space="preserve">Identify critical path: intake UAT → case file UAT → finance UAT → abuse UAT → go-live; confirm each module’s UAT readiness date</w:t>
      </w:r>
    </w:p>
    <w:p>
      <w:pPr>
        <w:pStyle w:val="Compact"/>
        <w:numPr>
          <w:ilvl w:val="0"/>
          <w:numId w:val="1003"/>
        </w:numPr>
      </w:pPr>
      <w:r>
        <w:t xml:space="preserve">Schedule pre-go-live stress test as part of go-live activities (A-206)</w:t>
      </w:r>
    </w:p>
    <w:p>
      <w:pPr>
        <w:pStyle w:val="Compact"/>
        <w:numPr>
          <w:ilvl w:val="0"/>
          <w:numId w:val="1003"/>
        </w:numPr>
      </w:pPr>
      <w:r>
        <w:t xml:space="preserve">Get Varun’s sign-off on the revised cutover plan (A-209)</w:t>
      </w:r>
    </w:p>
    <w:bookmarkEnd w:id="34"/>
    <w:bookmarkStart w:id="35" w:name="scope-yellow-first-flagged-2025-w50"/>
    <w:p>
      <w:pPr>
        <w:pStyle w:val="Heading3"/>
      </w:pPr>
      <w:r>
        <w:t xml:space="preserve">Scope — 🟡 Yellow (first flagged: 2025-W50)</w:t>
      </w:r>
    </w:p>
    <w:p>
      <w:pPr>
        <w:pStyle w:val="Compact"/>
        <w:numPr>
          <w:ilvl w:val="0"/>
          <w:numId w:val="1004"/>
        </w:numPr>
      </w:pPr>
      <w:r>
        <w:t xml:space="preserve">Finance scope now partially locked; complete scope definition after Rob’s documentation review (A-187)</w:t>
      </w:r>
    </w:p>
    <w:p>
      <w:pPr>
        <w:pStyle w:val="Compact"/>
        <w:numPr>
          <w:ilvl w:val="0"/>
          <w:numId w:val="1004"/>
        </w:numPr>
      </w:pPr>
      <w:r>
        <w:t xml:space="preserve">Hold roadmap/capacity conversation on event management (Category E) and Community Circle of Care to manage scope-expectation risk (I-043)</w:t>
      </w:r>
    </w:p>
    <w:p>
      <w:pPr>
        <w:pStyle w:val="Compact"/>
        <w:numPr>
          <w:ilvl w:val="0"/>
          <w:numId w:val="1004"/>
        </w:numPr>
      </w:pPr>
      <w:r>
        <w:t xml:space="preserve">Confirm service-referral functionality status with Gabrielle before committing to any scope changes (A-208)</w:t>
      </w:r>
    </w:p>
    <w:bookmarkEnd w:id="35"/>
    <w:bookmarkStart w:id="36" w:name="budget-yellow-first-flagged-2025-w50"/>
    <w:p>
      <w:pPr>
        <w:pStyle w:val="Heading3"/>
      </w:pPr>
      <w:r>
        <w:t xml:space="preserve">Budget — 🟡 Yellow (first flagged: 2025-W50)</w:t>
      </w:r>
    </w:p>
    <w:p>
      <w:pPr>
        <w:pStyle w:val="Compact"/>
        <w:numPr>
          <w:ilvl w:val="0"/>
          <w:numId w:val="1005"/>
        </w:numPr>
      </w:pPr>
      <w:r>
        <w:t xml:space="preserve">Assess FAMCare CR/contingency-budget need before it becomes a blocker on migration scripting (A-213)</w:t>
      </w:r>
    </w:p>
    <w:p>
      <w:pPr>
        <w:pStyle w:val="Compact"/>
        <w:numPr>
          <w:ilvl w:val="0"/>
          <w:numId w:val="1005"/>
        </w:numPr>
      </w:pPr>
      <w:r>
        <w:t xml:space="preserve">Abuse contract amendment still outstanding (A-171); include in next PCFS status report</w:t>
      </w:r>
    </w:p>
    <w:bookmarkEnd w:id="36"/>
    <w:bookmarkEnd w:id="37"/>
    <w:bookmarkStart w:id="38" w:name="next-period-plan"/>
    <w:p>
      <w:pPr>
        <w:pStyle w:val="Heading2"/>
      </w:pPr>
      <w:r>
        <w:t xml:space="preserve">Next Period Plan</w:t>
      </w:r>
    </w:p>
    <w:p>
      <w:pPr>
        <w:pStyle w:val="Compact"/>
        <w:numPr>
          <w:ilvl w:val="0"/>
          <w:numId w:val="1006"/>
        </w:numPr>
      </w:pPr>
      <w:r>
        <w:t xml:space="preserve">Get Varun’s sign-off on the cutover plan and resolve test-environment/PHP access question (A-209)</w:t>
      </w:r>
    </w:p>
    <w:p>
      <w:pPr>
        <w:pStyle w:val="Compact"/>
        <w:numPr>
          <w:ilvl w:val="0"/>
          <w:numId w:val="1006"/>
        </w:numPr>
      </w:pPr>
      <w:r>
        <w:t xml:space="preserve">Hold the case management UAT walkthrough and finance-process review for ongoing services (A-211, A-212)</w:t>
      </w:r>
    </w:p>
    <w:p>
      <w:pPr>
        <w:pStyle w:val="Compact"/>
        <w:numPr>
          <w:ilvl w:val="0"/>
          <w:numId w:val="1006"/>
        </w:numPr>
      </w:pPr>
      <w:r>
        <w:t xml:space="preserve">Send Ross the consolidated go-live readiness update (A-202)</w:t>
      </w:r>
    </w:p>
    <w:p>
      <w:pPr>
        <w:pStyle w:val="Compact"/>
        <w:numPr>
          <w:ilvl w:val="0"/>
          <w:numId w:val="1006"/>
        </w:numPr>
      </w:pPr>
      <w:r>
        <w:t xml:space="preserve">Confirm signed-SOW status with Rob/Ross (A-210)</w:t>
      </w:r>
    </w:p>
    <w:p>
      <w:pPr>
        <w:pStyle w:val="Compact"/>
        <w:numPr>
          <w:ilvl w:val="0"/>
          <w:numId w:val="1006"/>
        </w:numPr>
      </w:pPr>
      <w:r>
        <w:t xml:space="preserve">Determine CR/contingency budget need for FAMCare migration work (A-213)</w:t>
      </w:r>
    </w:p>
    <w:bookmarkEnd w:id="38"/>
    <w:bookmarkEnd w:id="39"/>
    <w:sectPr w:rsidR="009935A1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A6A1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AD6C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0A23B6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hanging="360" w:left="72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hanging="360" w:left="108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hanging="360" w:left="720"/>
      </w:pPr>
      <w:rPr>
        <w:rFonts w:ascii="Wingdings" w:hAnsi="Wingdings" w:hint="default"/>
        <w:color w:val="8B9C93"/>
        <w:sz w:val="22"/>
        <w:szCs w:val="22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0968611" w:numId="1">
    <w:abstractNumId w:val="0"/>
  </w:num>
  <w:num w16cid:durableId="553346368" w:numId="2">
    <w:abstractNumId w:val="0"/>
  </w:num>
  <w:num w16cid:durableId="1860193300" w:numId="3">
    <w:abstractNumId w:val="0"/>
  </w:num>
  <w:num w16cid:durableId="530654322" w:numId="4">
    <w:abstractNumId w:val="0"/>
  </w:num>
  <w:num w16cid:durableId="91249389" w:numId="5">
    <w:abstractNumId w:val="0"/>
  </w:num>
  <w:num w16cid:durableId="353115934" w:numId="6">
    <w:abstractNumId w:val="0"/>
  </w:num>
  <w:num w16cid:durableId="1918636774" w:numId="7">
    <w:abstractNumId w:val="0"/>
  </w:num>
  <w:num w16cid:durableId="1589654140" w:numId="8">
    <w:abstractNumId w:val="0"/>
  </w:num>
  <w:num w16cid:durableId="1344556015" w:numId="9">
    <w:abstractNumId w:val="0"/>
  </w:num>
  <w:num w16cid:durableId="956136198" w:numId="10">
    <w:abstractNumId w:val="1"/>
  </w:num>
  <w:num w16cid:durableId="844396404" w:numId="11">
    <w:abstractNumId w:val="3"/>
  </w:num>
  <w:num w16cid:durableId="17052457" w:numId="12">
    <w:abstractNumId w:val="2"/>
  </w:num>
  <w:num w16cid:durableId="317267289" w:numId="13">
    <w:abstractNumId w:val="1"/>
  </w:num>
  <w:num w16cid:durableId="829752184" w:numId="14">
    <w:abstractNumId w:val="3"/>
  </w:num>
  <w:num w16cid:durableId="1130515113" w:numId="15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EA"/>
    <w:rsid w:val="00053333"/>
    <w:rsid w:val="002D1A2A"/>
    <w:rsid w:val="00420038"/>
    <w:rsid w:val="0048410D"/>
    <w:rsid w:val="005A75EA"/>
    <w:rsid w:val="00633995"/>
    <w:rsid w:val="00790F5A"/>
    <w:rsid w:val="008328FB"/>
    <w:rsid w:val="009935A1"/>
    <w:rsid w:val="00C043EE"/>
    <w:rsid w:val="00DC0C5E"/>
    <w:rsid w:val="00F81344"/>
    <w:rsid w:val="00F94319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="Open Sans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0038"/>
    <w:pPr>
      <w:spacing w:after="80" w:before="80" w:line="276" w:lineRule="auto"/>
    </w:pPr>
    <w:rPr>
      <w:rFonts w:ascii="Open Sans" w:cs="Times New Roman" w:hAnsi="Open Sans"/>
      <w:color w:val="404040"/>
      <w:kern w:val="0"/>
      <w:lang w:val="en-US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color="C3CBC7" w:space="1" w:sz="8" w:val="dotted"/>
      </w:pBdr>
      <w:spacing w:after="0" w:before="48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after="0" w:before="200" w:line="271" w:lineRule="auto"/>
      <w:outlineLvl w:val="2"/>
    </w:pPr>
    <w:rPr>
      <w:rFonts w:eastAsia="Times New Roman"/>
      <w:b/>
      <w:b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after="0" w:before="200"/>
      <w:outlineLvl w:val="3"/>
    </w:pPr>
    <w:rPr>
      <w:rFonts w:eastAsia="Times New Roman"/>
      <w:b/>
      <w:bCs/>
      <w:i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after="0" w:before="200"/>
      <w:outlineLvl w:val="4"/>
    </w:pPr>
    <w:rPr>
      <w:rFonts w:eastAsia="Times New Roman"/>
      <w:b/>
      <w:bCs/>
      <w:color w:val="7F7F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uiPriority w:val="9"/>
    <w:rsid w:val="00420038"/>
    <w:rPr>
      <w:rFonts w:ascii="Open Sans" w:cs="Times New Roman" w:eastAsia="Times New Roman" w:hAnsi="Open Sans"/>
      <w:b/>
      <w:bCs/>
      <w:color w:val="000000"/>
      <w:kern w:val="0"/>
      <w:sz w:val="32"/>
      <w:szCs w:val="28"/>
      <w:lang w:val="en-US"/>
      <w14:ligatures w14:val="none"/>
    </w:rPr>
  </w:style>
  <w:style w:customStyle="1" w:styleId="Heading2Char" w:type="character">
    <w:name w:val="Heading 2 Char"/>
    <w:link w:val="Heading2"/>
    <w:uiPriority w:val="9"/>
    <w:rsid w:val="00420038"/>
    <w:rPr>
      <w:rFonts w:ascii="Open Sans" w:cs="Times New Roman" w:eastAsia="Open Sans" w:hAnsi="Open Sans"/>
      <w:b/>
      <w:bCs/>
      <w:color w:val="404040"/>
      <w:kern w:val="0"/>
      <w:sz w:val="28"/>
      <w:szCs w:val="26"/>
      <w:lang w:val="en-US"/>
      <w14:ligatures w14:val="none"/>
    </w:rPr>
  </w:style>
  <w:style w:customStyle="1" w:styleId="Heading3Char" w:type="character">
    <w:name w:val="Heading 3 Char"/>
    <w:link w:val="Heading3"/>
    <w:uiPriority w:val="9"/>
    <w:rsid w:val="00420038"/>
    <w:rPr>
      <w:rFonts w:ascii="Open Sans" w:cs="Times New Roman" w:eastAsia="Times New Roman" w:hAnsi="Open Sans"/>
      <w:b/>
      <w:bCs/>
      <w:color w:val="404040"/>
      <w:kern w:val="0"/>
      <w:lang w:val="en-US"/>
      <w14:ligatures w14:val="none"/>
    </w:rPr>
  </w:style>
  <w:style w:customStyle="1" w:styleId="Heading4Char" w:type="character">
    <w:name w:val="Heading 4 Char"/>
    <w:link w:val="Heading4"/>
    <w:uiPriority w:val="9"/>
    <w:rsid w:val="00420038"/>
    <w:rPr>
      <w:rFonts w:ascii="Open Sans" w:cs="Times New Roman" w:eastAsia="Times New Roman" w:hAnsi="Open Sans"/>
      <w:b/>
      <w:bCs/>
      <w:i/>
      <w:iCs/>
      <w:color w:val="404040"/>
      <w:kern w:val="0"/>
      <w:lang w:val="en-US"/>
      <w14:ligatures w14:val="none"/>
    </w:rPr>
  </w:style>
  <w:style w:customStyle="1" w:styleId="Heading5Char" w:type="character">
    <w:name w:val="Heading 5 Char"/>
    <w:link w:val="Heading5"/>
    <w:uiPriority w:val="9"/>
    <w:semiHidden/>
    <w:rsid w:val="00420038"/>
    <w:rPr>
      <w:rFonts w:ascii="Open Sans" w:cs="Times New Roman" w:eastAsia="Times New Roman" w:hAnsi="Open Sans"/>
      <w:b/>
      <w:bCs/>
      <w:color w:val="7F7F7F"/>
      <w:kern w:val="0"/>
      <w:lang w:val="en-US"/>
      <w14:ligatures w14:val="none"/>
    </w:rPr>
  </w:style>
  <w:style w:customStyle="1" w:styleId="Heading6Char" w:type="character">
    <w:name w:val="Heading 6 Char"/>
    <w:link w:val="Heading6"/>
    <w:uiPriority w:val="9"/>
    <w:semiHidden/>
    <w:rsid w:val="00420038"/>
    <w:rPr>
      <w:rFonts w:ascii="Open Sans" w:cs="Times New Roman" w:eastAsia="Times New Roman" w:hAnsi="Open Sans"/>
      <w:b/>
      <w:bCs/>
      <w:i/>
      <w:iCs/>
      <w:color w:val="7F7F7F"/>
      <w:kern w:val="0"/>
      <w:lang w:val="en-US"/>
      <w14:ligatures w14:val="none"/>
    </w:rPr>
  </w:style>
  <w:style w:customStyle="1" w:styleId="Heading7Char" w:type="character">
    <w:name w:val="Heading 7 Char"/>
    <w:link w:val="Heading7"/>
    <w:uiPriority w:val="9"/>
    <w:semiHidden/>
    <w:rsid w:val="00420038"/>
    <w:rPr>
      <w:rFonts w:ascii="Open Sans" w:cs="Times New Roman" w:eastAsia="Times New Roman" w:hAnsi="Open Sans"/>
      <w:i/>
      <w:iCs/>
      <w:color w:val="404040"/>
      <w:kern w:val="0"/>
      <w:lang w:val="en-US"/>
      <w14:ligatures w14:val="none"/>
    </w:rPr>
  </w:style>
  <w:style w:customStyle="1" w:styleId="Heading8Char" w:type="character">
    <w:name w:val="Heading 8 Char"/>
    <w:link w:val="Heading8"/>
    <w:uiPriority w:val="9"/>
    <w:semiHidden/>
    <w:rsid w:val="00420038"/>
    <w:rPr>
      <w:rFonts w:ascii="Open Sans" w:cs="Times New Roman" w:eastAsia="Times New Roman" w:hAnsi="Open Sans"/>
      <w:color w:val="404040"/>
      <w:kern w:val="0"/>
      <w:szCs w:val="20"/>
      <w:lang w:val="en-US"/>
      <w14:ligatures w14:val="none"/>
    </w:rPr>
  </w:style>
  <w:style w:customStyle="1" w:styleId="Heading9Char" w:type="character">
    <w:name w:val="Heading 9 Char"/>
    <w:link w:val="Heading9"/>
    <w:uiPriority w:val="9"/>
    <w:semiHidden/>
    <w:rsid w:val="00420038"/>
    <w:rPr>
      <w:rFonts w:ascii="Open Sans" w:cs="Times New Roman" w:eastAsia="Times New Roman" w:hAnsi="Open Sans"/>
      <w:i/>
      <w:iCs/>
      <w:color w:val="404040"/>
      <w:spacing w:val="5"/>
      <w:kern w:val="0"/>
      <w:szCs w:val="20"/>
      <w:lang w:val="en-US"/>
      <w14:ligatures w14:val="none"/>
    </w:rPr>
  </w:style>
  <w:style w:customStyle="1" w:styleId="HeadingNoNumbers" w:type="paragraph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customStyle="1" w:styleId="HeadingNoNumbersChar" w:type="character">
    <w:name w:val="Heading No Numbers Char"/>
    <w:link w:val="HeadingNoNumbers"/>
    <w:rsid w:val="00420038"/>
    <w:rPr>
      <w:rFonts w:ascii="Open Sans" w:cs="Open Sans" w:eastAsia="Times New Roman" w:hAnsi="Open Sans"/>
      <w:b/>
      <w:bCs/>
      <w:color w:val="000000"/>
      <w:kern w:val="0"/>
      <w:sz w:val="32"/>
      <w:szCs w:val="32"/>
      <w:lang w:val="en-US"/>
      <w14:ligatures w14:val="none"/>
    </w:rPr>
  </w:style>
  <w:style w:styleId="Hyperlink" w:type="character">
    <w:name w:val="Hyperlink"/>
    <w:uiPriority w:val="99"/>
    <w:rsid w:val="00420038"/>
    <w:rPr>
      <w:color w:val="0C0C0C"/>
      <w:u w:val="single"/>
    </w:rPr>
  </w:style>
  <w:style w:styleId="IntenseEmphasis" w:type="character">
    <w:name w:val="Intense Emphasis"/>
    <w:uiPriority w:val="21"/>
    <w:rsid w:val="00420038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420038"/>
    <w:rPr>
      <w:rFonts w:ascii="Tahoma" w:cs="Tahoma" w:eastAsia="Open Sans" w:hAnsi="Tahoma"/>
      <w:color w:val="404040"/>
      <w:kern w:val="0"/>
      <w:sz w:val="16"/>
      <w:szCs w:val="16"/>
      <w:lang w:val="en-US"/>
      <w14:ligatures w14:val="none"/>
    </w:rPr>
  </w:style>
  <w:style w:styleId="BodyText" w:type="paragraph">
    <w:name w:val="Body Text"/>
    <w:basedOn w:val="Normal"/>
    <w:link w:val="BodyTextChar"/>
    <w:uiPriority w:val="99"/>
    <w:unhideWhenUsed/>
    <w:rsid w:val="00420038"/>
    <w:pPr>
      <w:spacing w:after="120"/>
    </w:pPr>
  </w:style>
  <w:style w:customStyle="1" w:styleId="BodyTextChar" w:type="character">
    <w:name w:val="Body Text Char"/>
    <w:link w:val="BodyText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BookTitle" w:type="character">
    <w:name w:val="Book Title"/>
    <w:uiPriority w:val="33"/>
    <w:rsid w:val="00420038"/>
    <w:rPr>
      <w:i/>
      <w:iCs/>
      <w:smallCaps/>
      <w:spacing w:val="5"/>
    </w:rPr>
  </w:style>
  <w:style w:customStyle="1" w:styleId="list1" w:type="paragraph">
    <w:name w:val="list1"/>
    <w:basedOn w:val="ListParagraph"/>
    <w:link w:val="list1Char"/>
    <w:qFormat/>
    <w:rsid w:val="00420038"/>
    <w:pPr>
      <w:numPr>
        <w:numId w:val="13"/>
      </w:numPr>
    </w:pPr>
  </w:style>
  <w:style w:customStyle="1" w:styleId="list1Char" w:type="character">
    <w:name w:val="list1 Char"/>
    <w:link w:val="list1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ListParagraph" w:type="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customStyle="1" w:styleId="list2" w:type="paragraph">
    <w:name w:val="list2"/>
    <w:basedOn w:val="ListParagraph"/>
    <w:link w:val="list2Char"/>
    <w:qFormat/>
    <w:rsid w:val="00420038"/>
    <w:pPr>
      <w:numPr>
        <w:numId w:val="14"/>
      </w:numPr>
    </w:pPr>
  </w:style>
  <w:style w:customStyle="1" w:styleId="list2Char" w:type="character">
    <w:name w:val="list2 Char"/>
    <w:link w:val="list2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Bullets" w:type="paragraph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styleId="Closing" w:type="paragraph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ColorfulGrid-Accent6" w:type="table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cs="Times New Roman" w:hAnsi="Open Sans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7DDDA" w:val="clear"/>
    </w:tcPr>
    <w:tblStylePr w:type="firstRow">
      <w:rPr>
        <w:b/>
        <w:bCs/>
        <w:color w:val="FFFFFF"/>
      </w:rPr>
      <w:tblPr/>
      <w:tcPr>
        <w:shd w:color="auto" w:fill="AEBAB4" w:val="clear"/>
      </w:tcPr>
    </w:tblStylePr>
    <w:tblStylePr w:type="lastRow">
      <w:rPr>
        <w:b/>
        <w:bCs/>
        <w:color w:val="000000"/>
      </w:rPr>
      <w:tblPr/>
      <w:tcPr>
        <w:shd w:color="auto" w:fill="AFBBB5" w:val="clear"/>
      </w:tcPr>
    </w:tblStylePr>
    <w:tblStylePr w:type="firstCol">
      <w:rPr>
        <w:color w:val="FFFFFF"/>
      </w:rPr>
      <w:tblPr/>
      <w:tcPr>
        <w:shd w:color="auto" w:fill="303935" w:val="clear"/>
      </w:tcPr>
    </w:tblStylePr>
    <w:tblStylePr w:type="lastCol">
      <w:rPr>
        <w:color w:val="FFFFFF"/>
      </w:rPr>
      <w:tblPr/>
      <w:tcPr>
        <w:shd w:color="auto" w:fill="303935" w:val="clear"/>
      </w:tcPr>
    </w:tblStylePr>
    <w:tblStylePr w:type="band1Vert">
      <w:tblPr/>
      <w:tcPr>
        <w:shd w:color="auto" w:fill="D3DCE3" w:val="clear"/>
      </w:tcPr>
    </w:tblStylePr>
    <w:tblStylePr w:type="band1Horz">
      <w:tblPr/>
      <w:tcPr>
        <w:shd w:color="auto" w:fill="D3DCE3" w:val="clear"/>
      </w:tcPr>
    </w:tblStylePr>
  </w:style>
  <w:style w:styleId="CommentReference" w:type="character">
    <w:name w:val="annotation reference"/>
    <w:uiPriority w:val="99"/>
    <w:semiHidden/>
    <w:unhideWhenUsed/>
    <w:rsid w:val="00420038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customStyle="1" w:styleId="CommentTextChar" w:type="character">
    <w:name w:val="Comment Text Char"/>
    <w:link w:val="CommentText"/>
    <w:uiPriority w:val="99"/>
    <w:rsid w:val="00420038"/>
    <w:rPr>
      <w:rFonts w:ascii="Open Sans" w:cs="Times New Roman" w:eastAsia="Open Sans" w:hAnsi="Open Sans"/>
      <w:color w:val="404040"/>
      <w:kern w:val="0"/>
      <w:szCs w:val="20"/>
      <w:lang w:val="en-US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customStyle="1" w:styleId="CommentSubjectChar" w:type="character">
    <w:name w:val="Comment Subject Char"/>
    <w:link w:val="CommentSubject"/>
    <w:uiPriority w:val="99"/>
    <w:semiHidden/>
    <w:rsid w:val="00420038"/>
    <w:rPr>
      <w:rFonts w:ascii="Open Sans" w:cs="Times New Roman" w:eastAsia="Open Sans" w:hAnsi="Open Sans"/>
      <w:b/>
      <w:bCs/>
      <w:color w:val="404040"/>
      <w:kern w:val="0"/>
      <w:szCs w:val="20"/>
      <w:lang w:val="en-US"/>
      <w14:ligatures w14:val="none"/>
    </w:rPr>
  </w:style>
  <w:style w:styleId="Emphasis" w:type="character">
    <w:name w:val="Emphasis"/>
    <w:uiPriority w:val="20"/>
    <w:rsid w:val="00420038"/>
    <w:rPr>
      <w:b/>
      <w:bCs/>
      <w:i/>
      <w:iCs/>
      <w:spacing w:val="10"/>
      <w:bdr w:color="auto" w:space="0" w:sz="0" w:val="none"/>
      <w:shd w:color="auto" w:fill="auto" w:val="clear"/>
    </w:rPr>
  </w:style>
  <w:style w:styleId="Footer" w:type="paragraph">
    <w:name w:val="footer"/>
    <w:basedOn w:val="Normal"/>
    <w:link w:val="Foot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FootnoteReference" w:type="character">
    <w:name w:val="footnote reference"/>
    <w:rsid w:val="00420038"/>
    <w:rPr>
      <w:vertAlign w:val="superscript"/>
    </w:rPr>
  </w:style>
  <w:style w:styleId="FootnoteText" w:type="paragraph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eastAsia="de-CH" w:val="de-CH"/>
    </w:rPr>
  </w:style>
  <w:style w:customStyle="1" w:styleId="FootnoteTextChar" w:type="character">
    <w:name w:val="Footnote Text Char"/>
    <w:link w:val="FootnoteText"/>
    <w:rsid w:val="00420038"/>
    <w:rPr>
      <w:rFonts w:ascii="Arial" w:cs="Times New Roman" w:eastAsia="Times New Roman" w:hAnsi="Arial"/>
      <w:color w:val="404040"/>
      <w:kern w:val="0"/>
      <w:szCs w:val="20"/>
      <w:lang w:eastAsia="de-CH" w:val="de-CH"/>
      <w14:ligatures w14:val="none"/>
    </w:rPr>
  </w:style>
  <w:style w:customStyle="1" w:styleId="GridTable21" w:type="table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666666" w:space="0" w:sz="2" w:val="single"/>
        <w:bottom w:color="666666" w:space="0" w:sz="2" w:val="single"/>
        <w:insideH w:color="666666" w:space="0" w:sz="2" w:val="single"/>
        <w:insideV w:color="666666" w:space="0" w:sz="2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val="single"/>
          <w:insideH w:val="nil"/>
          <w:insideV w:val="nil"/>
        </w:tcBorders>
        <w:shd w:color="auto" w:fill="FFFFFF" w:val="clear"/>
      </w:tcPr>
    </w:tblStylePr>
    <w:tblStylePr w:type="lastRow">
      <w:rPr>
        <w:b/>
        <w:bCs/>
      </w:rPr>
      <w:tblPr/>
      <w:tcPr>
        <w:tcBorders>
          <w:top w:color="666666" w:space="0" w:sz="2" w:val="double"/>
          <w:bottom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styleId="Header" w:type="paragraph">
    <w:name w:val="header"/>
    <w:basedOn w:val="Normal"/>
    <w:link w:val="Head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HeaderAdresse" w:type="paragraph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eastAsia="de-DE" w:val="de-D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0038"/>
    <w:pPr>
      <w:pBdr>
        <w:bottom w:color="AEBAB4" w:space="1" w:sz="4" w:val="single"/>
      </w:pBdr>
      <w:shd w:color="auto" w:fill="CED5D1" w:val="clear"/>
      <w:spacing w:after="280" w:before="200"/>
      <w:ind w:left="1008" w:right="1152"/>
      <w:jc w:val="both"/>
    </w:pPr>
    <w:rPr>
      <w:b/>
      <w:bCs/>
      <w:i/>
      <w:iCs/>
      <w:color w:val="FFFFFF"/>
    </w:rPr>
  </w:style>
  <w:style w:customStyle="1" w:styleId="IntenseQuoteChar" w:type="character">
    <w:name w:val="Intense Quote Char"/>
    <w:link w:val="IntenseQuote"/>
    <w:uiPriority w:val="30"/>
    <w:rsid w:val="00420038"/>
    <w:rPr>
      <w:rFonts w:ascii="Open Sans" w:cs="Times New Roman" w:eastAsia="Open Sans" w:hAnsi="Open Sans"/>
      <w:b/>
      <w:bCs/>
      <w:i/>
      <w:iCs/>
      <w:color w:val="FFFFFF"/>
      <w:kern w:val="0"/>
      <w:shd w:color="auto" w:fill="CED5D1" w:val="clear"/>
      <w:lang w:val="en-US"/>
      <w14:ligatures w14:val="none"/>
    </w:rPr>
  </w:style>
  <w:style w:styleId="IntenseReference" w:type="character">
    <w:name w:val="Intense Reference"/>
    <w:uiPriority w:val="32"/>
    <w:rsid w:val="00420038"/>
    <w:rPr>
      <w:smallCaps/>
      <w:spacing w:val="5"/>
      <w:u w:val="single"/>
    </w:rPr>
  </w:style>
  <w:style w:styleId="LightList-Accent2" w:type="table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8B9C93" w:space="0" w:sz="8" w:val="single"/>
        <w:left w:color="8B9C93" w:space="0" w:sz="8" w:val="single"/>
        <w:bottom w:color="8B9C93" w:space="0" w:sz="8" w:val="single"/>
        <w:right w:color="8B9C93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8B9C9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B9C93" w:space="0" w:sz="6" w:val="doub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band1Horz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</w:style>
  <w:style w:customStyle="1" w:styleId="LightList-Accent21" w:type="table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cs="Times New Roman" w:hAnsi="Open Sans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0070C0" w:space="0" w:sz="8" w:val="single"/>
        <w:left w:color="0070C0" w:space="0" w:sz="8" w:val="single"/>
        <w:bottom w:color="0070C0" w:space="0" w:sz="8" w:val="single"/>
        <w:right w:color="0070C0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0070C0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70C0" w:space="0" w:sz="6" w:val="doub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band1Horz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</w:style>
  <w:style w:customStyle="1" w:styleId="ListParagraphChar" w:type="character">
    <w:name w:val="List Paragraph Char"/>
    <w:link w:val="ListParagraph"/>
    <w:uiPriority w:val="34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MediumShading1-Accent5" w:type="table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D2D8D4" w:space="0" w:sz="8" w:val="single"/>
        <w:left w:color="D2D8D4" w:space="0" w:sz="8" w:val="single"/>
        <w:bottom w:color="D2D8D4" w:space="0" w:sz="8" w:val="single"/>
        <w:right w:color="D2D8D4" w:space="0" w:sz="8" w:val="single"/>
        <w:insideH w:color="D2D8D4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D2D8D4" w:space="0" w:sz="8" w:val="sing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  <w:shd w:color="auto" w:fill="C3CBC7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2D8D4" w:space="0" w:sz="6" w:val="doub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0F2F0" w:val="clear"/>
      </w:tcPr>
    </w:tblStylePr>
    <w:tblStylePr w:type="band1Horz">
      <w:tblPr/>
      <w:tcPr>
        <w:tcBorders>
          <w:insideH w:val="nil"/>
          <w:insideV w:val="nil"/>
        </w:tcBorders>
        <w:shd w:color="auto" w:fill="F0F2F0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EBAB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NoSpacing" w:type="paragraph">
    <w:name w:val="No Spacing"/>
    <w:basedOn w:val="Normal"/>
    <w:uiPriority w:val="1"/>
    <w:qFormat/>
    <w:rsid w:val="00420038"/>
    <w:pPr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</w:rPr>
  </w:style>
  <w:style w:customStyle="1" w:styleId="NormalTabelleSpalterechts" w:type="paragraph">
    <w:name w:val="Normal Tabelle Spalte rechts"/>
    <w:basedOn w:val="Normal"/>
    <w:rsid w:val="00420038"/>
    <w:pPr>
      <w:spacing w:after="120" w:before="120" w:line="240" w:lineRule="auto"/>
      <w:ind w:right="-108"/>
    </w:pPr>
    <w:rPr>
      <w:rFonts w:ascii="Arial" w:eastAsia="Times New Roman" w:hAnsi="Arial"/>
      <w:sz w:val="22"/>
      <w:lang w:eastAsia="de-CH" w:val="de-CH"/>
    </w:rPr>
  </w:style>
  <w:style w:customStyle="1" w:styleId="p1" w:type="paragraph">
    <w:name w:val="p1"/>
    <w:basedOn w:val="Normal"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auto"/>
      <w:lang w:val="en-CA"/>
    </w:rPr>
  </w:style>
  <w:style w:styleId="PlaceholderText" w:type="character">
    <w:name w:val="Placeholder Text"/>
    <w:semiHidden/>
    <w:rsid w:val="00420038"/>
    <w:rPr>
      <w:color w:val="808080"/>
    </w:rPr>
  </w:style>
  <w:style w:styleId="Quote" w:type="paragraph">
    <w:name w:val="Quote"/>
    <w:basedOn w:val="Normal"/>
    <w:next w:val="Normal"/>
    <w:link w:val="QuoteChar"/>
    <w:uiPriority w:val="29"/>
    <w:qFormat/>
    <w:rsid w:val="00420038"/>
    <w:pPr>
      <w:spacing w:after="0" w:before="200"/>
      <w:ind w:left="360" w:right="360"/>
    </w:pPr>
    <w:rPr>
      <w:i/>
      <w:iCs/>
    </w:rPr>
  </w:style>
  <w:style w:customStyle="1" w:styleId="QuoteChar" w:type="character">
    <w:name w:val="Quote Char"/>
    <w:link w:val="Quote"/>
    <w:uiPriority w:val="29"/>
    <w:rsid w:val="00420038"/>
    <w:rPr>
      <w:rFonts w:ascii="Open Sans" w:cs="Times New Roman" w:eastAsia="Open Sans" w:hAnsi="Open Sans"/>
      <w:i/>
      <w:iCs/>
      <w:color w:val="404040"/>
      <w:kern w:val="0"/>
      <w:lang w:val="en-US"/>
      <w14:ligatures w14:val="none"/>
    </w:rPr>
  </w:style>
  <w:style w:customStyle="1" w:styleId="s1" w:type="character">
    <w:name w:val="s1"/>
    <w:basedOn w:val="DefaultParagraphFont"/>
    <w:rsid w:val="00420038"/>
  </w:style>
  <w:style w:styleId="Strong" w:type="character">
    <w:name w:val="Strong"/>
    <w:uiPriority w:val="22"/>
    <w:qFormat/>
    <w:rsid w:val="00420038"/>
    <w:rPr>
      <w:b/>
      <w:bCs/>
    </w:rPr>
  </w:style>
  <w:style w:customStyle="1" w:styleId="Style1" w:type="paragraph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customStyle="1" w:styleId="Style1Char" w:type="character">
    <w:name w:val="Style1 Char"/>
    <w:link w:val="Style1"/>
    <w:rsid w:val="00420038"/>
    <w:rPr>
      <w:rFonts w:ascii="Open Sans" w:cs="Times New Roman" w:eastAsia="Open Sans" w:hAnsi="Open Sans"/>
      <w:i/>
      <w:iCs/>
      <w:color w:val="7D9086"/>
      <w:kern w:val="0"/>
      <w:szCs w:val="36"/>
      <w:lang w:val="en-US"/>
      <w14:ligatures w14:val="none"/>
    </w:rPr>
  </w:style>
  <w:style w:customStyle="1" w:styleId="subheading" w:type="paragraph">
    <w:name w:val="subheading"/>
    <w:basedOn w:val="Style1"/>
    <w:link w:val="subheadingChar"/>
    <w:qFormat/>
    <w:rsid w:val="00420038"/>
    <w:rPr>
      <w:rFonts w:cs="Arial" w:eastAsia="Calibri"/>
      <w:b/>
      <w:bCs/>
      <w:i w:val="0"/>
      <w:iCs w:val="0"/>
      <w:color w:val="000D4B"/>
      <w:sz w:val="40"/>
      <w:szCs w:val="48"/>
    </w:rPr>
  </w:style>
  <w:style w:customStyle="1" w:styleId="subheadingChar" w:type="character">
    <w:name w:val="subheading Char"/>
    <w:link w:val="subheading"/>
    <w:rsid w:val="00420038"/>
    <w:rPr>
      <w:rFonts w:ascii="Open Sans" w:cs="Arial" w:eastAsia="Calibri" w:hAnsi="Open Sans"/>
      <w:b/>
      <w:bCs/>
      <w:color w:val="000D4B"/>
      <w:kern w:val="0"/>
      <w:sz w:val="40"/>
      <w:szCs w:val="48"/>
      <w:lang w:val="en-US"/>
      <w14:ligatures w14:val="none"/>
    </w:rPr>
  </w:style>
  <w:style w:customStyle="1" w:styleId="Sub-section" w:type="paragraph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styleId="Subtitle" w:type="paragraph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customStyle="1" w:styleId="SubtitleChar" w:type="character">
    <w:name w:val="Subtitle Char"/>
    <w:link w:val="Subtitle"/>
    <w:rsid w:val="00420038"/>
    <w:rPr>
      <w:rFonts w:ascii="Open Sans" w:cs="Times New Roman" w:eastAsia="Times New Roman" w:hAnsi="Open Sans"/>
      <w:iCs/>
      <w:color w:val="404040"/>
      <w:spacing w:val="13"/>
      <w:kern w:val="0"/>
      <w:lang w:val="en-US"/>
      <w14:ligatures w14:val="none"/>
    </w:rPr>
  </w:style>
  <w:style w:styleId="SubtleEmphasis" w:type="character">
    <w:name w:val="Subtle Emphasis"/>
    <w:uiPriority w:val="19"/>
    <w:qFormat/>
    <w:rsid w:val="00420038"/>
    <w:rPr>
      <w:i/>
      <w:iCs/>
    </w:rPr>
  </w:style>
  <w:style w:styleId="SubtleReference" w:type="character">
    <w:name w:val="Subtle Reference"/>
    <w:uiPriority w:val="31"/>
    <w:rsid w:val="00420038"/>
    <w:rPr>
      <w:smallCaps/>
    </w:rPr>
  </w:style>
  <w:style w:styleId="TableGrid" w:type="table">
    <w:name w:val="Table Grid"/>
    <w:basedOn w:val="TableNormal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1" w:type="table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eastAsia="MS Mincho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3" w:type="table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2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elTabelleSpalteLinks" w:type="paragraph">
    <w:name w:val="Titel Tabelle Spalte Links"/>
    <w:basedOn w:val="Normal"/>
    <w:rsid w:val="00420038"/>
    <w:pPr>
      <w:spacing w:after="120" w:before="120" w:line="240" w:lineRule="auto"/>
      <w:jc w:val="right"/>
    </w:pPr>
    <w:rPr>
      <w:rFonts w:ascii="Arial" w:eastAsia="Times New Roman" w:hAnsi="Arial"/>
      <w:b/>
      <w:sz w:val="22"/>
      <w:lang w:eastAsia="de-CH" w:val="de-CH"/>
    </w:rPr>
  </w:style>
  <w:style w:styleId="Title" w:type="paragraph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customStyle="1" w:styleId="TitleChar" w:type="character">
    <w:name w:val="Title Char"/>
    <w:link w:val="Title"/>
    <w:rsid w:val="00420038"/>
    <w:rPr>
      <w:rFonts w:ascii="Open Sans" w:cs="Times New Roman" w:eastAsia="Times New Roman" w:hAnsi="Open Sans"/>
      <w:b/>
      <w:color w:val="53615A"/>
      <w:spacing w:val="5"/>
      <w:kern w:val="0"/>
      <w:sz w:val="72"/>
      <w:szCs w:val="5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20038"/>
    <w:pPr>
      <w:tabs>
        <w:tab w:pos="400" w:val="left"/>
        <w:tab w:leader="dot" w:pos="10070" w:val="right"/>
      </w:tabs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styleId="TOCHeading" w:type="paragraph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styleId="UnresolvedMention" w:type="character">
    <w:name w:val="Unresolved Mention"/>
    <w:uiPriority w:val="99"/>
    <w:semiHidden/>
    <w:unhideWhenUsed/>
    <w:rsid w:val="00420038"/>
    <w:rPr>
      <w:color w:val="605E5C"/>
      <w:shd w:color="auto" w:fill="E1DFDD" w:val="clear"/>
    </w:rPr>
  </w:style>
  <w:style w:customStyle="1" w:styleId="whitetitle" w:type="paragraph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customStyle="1" w:styleId="whitetitleChar" w:type="character">
    <w:name w:val="white_title Char"/>
    <w:link w:val="white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56"/>
      <w:szCs w:val="96"/>
      <w:lang w:val="en-US"/>
      <w14:ligatures w14:val="none"/>
    </w:rPr>
  </w:style>
  <w:style w:customStyle="1" w:styleId="whitesubtitle" w:type="paragraph">
    <w:name w:val="white_subtitle"/>
    <w:basedOn w:val="whitetitle"/>
    <w:link w:val="whitesubtitleChar"/>
    <w:qFormat/>
    <w:rsid w:val="00420038"/>
    <w:rPr>
      <w:sz w:val="36"/>
      <w:szCs w:val="44"/>
    </w:rPr>
  </w:style>
  <w:style w:customStyle="1" w:styleId="whitesubtitleChar" w:type="character">
    <w:name w:val="white_subtitle Char"/>
    <w:link w:val="whitesub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 — Custom-CMS</dc:title>
  <dc:creator>Marcus Morrisey</dc:creator>
  <cp:keywords/>
  <dcterms:created xsi:type="dcterms:W3CDTF">2026-08-19T11:49:53Z</dcterms:created>
  <dcterms:modified xsi:type="dcterms:W3CDTF">2026-08-19T11:49:53Z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ient">
    <vt:lpwstr>PCFS</vt:lpwstr>
  </property>
  <property fmtid="{D5CDD505-2E9C-101B-9397-08002B2CF9AE}" pid="6" name="date">
    <vt:lpwstr>2026-07-23</vt:lpwstr>
  </property>
  <property fmtid="{D5CDD505-2E9C-101B-9397-08002B2CF9AE}" pid="7" name="docket">
    <vt:lpwstr>PD25-1186-CO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Reporting Period: 2026-W31 · 2026-07-17 to 2026-07-23</vt:lpwstr>
  </property>
  <property fmtid="{D5CDD505-2E9C-101B-9397-08002B2CF9AE}" pid="13" name="toc-title">
    <vt:lpwstr>Table of contents</vt:lpwstr>
  </property>
</Properties>
</file>