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0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Status Report — Custom-CMS</w:t>
      </w:r>
    </w:p>
    <w:p>
      <w:pPr>
        <w:pStyle w:val="Subtitle"/>
      </w:pPr>
      <w:r>
        <w:t xml:space="preserve">Reporting Period: 2026-W33 · 2026-07-31 to 2026-08-06</w:t>
      </w:r>
    </w:p>
    <w:p>
      <w:pPr>
        <w:pStyle w:val="Author"/>
      </w:pPr>
      <w:r>
        <w:t xml:space="preserve">Marcus Morrisey</w:t>
      </w:r>
    </w:p>
    <w:p>
      <w:pPr>
        <w:pStyle w:val="Date"/>
      </w:pPr>
      <w:r>
        <w:t xml:space="preserve">2026-08-06</w:t>
      </w:r>
    </w:p>
    <w:bookmarkStart w:id="39" w:name="project-status-report"/>
    <w:p>
      <w:pPr>
        <w:pStyle w:val="Heading1"/>
      </w:pPr>
      <w:r>
        <w:t xml:space="preserve">Project Status Report</w:t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PCFS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Custom-CMS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Docket #</w:t>
            </w:r>
          </w:p>
        </w:tc>
        <w:tc>
          <w:tcPr/>
          <w:p>
            <w:pPr>
              <w:pStyle w:val="Compact"/>
            </w:pPr>
            <w:r>
              <w:t xml:space="preserve">PD25-1186-CO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Manager</w:t>
            </w:r>
          </w:p>
        </w:tc>
        <w:tc>
          <w:tcPr/>
          <w:p>
            <w:pPr>
              <w:pStyle w:val="Compact"/>
            </w:pPr>
            <w:r>
              <w:t xml:space="preserve">Marcus Morrisey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Reporting Date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Start Date</w:t>
            </w:r>
          </w:p>
        </w:tc>
        <w:tc>
          <w:tcPr/>
          <w:p>
            <w:pPr>
              <w:pStyle w:val="Compact"/>
            </w:pPr>
            <w:r>
              <w:t xml:space="preserve">2025-11-17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Planned Finish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Estimated Finish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</w:tr>
    </w:tbl>
    <w:bookmarkStart w:id="17" w:name="health-dashboard"/>
    <w:p>
      <w:pPr>
        <w:pStyle w:val="Heading2"/>
      </w:pPr>
      <w:r>
        <w:t xml:space="preserve">Health Dashboard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Indicator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Overall Health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🔴 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Budget</w:t>
            </w:r>
          </w:p>
        </w:tc>
        <w:tc>
          <w:tcPr/>
          <w:p>
            <w:pPr>
              <w:pStyle w:val="Compact"/>
            </w:pPr>
            <w:r>
              <w:t xml:space="preserve">🟡 Yellow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Client’s Feeling</w:t>
            </w:r>
          </w:p>
        </w:tc>
        <w:tc>
          <w:tcPr/>
          <w:p>
            <w:pPr>
              <w:pStyle w:val="Compact"/>
            </w:pPr>
            <w:r>
              <w:t xml:space="preserve">🟢 Green</w:t>
            </w:r>
          </w:p>
        </w:tc>
      </w:tr>
    </w:tbl>
    <w:bookmarkEnd w:id="17"/>
    <w:bookmarkStart w:id="18" w:name="project-status-dates"/>
    <w:p>
      <w:pPr>
        <w:pStyle w:val="Heading2"/>
      </w:pPr>
      <w:r>
        <w:t xml:space="preserve">Project Status &amp; Dates</w:t>
      </w:r>
    </w:p>
    <w:p>
      <w:pPr>
        <w:pStyle w:val="FirstParagraph"/>
      </w:pPr>
      <w:r>
        <w:rPr>
          <w:b/>
          <w:bCs/>
        </w:rPr>
        <w:t xml:space="preserve">Project Status:</w:t>
      </w:r>
      <w:r>
        <w:t xml:space="preserve"> </w:t>
      </w:r>
      <w:r>
        <w:t xml:space="preserve">Rob confirmed to Ross (Jul 30, relayed in an Aug 4 exchange) that the FAMCare source data is rougher than expected, that the project’s contingency budget will need to be drawn on for migration cleanup, and that the go-live timeline is slipping again — citing slower-than-expected live-data access and staggered UAT as the two causes. Ross reconfirmed his preference to prioritize accuracy over the original deadline and is personally driving the production-environment build, which kicked off today with IDFusion and PCFS’s IT provider. Client engagement remains strongly positive despite the schedule news.</w:t>
      </w:r>
    </w:p>
    <w:p>
      <w:pPr>
        <w:pStyle w:val="BodyText"/>
      </w:pPr>
      <w:r>
        <w:rPr>
          <w:b/>
          <w:bCs/>
        </w:rPr>
        <w:t xml:space="preserve">Variance:</w:t>
      </w:r>
      <w:r>
        <w:t xml:space="preserve"> </w:t>
      </w:r>
      <w:r>
        <w:t xml:space="preserve">Planned finish 2026-03-31 → Estimated finish 2026-07-31 (+122 days — note: this estimate has now passed without go-live; see Milestones note below)</w:t>
      </w:r>
    </w:p>
    <w:bookmarkEnd w:id="18"/>
    <w:bookmarkStart w:id="19" w:name="progress-this-period"/>
    <w:p>
      <w:pPr>
        <w:pStyle w:val="Heading2"/>
      </w:pPr>
      <w:r>
        <w:t xml:space="preserve">Progress This Period</w:t>
      </w:r>
    </w:p>
    <w:p>
      <w:pPr>
        <w:pStyle w:val="Compact"/>
        <w:numPr>
          <w:ilvl w:val="0"/>
          <w:numId w:val="1001"/>
        </w:numPr>
      </w:pPr>
      <w:r>
        <w:t xml:space="preserve">Ross confirmed he’s meeting with IDFusion and PCFS’s IT provider today (Aug 4) to begin building the Waabanong production environment — expected to complete this week.</w:t>
      </w:r>
    </w:p>
    <w:bookmarkEnd w:id="19"/>
    <w:bookmarkStart w:id="23" w:name="milestones-schedule"/>
    <w:p>
      <w:pPr>
        <w:pStyle w:val="Heading2"/>
      </w:pPr>
      <w:r>
        <w:t xml:space="preserve">Milestones &amp; Schedule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8"/>
        <w:gridCol w:w="1806"/>
        <w:gridCol w:w="2084"/>
        <w:gridCol w:w="1111"/>
        <w:gridCol w:w="138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Baseline End</w:t>
            </w:r>
          </w:p>
        </w:tc>
        <w:tc>
          <w:tcPr/>
          <w:p>
            <w:pPr>
              <w:pStyle w:val="Compact"/>
            </w:pPr>
            <w:r>
              <w:t xml:space="preserve">Estimated End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Variance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M-01: Stage 1 — Discovery and Requirements complete</w:t>
            </w:r>
          </w:p>
        </w:tc>
        <w:tc>
          <w:tcPr/>
          <w:p>
            <w:pPr>
              <w:pStyle w:val="Compact"/>
            </w:pPr>
            <w:r>
              <w:t xml:space="preserve">2025-12-22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+94d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M-02: Stage 2 — Solution Design complete</w:t>
            </w:r>
          </w:p>
        </w:tc>
        <w:tc>
          <w:tcPr/>
          <w:p>
            <w:pPr>
              <w:pStyle w:val="Compact"/>
            </w:pPr>
            <w:r>
              <w:t xml:space="preserve">2026-01-31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+54d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M-03: Stage 3 — All 9 iterations complete / system ready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2026-07-25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+116d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M-04: Go-Live</w:t>
            </w:r>
          </w:p>
        </w:tc>
        <w:tc>
          <w:tcPr/>
          <w:p>
            <w:pPr>
              <w:pStyle w:val="Compact"/>
            </w:pPr>
            <w:r>
              <w:t xml:space="preserve">2026-03-31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+122d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M-05: Stage 4 — Post-launch support complete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2026-08-28</w:t>
            </w:r>
          </w:p>
        </w:tc>
        <w:tc>
          <w:tcPr/>
          <w:p>
            <w:pPr>
              <w:pStyle w:val="Compact"/>
            </w:pPr>
            <w:r>
              <w:t xml:space="preserve">Delayed</w:t>
            </w:r>
          </w:p>
        </w:tc>
        <w:tc>
          <w:tcPr/>
          <w:p>
            <w:pPr>
              <w:pStyle w:val="Compact"/>
            </w:pPr>
            <w:r>
              <w:t xml:space="preserve">+120d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M-04’s Estimated End (2026-07-31) has now passed without go-live. Evidence this period doesn’t supply a firm replacement date — Rob’s team is to provide a revised timeline once FAMCare database access is obtained and assessed (A-220). Recommend updating this milestone once that arrives.</w:t>
      </w:r>
    </w:p>
    <w:p>
      <w:pPr>
        <w:pStyle w:val="BodyText"/>
      </w:pPr>
    </w:p>
    <w:p>
      <w:pPr>
        <w:pStyle w:val="BodyText"/>
      </w:pPr>
      <w:r>
        <w:drawing>
          <wp:inline>
            <wp:extent cx="5943600" cy="2707894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2026-W33_files/figure-docx/mermaid-figure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078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</w:p>
    <w:bookmarkEnd w:id="23"/>
    <w:bookmarkStart w:id="24" w:name="decisions-made"/>
    <w:p>
      <w:pPr>
        <w:pStyle w:val="Heading2"/>
      </w:pPr>
      <w:r>
        <w:t xml:space="preserve">Decisions Made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75"/>
        <w:gridCol w:w="2227"/>
        <w:gridCol w:w="1485"/>
        <w:gridCol w:w="17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Decision</w:t>
            </w:r>
          </w:p>
        </w:tc>
        <w:tc>
          <w:tcPr/>
          <w:p>
            <w:pPr>
              <w:pStyle w:val="Compact"/>
            </w:pPr>
            <w:r>
              <w:t xml:space="preserve">Made By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Reconfirmed preference to prioritize migration accuracy over the original timeline, even as the timeline slips further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2026-08-04</w:t>
            </w:r>
          </w:p>
        </w:tc>
        <w:tc>
          <w:tcPr/>
          <w:p>
            <w:pPr>
              <w:pStyle w:val="Compact"/>
            </w:pPr>
            <w:r>
              <w:t xml:space="preserve">Direct response to Rob’s question; reaffirms the team’s established risk tolerance</w:t>
            </w:r>
          </w:p>
        </w:tc>
      </w:tr>
    </w:tbl>
    <w:bookmarkEnd w:id="24"/>
    <w:bookmarkStart w:id="28" w:name="action-items-commitments"/>
    <w:p>
      <w:pPr>
        <w:pStyle w:val="Heading2"/>
      </w:pPr>
      <w:r>
        <w:t xml:space="preserve">Action Items &amp; Commitments</w:t>
      </w:r>
    </w:p>
    <w:bookmarkStart w:id="25" w:name="new-this-period"/>
    <w:p>
      <w:pPr>
        <w:pStyle w:val="Heading3"/>
      </w:pPr>
      <w:r>
        <w:t xml:space="preserve">New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98"/>
        <w:gridCol w:w="1630"/>
        <w:gridCol w:w="1397"/>
        <w:gridCol w:w="2329"/>
        <w:gridCol w:w="186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A-220</w:t>
            </w:r>
          </w:p>
        </w:tc>
        <w:tc>
          <w:tcPr/>
          <w:p>
            <w:pPr>
              <w:pStyle w:val="Compact"/>
            </w:pPr>
            <w:r>
              <w:t xml:space="preserve">Rob / Varun</w:t>
            </w:r>
          </w:p>
        </w:tc>
        <w:tc>
          <w:tcPr/>
          <w:p>
            <w:pPr>
              <w:pStyle w:val="Compact"/>
            </w:pPr>
            <w:r>
              <w:t xml:space="preserve">Provide an updated contingency-budget usage estimate and revised project timeline once FAMCare database access is obtained and assessed</w:t>
            </w:r>
          </w:p>
        </w:tc>
        <w:tc>
          <w:tcPr/>
          <w:p>
            <w:pPr>
              <w:pStyle w:val="Compact"/>
            </w:pPr>
            <w:r>
              <w:t xml:space="preserve">2026-08-13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A-221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Relay Rob’s UAT-pacing context to PCFS staff and keep expectations aligned as staggered module-by-module testing continues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A-222</w:t>
            </w:r>
          </w:p>
        </w:tc>
        <w:tc>
          <w:tcPr/>
          <w:p>
            <w:pPr>
              <w:pStyle w:val="Compact"/>
            </w:pPr>
            <w:r>
              <w:t xml:space="preserve">Varun</w:t>
            </w:r>
          </w:p>
        </w:tc>
        <w:tc>
          <w:tcPr/>
          <w:p>
            <w:pPr>
              <w:pStyle w:val="Compact"/>
            </w:pPr>
            <w:r>
              <w:t xml:space="preserve">Once the production environment build completes this week, begin working with a copy of the FAMCare database for the data migration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25"/>
    <w:bookmarkStart w:id="26" w:name="changed-this-period"/>
    <w:p>
      <w:pPr>
        <w:pStyle w:val="Heading3"/>
      </w:pPr>
      <w:r>
        <w:t xml:space="preserve">Changed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565"/>
        <w:gridCol w:w="1320"/>
        <w:gridCol w:w="1131"/>
        <w:gridCol w:w="1885"/>
        <w:gridCol w:w="1508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A-213</w:t>
            </w:r>
          </w:p>
        </w:tc>
        <w:tc>
          <w:tcPr/>
          <w:p>
            <w:pPr>
              <w:pStyle w:val="Compact"/>
            </w:pPr>
            <w:r>
              <w:t xml:space="preserve">Marcus / Rob</w:t>
            </w:r>
          </w:p>
        </w:tc>
        <w:tc>
          <w:tcPr/>
          <w:p>
            <w:pPr>
              <w:pStyle w:val="Compact"/>
            </w:pPr>
            <w:r>
              <w:t xml:space="preserve">Assess whether a change request and contingency budget are needed for FAMCare’s database structure during migration scripting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Confirmed by Rob (Jul 30) as needed — amount still TBD pending further data assessment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A-219</w:t>
            </w:r>
          </w:p>
        </w:tc>
        <w:tc>
          <w:tcPr/>
          <w:p>
            <w:pPr>
              <w:pStyle w:val="Compact"/>
            </w:pPr>
            <w:r>
              <w:t xml:space="preserve">Marcus / Varun / Ross / Rob</w:t>
            </w:r>
          </w:p>
        </w:tc>
        <w:tc>
          <w:tcPr/>
          <w:p>
            <w:pPr>
              <w:pStyle w:val="Compact"/>
            </w:pPr>
            <w:r>
              <w:t xml:space="preserve">Meet with Campfire Help Desk to begin building the Waabanong production environment</w:t>
            </w:r>
          </w:p>
        </w:tc>
        <w:tc>
          <w:tcPr/>
          <w:p>
            <w:pPr>
              <w:pStyle w:val="Compact"/>
            </w:pPr>
            <w:r>
              <w:t xml:space="preserve">2026-07-31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Kickoff meeting confirmed happening today (Aug 4); Ross expects the build completed this week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Compile and send Ross a consolidated go-live readiness update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Still not sent — the newly-confirmed timeline slip (two named causes) makes this increasingly overdue to formalize</w:t>
            </w:r>
          </w:p>
        </w:tc>
      </w:tr>
    </w:tbl>
    <w:bookmarkEnd w:id="26"/>
    <w:bookmarkStart w:id="27" w:name="carried-forward-no-change"/>
    <w:p>
      <w:pPr>
        <w:pStyle w:val="Heading3"/>
      </w:pPr>
      <w:r>
        <w:t xml:space="preserve">Carried Forward (No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4"/>
        <w:gridCol w:w="1131"/>
        <w:gridCol w:w="969"/>
        <w:gridCol w:w="1616"/>
        <w:gridCol w:w="1293"/>
        <w:gridCol w:w="24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Periods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A-104</w:t>
            </w:r>
          </w:p>
        </w:tc>
        <w:tc>
          <w:tcPr/>
          <w:p>
            <w:pPr>
              <w:pStyle w:val="Compact"/>
            </w:pPr>
            <w:r>
              <w:t xml:space="preserve">Christine</w:t>
            </w:r>
          </w:p>
        </w:tc>
        <w:tc>
          <w:tcPr/>
          <w:p>
            <w:pPr>
              <w:pStyle w:val="Compact"/>
            </w:pPr>
            <w:r>
              <w:t xml:space="preserve">Consult Kinship department and QA to ensure licensing and placement info accurately represented in system design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A-118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Design and implement finance dashboard; GL mapping, PO flow, and summary view confirmed in June 19 session</w:t>
            </w:r>
          </w:p>
        </w:tc>
        <w:tc>
          <w:tcPr/>
          <w:p>
            <w:pPr>
              <w:pStyle w:val="Compact"/>
            </w:pPr>
            <w:r>
              <w:t xml:space="preserve">2026-04-23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A-127</w:t>
            </w:r>
          </w:p>
        </w:tc>
        <w:tc>
          <w:tcPr/>
          <w:p>
            <w:pPr>
              <w:pStyle w:val="Compact"/>
            </w:pPr>
            <w:r>
              <w:t xml:space="preserve">Christine / Clemene / Marcus</w:t>
            </w:r>
          </w:p>
        </w:tc>
        <w:tc>
          <w:tcPr/>
          <w:p>
            <w:pPr>
              <w:pStyle w:val="Compact"/>
            </w:pPr>
            <w:r>
              <w:t xml:space="preserve">Provide IDFusion with complete list and definitions of all legal terms used by agency, then cross-reference agency law/regulations with system terminology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A-129</w:t>
            </w:r>
          </w:p>
        </w:tc>
        <w:tc>
          <w:tcPr/>
          <w:p>
            <w:pPr>
              <w:pStyle w:val="Compact"/>
            </w:pPr>
            <w:r>
              <w:t xml:space="preserve">IDFusion / Kelvin</w:t>
            </w:r>
          </w:p>
        </w:tc>
        <w:tc>
          <w:tcPr/>
          <w:p>
            <w:pPr>
              <w:pStyle w:val="Compact"/>
            </w:pPr>
            <w:r>
              <w:t xml:space="preserve">Set up alpha testing access for Kelvin, Christine, and Darryl; formal sign-off procedure still pending</w:t>
            </w:r>
          </w:p>
        </w:tc>
        <w:tc>
          <w:tcPr/>
          <w:p>
            <w:pPr>
              <w:pStyle w:val="Compact"/>
            </w:pPr>
            <w:r>
              <w:t xml:space="preserve">2026-05-07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A-130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Translate project timeline into Outlook calendar invites for key testing/review milestones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A-131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Implement Apr 13 demo feedback items (footer, gender options, profile types, abuse tab, address history, etc.)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A-135</w:t>
            </w:r>
          </w:p>
        </w:tc>
        <w:tc>
          <w:tcPr/>
          <w:p>
            <w:pPr>
              <w:pStyle w:val="Compact"/>
            </w:pPr>
            <w:r>
              <w:t xml:space="preserve">IDFusion / Rob / Ross</w:t>
            </w:r>
          </w:p>
        </w:tc>
        <w:tc>
          <w:tcPr/>
          <w:p>
            <w:pPr>
              <w:pStyle w:val="Compact"/>
            </w:pPr>
            <w:r>
              <w:t xml:space="preserve">Define post-go-live support tiers (bronze/silver/gold) and SLAs</w:t>
            </w:r>
          </w:p>
        </w:tc>
        <w:tc>
          <w:tcPr/>
          <w:p>
            <w:pPr>
              <w:pStyle w:val="Compact"/>
            </w:pPr>
            <w:r>
              <w:t xml:space="preserve">2026-05-28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A-136</w:t>
            </w:r>
          </w:p>
        </w:tc>
        <w:tc>
          <w:tcPr/>
          <w:p>
            <w:pPr>
              <w:pStyle w:val="Compact"/>
            </w:pPr>
            <w:r>
              <w:t xml:space="preserve">Bev / Christine / Barry / Clemene</w:t>
            </w:r>
          </w:p>
        </w:tc>
        <w:tc>
          <w:tcPr/>
          <w:p>
            <w:pPr>
              <w:pStyle w:val="Compact"/>
            </w:pPr>
            <w:r>
              <w:t xml:space="preserve">Send all finance templates and forms; RBC bank export column headers still needed</w:t>
            </w:r>
          </w:p>
        </w:tc>
        <w:tc>
          <w:tcPr/>
          <w:p>
            <w:pPr>
              <w:pStyle w:val="Compact"/>
            </w:pPr>
            <w:r>
              <w:t xml:space="preserve">2026-04-28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A-150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finance PO workflow wireframes and finance tab filter/column changes from Jul 3 review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A-151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Redesign abuse module as intake-form wizard per May 11 reset decision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A-152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Implement global holiday calendar in Wabanong system settings for SLA calculations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A-153</w:t>
            </w:r>
          </w:p>
        </w:tc>
        <w:tc>
          <w:tcPr/>
          <w:p>
            <w:pPr>
              <w:pStyle w:val="Compact"/>
            </w:pPr>
            <w:r>
              <w:t xml:space="preserve">Kelvin (PCFS)</w:t>
            </w:r>
          </w:p>
        </w:tc>
        <w:tc>
          <w:tcPr/>
          <w:p>
            <w:pPr>
              <w:pStyle w:val="Compact"/>
            </w:pPr>
            <w:r>
              <w:t xml:space="preserve">Send finalized abuse investigation conclusion terminology; provide provincial abuse form fields for copy-assist mapping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A-155</w:t>
            </w:r>
          </w:p>
        </w:tc>
        <w:tc>
          <w:tcPr/>
          <w:p>
            <w:pPr>
              <w:pStyle w:val="Compact"/>
            </w:pPr>
            <w:r>
              <w:t xml:space="preserve">Marcus / Darryl Boulanger (PCFS)</w:t>
            </w:r>
          </w:p>
        </w:tc>
        <w:tc>
          <w:tcPr/>
          <w:p>
            <w:pPr>
              <w:pStyle w:val="Compact"/>
            </w:pPr>
            <w:r>
              <w:t xml:space="preserve">Follow up re: missing Manitoba CFS Act abuse issue categories for intake form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Clarify how</w:t>
            </w:r>
            <w:r>
              <w:t xml:space="preserve"> </w:t>
            </w:r>
            <w:r>
              <w:t xml:space="preserve">“parenting time”</w:t>
            </w:r>
            <w:r>
              <w:t xml:space="preserve"> </w:t>
            </w:r>
            <w:r>
              <w:t xml:space="preserve">is determined for case anchoring (both parents Peguis members)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A-157</w:t>
            </w:r>
          </w:p>
        </w:tc>
        <w:tc>
          <w:tcPr/>
          <w:p>
            <w:pPr>
              <w:pStyle w:val="Compact"/>
            </w:pPr>
            <w:r>
              <w:t xml:space="preserve">Marcus / Gabrielle</w:t>
            </w:r>
          </w:p>
        </w:tc>
        <w:tc>
          <w:tcPr/>
          <w:p>
            <w:pPr>
              <w:pStyle w:val="Compact"/>
            </w:pPr>
            <w:r>
              <w:t xml:space="preserve">Update ongoing services wireframes; schedule follow-up review with CRD team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In Progress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A-160</w:t>
            </w:r>
          </w:p>
        </w:tc>
        <w:tc>
          <w:tcPr/>
          <w:p>
            <w:pPr>
              <w:pStyle w:val="Compact"/>
            </w:pPr>
            <w:r>
              <w:t xml:space="preserve">Ross (IDFusion)</w:t>
            </w:r>
          </w:p>
        </w:tc>
        <w:tc>
          <w:tcPr/>
          <w:p>
            <w:pPr>
              <w:pStyle w:val="Compact"/>
            </w:pPr>
            <w:r>
              <w:t xml:space="preserve">Document</w:t>
            </w:r>
            <w:r>
              <w:t xml:space="preserve"> </w:t>
            </w:r>
            <w:r>
              <w:t xml:space="preserve">“Finance Assigner”</w:t>
            </w:r>
            <w:r>
              <w:t xml:space="preserve"> </w:t>
            </w:r>
            <w:r>
              <w:t xml:space="preserve">role: queue visibility and task assignment capabilities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A-171</w:t>
            </w:r>
          </w:p>
        </w:tc>
        <w:tc>
          <w:tcPr/>
          <w:p>
            <w:pPr>
              <w:pStyle w:val="Compact"/>
            </w:pPr>
            <w:r>
              <w:t xml:space="preserve">Marcus (Rob)</w:t>
            </w:r>
          </w:p>
        </w:tc>
        <w:tc>
          <w:tcPr/>
          <w:p>
            <w:pPr>
              <w:pStyle w:val="Compact"/>
            </w:pPr>
            <w:r>
              <w:t xml:space="preserve">Send updated PCFS status report: revised July go-live, abuse as separate iteration, updated meeting cadence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A-176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Clarify which budget pool covers intake-related purchases (operations vs. prevention/family service)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A-177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Implement dual supervisor task assignment in intake task modal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A-178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Add optional case synopsis/summary field at end of intake form; carry over to case file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A-179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Submit development ticket for issue categories expansion to full CFIS list — go-live blocker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A-180</w:t>
            </w:r>
          </w:p>
        </w:tc>
        <w:tc>
          <w:tcPr/>
          <w:p>
            <w:pPr>
              <w:pStyle w:val="Compact"/>
            </w:pPr>
            <w:r>
              <w:t xml:space="preserve">Ross / Darryl</w:t>
            </w:r>
          </w:p>
        </w:tc>
        <w:tc>
          <w:tcPr/>
          <w:p>
            <w:pPr>
              <w:pStyle w:val="Compact"/>
            </w:pPr>
            <w:r>
              <w:t xml:space="preserve">Schedule follow-up intake practice run sessions; coordinate with Marcus/Gabrielle for follow-up reviews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A-181</w:t>
            </w:r>
          </w:p>
        </w:tc>
        <w:tc>
          <w:tcPr/>
          <w:p>
            <w:pPr>
              <w:pStyle w:val="Compact"/>
            </w:pPr>
            <w:r>
              <w:t xml:space="preserve">Ross / Gabrielle / Marcus</w:t>
            </w:r>
          </w:p>
        </w:tc>
        <w:tc>
          <w:tcPr/>
          <w:p>
            <w:pPr>
              <w:pStyle w:val="Compact"/>
            </w:pPr>
            <w:r>
              <w:t xml:space="preserve">Define and implement intake supervisor finance permissions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A-182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Activate UAT accounts for newly added team members; send UAT session summary to June 16 participants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A-184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Create/confirm bug ticket for</w:t>
            </w:r>
            <w:r>
              <w:t xml:space="preserve"> </w:t>
            </w:r>
            <w:r>
              <w:t xml:space="preserve">“open services”</w:t>
            </w:r>
            <w:r>
              <w:t xml:space="preserve"> </w:t>
            </w:r>
            <w:r>
              <w:t xml:space="preserve">not showing in person search results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A-187</w:t>
            </w:r>
          </w:p>
        </w:tc>
        <w:tc>
          <w:tcPr/>
          <w:p>
            <w:pPr>
              <w:pStyle w:val="Compact"/>
            </w:pPr>
            <w:r>
              <w:t xml:space="preserve">Rob / Marcus / Gabrielle</w:t>
            </w:r>
          </w:p>
        </w:tc>
        <w:tc>
          <w:tcPr/>
          <w:p>
            <w:pPr>
              <w:pStyle w:val="Compact"/>
            </w:pPr>
            <w:r>
              <w:t xml:space="preserve">Review all shared finance documentation; compile requirements summary and schedule follow-up finance design session</w:t>
            </w:r>
          </w:p>
        </w:tc>
        <w:tc>
          <w:tcPr/>
          <w:p>
            <w:pPr>
              <w:pStyle w:val="Compact"/>
            </w:pPr>
            <w:r>
              <w:t xml:space="preserve">2026-07-02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A-189</w:t>
            </w:r>
          </w:p>
        </w:tc>
        <w:tc>
          <w:tcPr/>
          <w:p>
            <w:pPr>
              <w:pStyle w:val="Compact"/>
            </w:pPr>
            <w:r>
              <w:t xml:space="preserve">Marcus / Ross / Varun</w:t>
            </w:r>
          </w:p>
        </w:tc>
        <w:tc>
          <w:tcPr/>
          <w:p>
            <w:pPr>
              <w:pStyle w:val="Compact"/>
            </w:pPr>
            <w:r>
              <w:t xml:space="preserve">Obtain access to live (scrubbed) FAMCare production data — due date passed 2026-07-15 without resolution</w:t>
            </w:r>
          </w:p>
        </w:tc>
        <w:tc>
          <w:tcPr/>
          <w:p>
            <w:pPr>
              <w:pStyle w:val="Compact"/>
            </w:pPr>
            <w:r>
              <w:t xml:space="preserve">2026-07-15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A-197</w:t>
            </w:r>
          </w:p>
        </w:tc>
        <w:tc>
          <w:tcPr/>
          <w:p>
            <w:pPr>
              <w:pStyle w:val="Compact"/>
            </w:pPr>
            <w:r>
              <w:t xml:space="preserve">Ross / Marcus / Gabrielle</w:t>
            </w:r>
          </w:p>
        </w:tc>
        <w:tc>
          <w:tcPr/>
          <w:p>
            <w:pPr>
              <w:pStyle w:val="Compact"/>
            </w:pPr>
            <w:r>
              <w:t xml:space="preserve">Schedule meeting to align frontline/finance terminology; document funding-determination role ownership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A-201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Implement</w:t>
            </w:r>
            <w:r>
              <w:t xml:space="preserve"> </w:t>
            </w:r>
            <w:r>
              <w:t xml:space="preserve">“Complete Task”</w:t>
            </w:r>
            <w:r>
              <w:t xml:space="preserve"> </w:t>
            </w:r>
            <w:r>
              <w:t xml:space="preserve">button (replacing</w:t>
            </w:r>
            <w:r>
              <w:t xml:space="preserve"> </w:t>
            </w:r>
            <w:r>
              <w:t xml:space="preserve">“Edit Task”</w:t>
            </w:r>
            <w:r>
              <w:t xml:space="preserve">) with Yes/No confirmation dialog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A-205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Pre-identify key test cases and perform side-by-side checks after DB import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A-206</w:t>
            </w:r>
          </w:p>
        </w:tc>
        <w:tc>
          <w:tcPr/>
          <w:p>
            <w:pPr>
              <w:pStyle w:val="Compact"/>
            </w:pPr>
            <w:r>
              <w:t xml:space="preserve">Ross / Varun</w:t>
            </w:r>
          </w:p>
        </w:tc>
        <w:tc>
          <w:tcPr/>
          <w:p>
            <w:pPr>
              <w:pStyle w:val="Compact"/>
            </w:pPr>
            <w:r>
              <w:t xml:space="preserve">Schedule pre-go-live stress test — reconfirmed as a firm Ross request (Jul 21–22)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A-208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Check with Gabrielle on current state of service-referral functionality (Rainbow Lodge/Sun Lodge-type referrals)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A-209</w:t>
            </w:r>
          </w:p>
        </w:tc>
        <w:tc>
          <w:tcPr/>
          <w:p>
            <w:pPr>
              <w:pStyle w:val="Compact"/>
            </w:pPr>
            <w:r>
              <w:t xml:space="preserve">Varun</w:t>
            </w:r>
          </w:p>
        </w:tc>
        <w:tc>
          <w:tcPr/>
          <w:p>
            <w:pPr>
              <w:pStyle w:val="Compact"/>
            </w:pPr>
            <w:r>
              <w:t xml:space="preserve">Review the revised data migration/cutover plan; confirm test-environment access and PHP install needs</w:t>
            </w:r>
          </w:p>
        </w:tc>
        <w:tc>
          <w:tcPr/>
          <w:p>
            <w:pPr>
              <w:pStyle w:val="Compact"/>
            </w:pPr>
            <w:r>
              <w:t xml:space="preserve">2026-07-27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A-210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Reconcile signed-SOW status with Rob — confirm with Rob/Ross that a signed copy is on file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A-212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Review the finance process for ongoing services with Ross’s team</w:t>
            </w:r>
          </w:p>
        </w:tc>
        <w:tc>
          <w:tcPr/>
          <w:p>
            <w:pPr>
              <w:pStyle w:val="Compact"/>
            </w:pPr>
            <w:r>
              <w:t xml:space="preserve">2026-07-23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A-214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Send Rupen and Leanne the test-environment access email and a cheat sheet for logging tickets</w:t>
            </w:r>
          </w:p>
        </w:tc>
        <w:tc>
          <w:tcPr/>
          <w:p>
            <w:pPr>
              <w:pStyle w:val="Compact"/>
            </w:pPr>
            <w:r>
              <w:t xml:space="preserve">2026-07-30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A-215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Pull the organizational chart from Bamboo and send CRD/supervisor/worker names to IDFusion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A-216</w:t>
            </w:r>
          </w:p>
        </w:tc>
        <w:tc>
          <w:tcPr/>
          <w:p>
            <w:pPr>
              <w:pStyle w:val="Compact"/>
            </w:pPr>
            <w:r>
              <w:t xml:space="preserve">Ross</w:t>
            </w:r>
          </w:p>
        </w:tc>
        <w:tc>
          <w:tcPr/>
          <w:p>
            <w:pPr>
              <w:pStyle w:val="Compact"/>
            </w:pPr>
            <w:r>
              <w:t xml:space="preserve">Coordinate a pretest session with CRDs and supervisors; send meeting invite (targeting Aug 7)</w:t>
            </w:r>
          </w:p>
        </w:tc>
        <w:tc>
          <w:tcPr/>
          <w:p>
            <w:pPr>
              <w:pStyle w:val="Compact"/>
            </w:pPr>
            <w:r>
              <w:t xml:space="preserve">2026-08-07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A-217</w:t>
            </w:r>
          </w:p>
        </w:tc>
        <w:tc>
          <w:tcPr/>
          <w:p>
            <w:pPr>
              <w:pStyle w:val="Compact"/>
            </w:pPr>
            <w:r>
              <w:t xml:space="preserve">IDFusion dev</w:t>
            </w:r>
          </w:p>
        </w:tc>
        <w:tc>
          <w:tcPr/>
          <w:p>
            <w:pPr>
              <w:pStyle w:val="Compact"/>
            </w:pPr>
            <w:r>
              <w:t xml:space="preserve">Fix two case-file bugs from the Jul 28 UAT walkthrough (case-reference structure, director-reassignment bug)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A-218</w:t>
            </w:r>
          </w:p>
        </w:tc>
        <w:tc>
          <w:tcPr/>
          <w:p>
            <w:pPr>
              <w:pStyle w:val="Compact"/>
            </w:pPr>
            <w:r>
              <w:t xml:space="preserve">IDFusion dev / Ross</w:t>
            </w:r>
          </w:p>
        </w:tc>
        <w:tc>
          <w:tcPr/>
          <w:p>
            <w:pPr>
              <w:pStyle w:val="Compact"/>
            </w:pPr>
            <w:r>
              <w:t xml:space="preserve">Correct the placement-type dropdown list and create a</w:t>
            </w:r>
            <w:r>
              <w:t xml:space="preserve"> </w:t>
            </w:r>
            <w:r>
              <w:t xml:space="preserve">“Wabanong admin”</w:t>
            </w:r>
            <w:r>
              <w:t xml:space="preserve"> </w:t>
            </w:r>
            <w:r>
              <w:t xml:space="preserve">role before case file UAT resumes</w:t>
            </w:r>
          </w:p>
        </w:tc>
        <w:tc>
          <w:tcPr/>
          <w:p>
            <w:pPr>
              <w:pStyle w:val="Compact"/>
            </w:pPr>
            <w:r>
              <w:t xml:space="preserve">2026-08-06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i/>
          <w:iCs/>
        </w:rPr>
        <w:t xml:space="preserve">⚠️ = open 8+ periods — flagged for aging review.</w:t>
      </w:r>
    </w:p>
    <w:bookmarkEnd w:id="27"/>
    <w:bookmarkEnd w:id="28"/>
    <w:bookmarkStart w:id="32" w:name="issues-risks"/>
    <w:p>
      <w:pPr>
        <w:pStyle w:val="Heading2"/>
      </w:pPr>
      <w:r>
        <w:t xml:space="preserve">Issues &amp; Risks</w:t>
      </w:r>
    </w:p>
    <w:bookmarkStart w:id="29" w:name="new-this-period-1"/>
    <w:p>
      <w:pPr>
        <w:pStyle w:val="Heading3"/>
      </w:pPr>
      <w:r>
        <w:t xml:space="preserve">New This Period</w:t>
      </w:r>
    </w:p>
    <w:p>
      <w:pPr>
        <w:pStyle w:val="FirstParagraph"/>
      </w:pPr>
      <w:r>
        <w:t xml:space="preserve">None this period.</w:t>
      </w:r>
    </w:p>
    <w:bookmarkEnd w:id="29"/>
    <w:bookmarkStart w:id="30" w:name="changed-this-period-1"/>
    <w:p>
      <w:pPr>
        <w:pStyle w:val="Heading3"/>
      </w:pPr>
      <w:r>
        <w:t xml:space="preserve">Changed This Period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"/>
        <w:gridCol w:w="2059"/>
        <w:gridCol w:w="1425"/>
        <w:gridCol w:w="1108"/>
        <w:gridCol w:w="1584"/>
        <w:gridCol w:w="126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Update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I-029</w:t>
            </w:r>
          </w:p>
        </w:tc>
        <w:tc>
          <w:tcPr/>
          <w:p>
            <w:pPr>
              <w:pStyle w:val="Compact"/>
            </w:pPr>
            <w:r>
              <w:t xml:space="preserve">Timeline slippage — go-live revised to end of July 2026; formal contract re-baselining still pending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Rob explicitly confirmed (Jul 30) the go-live timeline is slipping again, citing two named causes: slower-than-expected live-data access, and staggered UAT delaying reporting/dashboard module design. Formal contract re-baselining still not done.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I-042</w:t>
            </w:r>
          </w:p>
        </w:tc>
        <w:tc>
          <w:tcPr/>
          <w:p>
            <w:pPr>
              <w:pStyle w:val="Compact"/>
            </w:pPr>
            <w:r>
              <w:t xml:space="preserve">FAMCare live schema diverges significantly from the test snapshot; database structure poor quality</w:t>
            </w:r>
          </w:p>
        </w:tc>
        <w:tc>
          <w:tcPr/>
          <w:p>
            <w:pPr>
              <w:pStyle w:val="Compact"/>
            </w:pPr>
            <w:r>
              <w:t xml:space="preserve">Medium-High</w:t>
            </w:r>
          </w:p>
        </w:tc>
        <w:tc>
          <w:tcPr/>
          <w:p>
            <w:pPr>
              <w:pStyle w:val="Compact"/>
            </w:pPr>
            <w:r>
              <w:t xml:space="preserve">Varun / Marcus</w:t>
            </w:r>
          </w:p>
        </w:tc>
        <w:tc>
          <w:tcPr/>
          <w:p>
            <w:pPr>
              <w:pStyle w:val="Compact"/>
            </w:pPr>
            <w:r>
              <w:t xml:space="preserve">2026-07-09</w:t>
            </w:r>
          </w:p>
        </w:tc>
        <w:tc>
          <w:tcPr/>
          <w:p>
            <w:pPr>
              <w:pStyle w:val="Compact"/>
            </w:pPr>
            <w:r>
              <w:t xml:space="preserve">Contingency-budget need confirmed as real by Rob — no longer just a possibility; amount still unknown pending further data assessment.</w:t>
            </w:r>
          </w:p>
        </w:tc>
      </w:tr>
    </w:tbl>
    <w:bookmarkEnd w:id="30"/>
    <w:bookmarkStart w:id="31" w:name="carried-forward-no-change-1"/>
    <w:p>
      <w:pPr>
        <w:pStyle w:val="Heading3"/>
      </w:pPr>
      <w:r>
        <w:t xml:space="preserve">Carried Forward (No Change)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16"/>
        <w:gridCol w:w="1806"/>
        <w:gridCol w:w="1250"/>
        <w:gridCol w:w="972"/>
        <w:gridCol w:w="1389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Due Date</w:t>
            </w:r>
          </w:p>
        </w:tc>
        <w:tc>
          <w:tcPr/>
          <w:p>
            <w:pPr>
              <w:pStyle w:val="Compact"/>
            </w:pPr>
            <w:r>
              <w:t xml:space="preserve">Periods 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I-018</w:t>
            </w:r>
          </w:p>
        </w:tc>
        <w:tc>
          <w:tcPr/>
          <w:p>
            <w:pPr>
              <w:pStyle w:val="Compact"/>
            </w:pPr>
            <w:r>
              <w:t xml:space="preserve">Finance/Sage integration requirements incomplete — formal data entry screen design and Sage integration still pending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Hailey / Marcus</w:t>
            </w:r>
          </w:p>
        </w:tc>
        <w:tc>
          <w:tcPr/>
          <w:p>
            <w:pPr>
              <w:pStyle w:val="Compact"/>
            </w:pPr>
            <w:r>
              <w:t xml:space="preserve">2026-01-29</w:t>
            </w:r>
          </w:p>
        </w:tc>
        <w:tc>
          <w:tcPr/>
          <w:p>
            <w:pPr>
              <w:pStyle w:val="Compact"/>
            </w:pPr>
            <w:r>
              <w:t xml:space="preserve">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I-029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(see Changed This Period above)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I-032</w:t>
            </w:r>
          </w:p>
        </w:tc>
        <w:tc>
          <w:tcPr/>
          <w:p>
            <w:pPr>
              <w:pStyle w:val="Compact"/>
            </w:pPr>
            <w:r>
              <w:t xml:space="preserve">Development timeline at risk — case file, finance, and abuse iterations still ahead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2026-03-12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I-033</w:t>
            </w:r>
          </w:p>
        </w:tc>
        <w:tc>
          <w:tcPr/>
          <w:p>
            <w:pPr>
              <w:pStyle w:val="Compact"/>
            </w:pPr>
            <w:r>
              <w:t xml:space="preserve">Address-based search confirmed as new development requirement — moved to roadmap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2026-03-26</w:t>
            </w:r>
          </w:p>
        </w:tc>
        <w:tc>
          <w:tcPr/>
          <w:p>
            <w:pPr>
              <w:pStyle w:val="Compact"/>
            </w:pPr>
            <w:r>
              <w:t xml:space="preserve">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I-034</w:t>
            </w:r>
          </w:p>
        </w:tc>
        <w:tc>
          <w:tcPr/>
          <w:p>
            <w:pPr>
              <w:pStyle w:val="Compact"/>
            </w:pPr>
            <w:r>
              <w:t xml:space="preserve">Client-side continuity risk — Haley absent 3+ months; Clemene covering; Alice approaching retirement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Ross</w:t>
            </w:r>
          </w:p>
        </w:tc>
        <w:tc>
          <w:tcPr/>
          <w:p>
            <w:pPr>
              <w:pStyle w:val="Compact"/>
            </w:pPr>
            <w:r>
              <w:t xml:space="preserve">2026-04-07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I-035</w:t>
            </w:r>
          </w:p>
        </w:tc>
        <w:tc>
          <w:tcPr/>
          <w:p>
            <w:pPr>
              <w:pStyle w:val="Compact"/>
            </w:pPr>
            <w:r>
              <w:t xml:space="preserve">Abuse program — carved out as separate wizard-style iteration; internal testing started; UAT not expected ready until week of Aug 3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 / Kelvin / Clemene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I-036</w:t>
            </w:r>
          </w:p>
        </w:tc>
        <w:tc>
          <w:tcPr/>
          <w:p>
            <w:pPr>
              <w:pStyle w:val="Compact"/>
            </w:pPr>
            <w:r>
              <w:t xml:space="preserve">UAT pipeline fully operational — Freshdesk → ClickUp triage active; client+family data module UAT complete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2026-04-30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I-037</w:t>
            </w:r>
          </w:p>
        </w:tc>
        <w:tc>
          <w:tcPr/>
          <w:p>
            <w:pPr>
              <w:pStyle w:val="Compact"/>
            </w:pPr>
            <w:r>
              <w:t xml:space="preserve">Demo environment instability — UAT environment set up in PCFS Azure; risk substantially reduced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I-038</w:t>
            </w:r>
          </w:p>
        </w:tc>
        <w:tc>
          <w:tcPr/>
          <w:p>
            <w:pPr>
              <w:pStyle w:val="Compact"/>
            </w:pPr>
            <w:r>
              <w:t xml:space="preserve">Intake form incomplete — full CFIS issue categories expansion confirmed as mandatory pre-go-live requirement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I-039</w:t>
            </w:r>
          </w:p>
        </w:tc>
        <w:tc>
          <w:tcPr/>
          <w:p>
            <w:pPr>
              <w:pStyle w:val="Compact"/>
            </w:pPr>
            <w:r>
              <w:t xml:space="preserve">Holiday calendar missing — Wabanong timer logic does not yet account for observed holidays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Ross / IDFusion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I-041</w:t>
            </w:r>
          </w:p>
        </w:tc>
        <w:tc>
          <w:tcPr/>
          <w:p>
            <w:pPr>
              <w:pStyle w:val="Compact"/>
            </w:pPr>
            <w:r>
              <w:t xml:space="preserve">UAT bug:</w:t>
            </w:r>
            <w:r>
              <w:t xml:space="preserve"> </w:t>
            </w:r>
            <w:r>
              <w:t xml:space="preserve">“open services”</w:t>
            </w:r>
            <w:r>
              <w:t xml:space="preserve"> </w:t>
            </w:r>
            <w:r>
              <w:t xml:space="preserve">not showing in person search results when initiating a new intake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Gabrielle</w:t>
            </w:r>
          </w:p>
        </w:tc>
        <w:tc>
          <w:tcPr/>
          <w:p>
            <w:pPr>
              <w:pStyle w:val="Compact"/>
            </w:pPr>
            <w:r>
              <w:t xml:space="preserve">2026-06-18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I-043</w:t>
            </w:r>
          </w:p>
        </w:tc>
        <w:tc>
          <w:tcPr/>
          <w:p>
            <w:pPr>
              <w:pStyle w:val="Compact"/>
            </w:pPr>
            <w:r>
              <w:t xml:space="preserve">Client requesting event management (Category E) and Community Circle of Care functionality be pulled into near-term planning; no capacity within current schedule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Marcus</w:t>
            </w:r>
          </w:p>
        </w:tc>
        <w:tc>
          <w:tcPr/>
          <w:p>
            <w:pPr>
              <w:pStyle w:val="Compact"/>
            </w:pPr>
            <w:r>
              <w:t xml:space="preserve">2026-07-16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</w:tbl>
    <w:p>
      <w:pPr>
        <w:pStyle w:val="BodyText"/>
      </w:pPr>
      <w:r>
        <w:rPr>
          <w:i/>
          <w:iCs/>
        </w:rPr>
        <w:t xml:space="preserve">⚠️ = open 8+ periods — flagged for aging review.</w:t>
      </w:r>
    </w:p>
    <w:bookmarkEnd w:id="31"/>
    <w:bookmarkEnd w:id="32"/>
    <w:bookmarkStart w:id="37" w:name="return-to-green-plans"/>
    <w:p>
      <w:pPr>
        <w:pStyle w:val="Heading2"/>
      </w:pPr>
      <w:r>
        <w:t xml:space="preserve">Return to Green Plans</w:t>
      </w:r>
    </w:p>
    <w:bookmarkStart w:id="33" w:name="overall-red-first-flagged-2025-w48"/>
    <w:p>
      <w:pPr>
        <w:pStyle w:val="Heading3"/>
      </w:pPr>
      <w:r>
        <w:t xml:space="preserve">Overall — 🔴 Red (first flagged: 2025-W48)</w:t>
      </w:r>
    </w:p>
    <w:p>
      <w:pPr>
        <w:pStyle w:val="Compact"/>
        <w:numPr>
          <w:ilvl w:val="0"/>
          <w:numId w:val="1002"/>
        </w:numPr>
      </w:pPr>
      <w:r>
        <w:t xml:space="preserve">Get the updated contingency-budget usage and revised timeline from Rob’s team once DB access is obtained (A-220)</w:t>
      </w:r>
    </w:p>
    <w:p>
      <w:pPr>
        <w:pStyle w:val="Compact"/>
        <w:numPr>
          <w:ilvl w:val="0"/>
          <w:numId w:val="1002"/>
        </w:numPr>
      </w:pPr>
      <w:r>
        <w:t xml:space="preserve">Begin FAMCare data migration work once the production environment build completes (A-222)</w:t>
      </w:r>
    </w:p>
    <w:p>
      <w:pPr>
        <w:pStyle w:val="Compact"/>
        <w:numPr>
          <w:ilvl w:val="0"/>
          <w:numId w:val="1002"/>
        </w:numPr>
      </w:pPr>
      <w:r>
        <w:t xml:space="preserve">Deliver the consolidated go-live readiness update to Ross — now more urgent given the confirmed timeline slip (A-202)</w:t>
      </w:r>
    </w:p>
    <w:p>
      <w:pPr>
        <w:pStyle w:val="Compact"/>
        <w:numPr>
          <w:ilvl w:val="0"/>
          <w:numId w:val="1002"/>
        </w:numPr>
      </w:pPr>
      <w:r>
        <w:t xml:space="preserve">Fix the case-reference and director-reassignment bugs before broader case file testing continues (A-217); correct the placement-type list and stand up the Wabanong admin role (A-218)</w:t>
      </w:r>
    </w:p>
    <w:p>
      <w:pPr>
        <w:pStyle w:val="Compact"/>
        <w:numPr>
          <w:ilvl w:val="0"/>
          <w:numId w:val="1002"/>
        </w:numPr>
      </w:pPr>
      <w:r>
        <w:t xml:space="preserve">Resolve production-data anonymization approach so scrubbed FAMCare data becomes available for migration testing (A-189, I-042)</w:t>
      </w:r>
    </w:p>
    <w:bookmarkEnd w:id="33"/>
    <w:bookmarkStart w:id="34" w:name="schedule-red-first-flagged-2025-w48"/>
    <w:p>
      <w:pPr>
        <w:pStyle w:val="Heading3"/>
      </w:pPr>
      <w:r>
        <w:t xml:space="preserve">Schedule — 🔴 Red (first flagged: 2025-W48)</w:t>
      </w:r>
    </w:p>
    <w:p>
      <w:pPr>
        <w:pStyle w:val="Compact"/>
        <w:numPr>
          <w:ilvl w:val="0"/>
          <w:numId w:val="1003"/>
        </w:numPr>
      </w:pPr>
      <w:r>
        <w:t xml:space="preserve">Formally re-baseline contract timeline with Clemene/Rob — go-live target needs a signed-off schedule, now more pressing given the confirmed slip</w:t>
      </w:r>
    </w:p>
    <w:p>
      <w:pPr>
        <w:pStyle w:val="Compact"/>
        <w:numPr>
          <w:ilvl w:val="0"/>
          <w:numId w:val="1003"/>
        </w:numPr>
      </w:pPr>
      <w:r>
        <w:t xml:space="preserve">Identify critical path: intake UAT → case file UAT → finance UAT → abuse UAT → go-live; confirm each module’s UAT readiness date</w:t>
      </w:r>
    </w:p>
    <w:p>
      <w:pPr>
        <w:pStyle w:val="Compact"/>
        <w:numPr>
          <w:ilvl w:val="0"/>
          <w:numId w:val="1003"/>
        </w:numPr>
      </w:pPr>
      <w:r>
        <w:t xml:space="preserve">Schedule pre-go-live stress test as part of go-live activities (A-206)</w:t>
      </w:r>
    </w:p>
    <w:p>
      <w:pPr>
        <w:pStyle w:val="Compact"/>
        <w:numPr>
          <w:ilvl w:val="0"/>
          <w:numId w:val="1003"/>
        </w:numPr>
      </w:pPr>
      <w:r>
        <w:t xml:space="preserve">Hold the CRD/supervisor pretest session targeting Aug 7 (A-216)</w:t>
      </w:r>
    </w:p>
    <w:bookmarkEnd w:id="34"/>
    <w:bookmarkStart w:id="35" w:name="scope-yellow-first-flagged-2025-w50"/>
    <w:p>
      <w:pPr>
        <w:pStyle w:val="Heading3"/>
      </w:pPr>
      <w:r>
        <w:t xml:space="preserve">Scope — 🟡 Yellow (first flagged: 2025-W50)</w:t>
      </w:r>
    </w:p>
    <w:p>
      <w:pPr>
        <w:pStyle w:val="Compact"/>
        <w:numPr>
          <w:ilvl w:val="0"/>
          <w:numId w:val="1004"/>
        </w:numPr>
      </w:pPr>
      <w:r>
        <w:t xml:space="preserve">Finance scope now partially locked; complete scope definition after Rob’s documentation review (A-187)</w:t>
      </w:r>
    </w:p>
    <w:p>
      <w:pPr>
        <w:pStyle w:val="Compact"/>
        <w:numPr>
          <w:ilvl w:val="0"/>
          <w:numId w:val="1004"/>
        </w:numPr>
      </w:pPr>
      <w:r>
        <w:t xml:space="preserve">Align frontline/finance terminology and funding-determination role ownership (A-197)</w:t>
      </w:r>
    </w:p>
    <w:p>
      <w:pPr>
        <w:pStyle w:val="Compact"/>
        <w:numPr>
          <w:ilvl w:val="0"/>
          <w:numId w:val="1004"/>
        </w:numPr>
      </w:pPr>
      <w:r>
        <w:t xml:space="preserve">Hold roadmap/capacity conversation on event management (Category E) and Community Circle of Care to manage scope-expectation risk (I-043)</w:t>
      </w:r>
    </w:p>
    <w:p>
      <w:pPr>
        <w:pStyle w:val="Compact"/>
        <w:numPr>
          <w:ilvl w:val="0"/>
          <w:numId w:val="1004"/>
        </w:numPr>
      </w:pPr>
      <w:r>
        <w:t xml:space="preserve">Confirm service-referral functionality status with Gabrielle before committing to any scope changes (A-208)</w:t>
      </w:r>
    </w:p>
    <w:bookmarkEnd w:id="35"/>
    <w:bookmarkStart w:id="36" w:name="budget-yellow-first-flagged-2025-w50"/>
    <w:p>
      <w:pPr>
        <w:pStyle w:val="Heading3"/>
      </w:pPr>
      <w:r>
        <w:t xml:space="preserve">Budget — 🟡 Yellow (first flagged: 2025-W50)</w:t>
      </w:r>
    </w:p>
    <w:p>
      <w:pPr>
        <w:pStyle w:val="Compact"/>
        <w:numPr>
          <w:ilvl w:val="0"/>
          <w:numId w:val="1005"/>
        </w:numPr>
      </w:pPr>
      <w:r>
        <w:t xml:space="preserve">Get the contingency-budget usage estimate from Rob’s team once DB access is obtained and assessed (A-220)</w:t>
      </w:r>
    </w:p>
    <w:p>
      <w:pPr>
        <w:pStyle w:val="Compact"/>
        <w:numPr>
          <w:ilvl w:val="0"/>
          <w:numId w:val="1005"/>
        </w:numPr>
      </w:pPr>
      <w:r>
        <w:t xml:space="preserve">Abuse contract amendment still outstanding (A-171); include in next PCFS status report</w:t>
      </w:r>
    </w:p>
    <w:bookmarkEnd w:id="36"/>
    <w:bookmarkEnd w:id="37"/>
    <w:bookmarkStart w:id="38" w:name="next-period-plan"/>
    <w:p>
      <w:pPr>
        <w:pStyle w:val="Heading2"/>
      </w:pPr>
      <w:r>
        <w:t xml:space="preserve">Next Period Plan</w:t>
      </w:r>
    </w:p>
    <w:p>
      <w:pPr>
        <w:pStyle w:val="Compact"/>
        <w:numPr>
          <w:ilvl w:val="0"/>
          <w:numId w:val="1006"/>
        </w:numPr>
      </w:pPr>
      <w:r>
        <w:t xml:space="preserve">Get the contingency-budget usage estimate and revised timeline from Rob’s team (A-220)</w:t>
      </w:r>
    </w:p>
    <w:p>
      <w:pPr>
        <w:pStyle w:val="Compact"/>
        <w:numPr>
          <w:ilvl w:val="0"/>
          <w:numId w:val="1006"/>
        </w:numPr>
      </w:pPr>
      <w:r>
        <w:t xml:space="preserve">Begin FAMCare data migration once environment build completes (A-222)</w:t>
      </w:r>
    </w:p>
    <w:p>
      <w:pPr>
        <w:pStyle w:val="Compact"/>
        <w:numPr>
          <w:ilvl w:val="0"/>
          <w:numId w:val="1006"/>
        </w:numPr>
      </w:pPr>
      <w:r>
        <w:t xml:space="preserve">Relay UAT-pacing context to PCFS staff (A-221)</w:t>
      </w:r>
    </w:p>
    <w:p>
      <w:pPr>
        <w:pStyle w:val="Compact"/>
        <w:numPr>
          <w:ilvl w:val="0"/>
          <w:numId w:val="1006"/>
        </w:numPr>
      </w:pPr>
      <w:r>
        <w:t xml:space="preserve">Send the overdue consolidated go-live readiness update to Ross (A-202)</w:t>
      </w:r>
    </w:p>
    <w:p>
      <w:pPr>
        <w:pStyle w:val="Compact"/>
        <w:numPr>
          <w:ilvl w:val="0"/>
          <w:numId w:val="1006"/>
        </w:numPr>
      </w:pPr>
      <w:r>
        <w:t xml:space="preserve">Revisit M-04’s Estimated End once the revised timeline arrives</w:t>
      </w:r>
    </w:p>
    <w:bookmarkEnd w:id="38"/>
    <w:bookmarkEnd w:id="39"/>
    <w:sectPr w:rsidR="009935A1">
      <w:headerReference r:id="rId7" w:type="default"/>
      <w:footerReference r:id="rId8" w:type="default"/>
      <w:pgSz w:h="15840" w:w="12240"/>
      <w:pgMar w:bottom="1440" w:footer="708" w:gutter="0" w:header="708" w:left="1440" w:right="1440" w:top="144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 Sans">
    <w:panose1 w:val="00000000000000000000"/>
    <w:charset w:val="00"/>
    <w:family w:val="auto"/>
    <w:pitch w:val="variable"/>
    <w:sig w:usb0="E00002EF" w:usb1="4000205B" w:usb2="00000028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38A6A1" w14:textId="77777777" w:rsidR="00C043EE" w:rsidRPr="00C043EE" w:rsidRDefault="00C043EE" w:rsidP="00C043EE">
    <w:pPr>
      <w:pStyle w:val="Footer"/>
      <w:tabs>
        <w:tab w:val="clear" w:pos="8640"/>
        <w:tab w:val="right" w:pos="10065"/>
      </w:tabs>
      <w:rPr>
        <w:sz w:val="20"/>
        <w:szCs w:val="20"/>
      </w:rPr>
    </w:pPr>
    <w:r w:rsidRPr="00862F5A">
      <w:rPr>
        <w:sz w:val="20"/>
        <w:szCs w:val="20"/>
      </w:rPr>
      <w:t>Confidential</w:t>
    </w:r>
    <w:r w:rsidRPr="00862F5A">
      <w:rPr>
        <w:sz w:val="20"/>
        <w:szCs w:val="20"/>
      </w:rPr>
      <w:tab/>
    </w:r>
    <w:r w:rsidRPr="00862F5A">
      <w:rPr>
        <w:sz w:val="20"/>
        <w:szCs w:val="20"/>
      </w:rPr>
      <w:tab/>
      <w:t xml:space="preserve">Page </w:t>
    </w:r>
    <w:r w:rsidRPr="00862F5A">
      <w:rPr>
        <w:sz w:val="20"/>
        <w:szCs w:val="20"/>
      </w:rPr>
      <w:fldChar w:fldCharType="begin"/>
    </w:r>
    <w:r w:rsidRPr="00862F5A">
      <w:rPr>
        <w:sz w:val="20"/>
        <w:szCs w:val="20"/>
      </w:rPr>
      <w:instrText xml:space="preserve"> PAGE   \* MERGEFORMAT </w:instrText>
    </w:r>
    <w:r w:rsidRPr="00862F5A">
      <w:rPr>
        <w:sz w:val="20"/>
        <w:szCs w:val="20"/>
      </w:rPr>
      <w:fldChar w:fldCharType="separate"/>
    </w:r>
    <w:r>
      <w:rPr>
        <w:sz w:val="20"/>
        <w:szCs w:val="20"/>
      </w:rPr>
      <w:t>3</w:t>
    </w:r>
    <w:r w:rsidRPr="00862F5A">
      <w:rPr>
        <w:noProof/>
        <w:sz w:val="20"/>
        <w:szCs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DAD6C" w14:textId="77777777" w:rsidR="00C043EE" w:rsidRDefault="00C043EE">
    <w:pPr>
      <w:pStyle w:val="Header"/>
    </w:pPr>
    <w:r w:rsidRPr="000A7C91">
      <w:rPr>
        <w:noProof/>
        <w:lang w:val="en-CA"/>
      </w:rPr>
      <w:drawing>
        <wp:anchor distT="0" distB="0" distL="114300" distR="114300" simplePos="0" relativeHeight="251660288" behindDoc="1" locked="0" layoutInCell="1" allowOverlap="1" wp14:anchorId="7BE21227" wp14:editId="6919D9B3">
          <wp:simplePos x="0" y="0"/>
          <wp:positionH relativeFrom="margin">
            <wp:posOffset>4895850</wp:posOffset>
          </wp:positionH>
          <wp:positionV relativeFrom="paragraph">
            <wp:posOffset>-115014</wp:posOffset>
          </wp:positionV>
          <wp:extent cx="1428115" cy="357028"/>
          <wp:effectExtent l="0" t="0" r="635" b="5080"/>
          <wp:wrapNone/>
          <wp:docPr id="17" name="Picture 55966380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55966380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28115" cy="35702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A7C91">
      <w:rPr>
        <w:noProof/>
        <w:lang w:val="en-CA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208732" wp14:editId="0BDE2523">
              <wp:simplePos x="0" y="0"/>
              <wp:positionH relativeFrom="margin">
                <wp:posOffset>-933450</wp:posOffset>
              </wp:positionH>
              <wp:positionV relativeFrom="paragraph">
                <wp:posOffset>-481648</wp:posOffset>
              </wp:positionV>
              <wp:extent cx="7971155" cy="156845"/>
              <wp:effectExtent l="0" t="0" r="0" b="0"/>
              <wp:wrapNone/>
              <wp:docPr id="854897863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7971155" cy="156845"/>
                      </a:xfrm>
                      <a:prstGeom prst="rect">
                        <a:avLst/>
                      </a:prstGeom>
                      <a:solidFill>
                        <a:srgbClr val="AEBAB4"/>
                      </a:solidFill>
                      <a:ln w="25400" cap="flat" cmpd="sng" algn="ctr">
                        <a:noFill/>
                        <a:prstDash val="solid"/>
                      </a:ln>
                      <a:effectLst/>
                    </wps:spPr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30A23B6" id="Rectangle 5" o:spid="_x0000_s1026" style="position:absolute;margin-left:-73.5pt;margin-top:-37.95pt;width:627.65pt;height:12.3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" fillcolor="#aebab4" stroked="f" strokeweight="2pt">
              <w10:wrap anchorx="margin"/>
            </v:rect>
          </w:pict>
        </mc:Fallback>
      </mc:AlternateContent>
    </w:r>
    <w:r>
      <w:t>Project: Document</w: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96D1FB6"/>
    <w:multiLevelType w:val="multilevel"/>
    <w:tmpl w:val="D46CE650"/>
    <w:lvl w:ilvl="0">
      <w:start w:val="1"/>
      <w:numFmt w:val="decimal"/>
      <w:pStyle w:val="Heading1"/>
      <w:lvlText w:val="%1"/>
      <w:lvlJc w:val="left"/>
      <w:pPr>
        <w:ind w:hanging="432" w:left="432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15:restartNumberingAfterBreak="0" w:abstractNumId="1">
    <w:nsid w:val="1D4640A9"/>
    <w:multiLevelType w:val="hybridMultilevel"/>
    <w:tmpl w:val="71EE2A0C"/>
    <w:lvl w:ilvl="0" w:tplc="90C2DAFC">
      <w:start w:val="1"/>
      <w:numFmt w:val="bullet"/>
      <w:pStyle w:val="list1"/>
      <w:lvlText w:val=""/>
      <w:lvlJc w:val="left"/>
      <w:pPr>
        <w:ind w:hanging="360" w:left="72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">
    <w:nsid w:val="5D5C55B5"/>
    <w:multiLevelType w:val="hybridMultilevel"/>
    <w:tmpl w:val="A14EAA82"/>
    <w:lvl w:ilvl="0" w:tplc="470A9834">
      <w:start w:val="1"/>
      <w:numFmt w:val="bullet"/>
      <w:pStyle w:val="Bullets"/>
      <w:lvlText w:val=""/>
      <w:lvlJc w:val="left"/>
      <w:pPr>
        <w:ind w:hanging="360" w:left="1080"/>
      </w:pPr>
      <w:rPr>
        <w:rFonts w:ascii="Wingdings" w:cs="Wingdings" w:hAnsi="Wingdings" w:hint="default"/>
        <w:color w:val="8B9C93"/>
      </w:rPr>
    </w:lvl>
    <w:lvl w:ilvl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">
    <w:nsid w:val="7639296F"/>
    <w:multiLevelType w:val="hybridMultilevel"/>
    <w:tmpl w:val="7B9ED200"/>
    <w:lvl w:ilvl="0" w:tplc="0AC0AF6A">
      <w:start w:val="1"/>
      <w:numFmt w:val="bullet"/>
      <w:pStyle w:val="list2"/>
      <w:lvlText w:val=""/>
      <w:lvlJc w:val="left"/>
      <w:pPr>
        <w:ind w:hanging="360" w:left="720"/>
      </w:pPr>
      <w:rPr>
        <w:rFonts w:ascii="Wingdings" w:hAnsi="Wingdings" w:hint="default"/>
        <w:color w:val="8B9C93"/>
        <w:sz w:val="22"/>
        <w:szCs w:val="22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40968611" w:numId="1">
    <w:abstractNumId w:val="0"/>
  </w:num>
  <w:num w16cid:durableId="553346368" w:numId="2">
    <w:abstractNumId w:val="0"/>
  </w:num>
  <w:num w16cid:durableId="1860193300" w:numId="3">
    <w:abstractNumId w:val="0"/>
  </w:num>
  <w:num w16cid:durableId="530654322" w:numId="4">
    <w:abstractNumId w:val="0"/>
  </w:num>
  <w:num w16cid:durableId="91249389" w:numId="5">
    <w:abstractNumId w:val="0"/>
  </w:num>
  <w:num w16cid:durableId="353115934" w:numId="6">
    <w:abstractNumId w:val="0"/>
  </w:num>
  <w:num w16cid:durableId="1918636774" w:numId="7">
    <w:abstractNumId w:val="0"/>
  </w:num>
  <w:num w16cid:durableId="1589654140" w:numId="8">
    <w:abstractNumId w:val="0"/>
  </w:num>
  <w:num w16cid:durableId="1344556015" w:numId="9">
    <w:abstractNumId w:val="0"/>
  </w:num>
  <w:num w16cid:durableId="956136198" w:numId="10">
    <w:abstractNumId w:val="1"/>
  </w:num>
  <w:num w16cid:durableId="844396404" w:numId="11">
    <w:abstractNumId w:val="3"/>
  </w:num>
  <w:num w16cid:durableId="17052457" w:numId="12">
    <w:abstractNumId w:val="2"/>
  </w:num>
  <w:num w16cid:durableId="317267289" w:numId="13">
    <w:abstractNumId w:val="1"/>
  </w:num>
  <w:num w16cid:durableId="829752184" w:numId="14">
    <w:abstractNumId w:val="3"/>
  </w:num>
  <w:num w16cid:durableId="1130515113" w:numId="15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EA"/>
    <w:rsid w:val="00053333"/>
    <w:rsid w:val="002D1A2A"/>
    <w:rsid w:val="00420038"/>
    <w:rsid w:val="0048410D"/>
    <w:rsid w:val="005A75EA"/>
    <w:rsid w:val="00633995"/>
    <w:rsid w:val="00790F5A"/>
    <w:rsid w:val="008328FB"/>
    <w:rsid w:val="009935A1"/>
    <w:rsid w:val="00C043EE"/>
    <w:rsid w:val="00DC0C5E"/>
    <w:rsid w:val="00F81344"/>
    <w:rsid w:val="00F94319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="Open Sans" w:hAnsiTheme="minorHAnsi"/>
        <w:kern w:val="2"/>
        <w:sz w:val="24"/>
        <w:szCs w:val="24"/>
        <w:lang w:bidi="ar-SA" w:eastAsia="en-US" w:val="en-CA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 w:uiPriority="0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420038"/>
    <w:pPr>
      <w:spacing w:after="80" w:before="80" w:line="276" w:lineRule="auto"/>
    </w:pPr>
    <w:rPr>
      <w:rFonts w:ascii="Open Sans" w:cs="Times New Roman" w:hAnsi="Open Sans"/>
      <w:color w:val="404040"/>
      <w:kern w:val="0"/>
      <w:lang w:val="en-US"/>
      <w14:ligatures w14:val="none"/>
    </w:rPr>
  </w:style>
  <w:style w:styleId="Heading1" w:type="paragraph">
    <w:name w:val="heading 1"/>
    <w:basedOn w:val="Normal"/>
    <w:next w:val="Normal"/>
    <w:link w:val="Heading1Char"/>
    <w:uiPriority w:val="9"/>
    <w:qFormat/>
    <w:rsid w:val="00420038"/>
    <w:pPr>
      <w:numPr>
        <w:numId w:val="15"/>
      </w:numPr>
      <w:pBdr>
        <w:bottom w:color="C3CBC7" w:space="1" w:sz="8" w:val="dotted"/>
      </w:pBdr>
      <w:spacing w:after="0" w:before="480"/>
      <w:contextualSpacing/>
      <w:outlineLvl w:val="0"/>
    </w:pPr>
    <w:rPr>
      <w:rFonts w:eastAsia="Times New Roman"/>
      <w:b/>
      <w:bCs/>
      <w:color w:val="000000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420038"/>
    <w:pPr>
      <w:keepNext/>
      <w:numPr>
        <w:ilvl w:val="1"/>
        <w:numId w:val="15"/>
      </w:numPr>
      <w:spacing w:after="0"/>
      <w:outlineLvl w:val="1"/>
    </w:pPr>
    <w:rPr>
      <w:b/>
      <w:bCs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420038"/>
    <w:pPr>
      <w:numPr>
        <w:ilvl w:val="2"/>
        <w:numId w:val="15"/>
      </w:numPr>
      <w:spacing w:after="0" w:before="200" w:line="271" w:lineRule="auto"/>
      <w:outlineLvl w:val="2"/>
    </w:pPr>
    <w:rPr>
      <w:rFonts w:eastAsia="Times New Roman"/>
      <w:b/>
      <w:bCs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420038"/>
    <w:pPr>
      <w:numPr>
        <w:ilvl w:val="3"/>
        <w:numId w:val="15"/>
      </w:numPr>
      <w:spacing w:after="0" w:before="200"/>
      <w:outlineLvl w:val="3"/>
    </w:pPr>
    <w:rPr>
      <w:rFonts w:eastAsia="Times New Roman"/>
      <w:b/>
      <w:bCs/>
      <w:i/>
      <w:iCs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420038"/>
    <w:pPr>
      <w:numPr>
        <w:ilvl w:val="4"/>
        <w:numId w:val="15"/>
      </w:numPr>
      <w:spacing w:after="0" w:before="200"/>
      <w:outlineLvl w:val="4"/>
    </w:pPr>
    <w:rPr>
      <w:rFonts w:eastAsia="Times New Roman"/>
      <w:b/>
      <w:bCs/>
      <w:color w:val="7F7F7F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420038"/>
    <w:pPr>
      <w:numPr>
        <w:ilvl w:val="5"/>
        <w:numId w:val="15"/>
      </w:numPr>
      <w:spacing w:after="0" w:line="271" w:lineRule="auto"/>
      <w:outlineLvl w:val="5"/>
    </w:pPr>
    <w:rPr>
      <w:rFonts w:eastAsia="Times New Roman"/>
      <w:b/>
      <w:bCs/>
      <w:i/>
      <w:iCs/>
      <w:color w:val="7F7F7F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420038"/>
    <w:pPr>
      <w:numPr>
        <w:ilvl w:val="6"/>
        <w:numId w:val="15"/>
      </w:numPr>
      <w:spacing w:after="0"/>
      <w:outlineLvl w:val="6"/>
    </w:pPr>
    <w:rPr>
      <w:rFonts w:eastAsia="Times New Roman"/>
      <w:i/>
      <w:iCs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420038"/>
    <w:pPr>
      <w:numPr>
        <w:ilvl w:val="7"/>
        <w:numId w:val="15"/>
      </w:numPr>
      <w:spacing w:after="0"/>
      <w:outlineLvl w:val="7"/>
    </w:pPr>
    <w:rPr>
      <w:rFonts w:eastAsia="Times New Roman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420038"/>
    <w:pPr>
      <w:numPr>
        <w:ilvl w:val="8"/>
        <w:numId w:val="15"/>
      </w:numPr>
      <w:spacing w:after="0"/>
      <w:outlineLvl w:val="8"/>
    </w:pPr>
    <w:rPr>
      <w:rFonts w:eastAsia="Times New Roman"/>
      <w:i/>
      <w:iCs/>
      <w:spacing w:val="5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link w:val="Heading1"/>
    <w:uiPriority w:val="9"/>
    <w:rsid w:val="00420038"/>
    <w:rPr>
      <w:rFonts w:ascii="Open Sans" w:cs="Times New Roman" w:eastAsia="Times New Roman" w:hAnsi="Open Sans"/>
      <w:b/>
      <w:bCs/>
      <w:color w:val="000000"/>
      <w:kern w:val="0"/>
      <w:sz w:val="32"/>
      <w:szCs w:val="28"/>
      <w:lang w:val="en-US"/>
      <w14:ligatures w14:val="none"/>
    </w:rPr>
  </w:style>
  <w:style w:customStyle="1" w:styleId="Heading2Char" w:type="character">
    <w:name w:val="Heading 2 Char"/>
    <w:link w:val="Heading2"/>
    <w:uiPriority w:val="9"/>
    <w:rsid w:val="00420038"/>
    <w:rPr>
      <w:rFonts w:ascii="Open Sans" w:cs="Times New Roman" w:eastAsia="Open Sans" w:hAnsi="Open Sans"/>
      <w:b/>
      <w:bCs/>
      <w:color w:val="404040"/>
      <w:kern w:val="0"/>
      <w:sz w:val="28"/>
      <w:szCs w:val="26"/>
      <w:lang w:val="en-US"/>
      <w14:ligatures w14:val="none"/>
    </w:rPr>
  </w:style>
  <w:style w:customStyle="1" w:styleId="Heading3Char" w:type="character">
    <w:name w:val="Heading 3 Char"/>
    <w:link w:val="Heading3"/>
    <w:uiPriority w:val="9"/>
    <w:rsid w:val="00420038"/>
    <w:rPr>
      <w:rFonts w:ascii="Open Sans" w:cs="Times New Roman" w:eastAsia="Times New Roman" w:hAnsi="Open Sans"/>
      <w:b/>
      <w:bCs/>
      <w:color w:val="404040"/>
      <w:kern w:val="0"/>
      <w:lang w:val="en-US"/>
      <w14:ligatures w14:val="none"/>
    </w:rPr>
  </w:style>
  <w:style w:customStyle="1" w:styleId="Heading4Char" w:type="character">
    <w:name w:val="Heading 4 Char"/>
    <w:link w:val="Heading4"/>
    <w:uiPriority w:val="9"/>
    <w:rsid w:val="00420038"/>
    <w:rPr>
      <w:rFonts w:ascii="Open Sans" w:cs="Times New Roman" w:eastAsia="Times New Roman" w:hAnsi="Open Sans"/>
      <w:b/>
      <w:bCs/>
      <w:i/>
      <w:iCs/>
      <w:color w:val="404040"/>
      <w:kern w:val="0"/>
      <w:lang w:val="en-US"/>
      <w14:ligatures w14:val="none"/>
    </w:rPr>
  </w:style>
  <w:style w:customStyle="1" w:styleId="Heading5Char" w:type="character">
    <w:name w:val="Heading 5 Char"/>
    <w:link w:val="Heading5"/>
    <w:uiPriority w:val="9"/>
    <w:semiHidden/>
    <w:rsid w:val="00420038"/>
    <w:rPr>
      <w:rFonts w:ascii="Open Sans" w:cs="Times New Roman" w:eastAsia="Times New Roman" w:hAnsi="Open Sans"/>
      <w:b/>
      <w:bCs/>
      <w:color w:val="7F7F7F"/>
      <w:kern w:val="0"/>
      <w:lang w:val="en-US"/>
      <w14:ligatures w14:val="none"/>
    </w:rPr>
  </w:style>
  <w:style w:customStyle="1" w:styleId="Heading6Char" w:type="character">
    <w:name w:val="Heading 6 Char"/>
    <w:link w:val="Heading6"/>
    <w:uiPriority w:val="9"/>
    <w:semiHidden/>
    <w:rsid w:val="00420038"/>
    <w:rPr>
      <w:rFonts w:ascii="Open Sans" w:cs="Times New Roman" w:eastAsia="Times New Roman" w:hAnsi="Open Sans"/>
      <w:b/>
      <w:bCs/>
      <w:i/>
      <w:iCs/>
      <w:color w:val="7F7F7F"/>
      <w:kern w:val="0"/>
      <w:lang w:val="en-US"/>
      <w14:ligatures w14:val="none"/>
    </w:rPr>
  </w:style>
  <w:style w:customStyle="1" w:styleId="Heading7Char" w:type="character">
    <w:name w:val="Heading 7 Char"/>
    <w:link w:val="Heading7"/>
    <w:uiPriority w:val="9"/>
    <w:semiHidden/>
    <w:rsid w:val="00420038"/>
    <w:rPr>
      <w:rFonts w:ascii="Open Sans" w:cs="Times New Roman" w:eastAsia="Times New Roman" w:hAnsi="Open Sans"/>
      <w:i/>
      <w:iCs/>
      <w:color w:val="404040"/>
      <w:kern w:val="0"/>
      <w:lang w:val="en-US"/>
      <w14:ligatures w14:val="none"/>
    </w:rPr>
  </w:style>
  <w:style w:customStyle="1" w:styleId="Heading8Char" w:type="character">
    <w:name w:val="Heading 8 Char"/>
    <w:link w:val="Heading8"/>
    <w:uiPriority w:val="9"/>
    <w:semiHidden/>
    <w:rsid w:val="00420038"/>
    <w:rPr>
      <w:rFonts w:ascii="Open Sans" w:cs="Times New Roman" w:eastAsia="Times New Roman" w:hAnsi="Open Sans"/>
      <w:color w:val="404040"/>
      <w:kern w:val="0"/>
      <w:szCs w:val="20"/>
      <w:lang w:val="en-US"/>
      <w14:ligatures w14:val="none"/>
    </w:rPr>
  </w:style>
  <w:style w:customStyle="1" w:styleId="Heading9Char" w:type="character">
    <w:name w:val="Heading 9 Char"/>
    <w:link w:val="Heading9"/>
    <w:uiPriority w:val="9"/>
    <w:semiHidden/>
    <w:rsid w:val="00420038"/>
    <w:rPr>
      <w:rFonts w:ascii="Open Sans" w:cs="Times New Roman" w:eastAsia="Times New Roman" w:hAnsi="Open Sans"/>
      <w:i/>
      <w:iCs/>
      <w:color w:val="404040"/>
      <w:spacing w:val="5"/>
      <w:kern w:val="0"/>
      <w:szCs w:val="20"/>
      <w:lang w:val="en-US"/>
      <w14:ligatures w14:val="none"/>
    </w:rPr>
  </w:style>
  <w:style w:customStyle="1" w:styleId="HeadingNoNumbers" w:type="paragraph">
    <w:name w:val="Heading No Numbers"/>
    <w:basedOn w:val="Heading1"/>
    <w:link w:val="HeadingNoNumbersChar"/>
    <w:qFormat/>
    <w:rsid w:val="00420038"/>
    <w:pPr>
      <w:numPr>
        <w:numId w:val="0"/>
      </w:numPr>
    </w:pPr>
    <w:rPr>
      <w:rFonts w:cs="Open Sans"/>
      <w:szCs w:val="32"/>
    </w:rPr>
  </w:style>
  <w:style w:customStyle="1" w:styleId="HeadingNoNumbersChar" w:type="character">
    <w:name w:val="Heading No Numbers Char"/>
    <w:link w:val="HeadingNoNumbers"/>
    <w:rsid w:val="00420038"/>
    <w:rPr>
      <w:rFonts w:ascii="Open Sans" w:cs="Open Sans" w:eastAsia="Times New Roman" w:hAnsi="Open Sans"/>
      <w:b/>
      <w:bCs/>
      <w:color w:val="000000"/>
      <w:kern w:val="0"/>
      <w:sz w:val="32"/>
      <w:szCs w:val="32"/>
      <w:lang w:val="en-US"/>
      <w14:ligatures w14:val="none"/>
    </w:rPr>
  </w:style>
  <w:style w:styleId="Hyperlink" w:type="character">
    <w:name w:val="Hyperlink"/>
    <w:uiPriority w:val="99"/>
    <w:rsid w:val="00420038"/>
    <w:rPr>
      <w:color w:val="0C0C0C"/>
      <w:u w:val="single"/>
    </w:rPr>
  </w:style>
  <w:style w:styleId="IntenseEmphasis" w:type="character">
    <w:name w:val="Intense Emphasis"/>
    <w:uiPriority w:val="21"/>
    <w:rsid w:val="00420038"/>
    <w:rPr>
      <w:b/>
      <w:bCs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420038"/>
    <w:pPr>
      <w:spacing w:after="0" w:line="240" w:lineRule="auto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uiPriority w:val="99"/>
    <w:semiHidden/>
    <w:rsid w:val="00420038"/>
    <w:rPr>
      <w:rFonts w:ascii="Tahoma" w:cs="Tahoma" w:eastAsia="Open Sans" w:hAnsi="Tahoma"/>
      <w:color w:val="404040"/>
      <w:kern w:val="0"/>
      <w:sz w:val="16"/>
      <w:szCs w:val="16"/>
      <w:lang w:val="en-US"/>
      <w14:ligatures w14:val="none"/>
    </w:rPr>
  </w:style>
  <w:style w:styleId="BodyText" w:type="paragraph">
    <w:name w:val="Body Text"/>
    <w:basedOn w:val="Normal"/>
    <w:link w:val="BodyTextChar"/>
    <w:uiPriority w:val="99"/>
    <w:unhideWhenUsed/>
    <w:rsid w:val="00420038"/>
    <w:pPr>
      <w:spacing w:after="120"/>
    </w:pPr>
  </w:style>
  <w:style w:customStyle="1" w:styleId="BodyTextChar" w:type="character">
    <w:name w:val="Body Text Char"/>
    <w:link w:val="BodyText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BookTitle" w:type="character">
    <w:name w:val="Book Title"/>
    <w:uiPriority w:val="33"/>
    <w:rsid w:val="00420038"/>
    <w:rPr>
      <w:i/>
      <w:iCs/>
      <w:smallCaps/>
      <w:spacing w:val="5"/>
    </w:rPr>
  </w:style>
  <w:style w:customStyle="1" w:styleId="list1" w:type="paragraph">
    <w:name w:val="list1"/>
    <w:basedOn w:val="ListParagraph"/>
    <w:link w:val="list1Char"/>
    <w:qFormat/>
    <w:rsid w:val="00420038"/>
    <w:pPr>
      <w:numPr>
        <w:numId w:val="13"/>
      </w:numPr>
    </w:pPr>
  </w:style>
  <w:style w:customStyle="1" w:styleId="list1Char" w:type="character">
    <w:name w:val="list1 Char"/>
    <w:link w:val="list1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ListParagraph" w:type="paragraph">
    <w:name w:val="List Paragraph"/>
    <w:basedOn w:val="Normal"/>
    <w:link w:val="ListParagraphChar"/>
    <w:uiPriority w:val="34"/>
    <w:qFormat/>
    <w:rsid w:val="00420038"/>
    <w:pPr>
      <w:ind w:left="720"/>
      <w:contextualSpacing/>
    </w:pPr>
  </w:style>
  <w:style w:customStyle="1" w:styleId="list2" w:type="paragraph">
    <w:name w:val="list2"/>
    <w:basedOn w:val="ListParagraph"/>
    <w:link w:val="list2Char"/>
    <w:qFormat/>
    <w:rsid w:val="00420038"/>
    <w:pPr>
      <w:numPr>
        <w:numId w:val="14"/>
      </w:numPr>
    </w:pPr>
  </w:style>
  <w:style w:customStyle="1" w:styleId="list2Char" w:type="character">
    <w:name w:val="list2 Char"/>
    <w:link w:val="list2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Bullets" w:type="paragraph">
    <w:name w:val="Bullets"/>
    <w:basedOn w:val="Closing"/>
    <w:qFormat/>
    <w:rsid w:val="00420038"/>
    <w:pPr>
      <w:numPr>
        <w:numId w:val="12"/>
      </w:numPr>
      <w:spacing w:before="60"/>
    </w:pPr>
    <w:rPr>
      <w:rFonts w:eastAsia="Times New Roman"/>
    </w:rPr>
  </w:style>
  <w:style w:styleId="Closing" w:type="paragraph">
    <w:name w:val="Closing"/>
    <w:basedOn w:val="Normal"/>
    <w:link w:val="ClosingChar"/>
    <w:uiPriority w:val="99"/>
    <w:semiHidden/>
    <w:unhideWhenUsed/>
    <w:rsid w:val="00420038"/>
    <w:pPr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ColorfulGrid-Accent6" w:type="table">
    <w:name w:val="Colorful Grid Accent 6"/>
    <w:basedOn w:val="TableNormal"/>
    <w:uiPriority w:val="73"/>
    <w:rsid w:val="00420038"/>
    <w:pPr>
      <w:spacing w:after="0" w:line="240" w:lineRule="auto"/>
    </w:pPr>
    <w:rPr>
      <w:rFonts w:ascii="Open Sans" w:cs="Times New Roman" w:hAnsi="Open Sans"/>
      <w:color w:val="00000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insideH w:color="FFFFFF" w:space="0" w:sz="4" w:val="single"/>
      </w:tblBorders>
    </w:tblPr>
    <w:tcPr>
      <w:shd w:color="auto" w:fill="D7DDDA" w:val="clear"/>
    </w:tcPr>
    <w:tblStylePr w:type="firstRow">
      <w:rPr>
        <w:b/>
        <w:bCs/>
        <w:color w:val="FFFFFF"/>
      </w:rPr>
      <w:tblPr/>
      <w:tcPr>
        <w:shd w:color="auto" w:fill="AEBAB4" w:val="clear"/>
      </w:tcPr>
    </w:tblStylePr>
    <w:tblStylePr w:type="lastRow">
      <w:rPr>
        <w:b/>
        <w:bCs/>
        <w:color w:val="000000"/>
      </w:rPr>
      <w:tblPr/>
      <w:tcPr>
        <w:shd w:color="auto" w:fill="AFBBB5" w:val="clear"/>
      </w:tcPr>
    </w:tblStylePr>
    <w:tblStylePr w:type="firstCol">
      <w:rPr>
        <w:color w:val="FFFFFF"/>
      </w:rPr>
      <w:tblPr/>
      <w:tcPr>
        <w:shd w:color="auto" w:fill="303935" w:val="clear"/>
      </w:tcPr>
    </w:tblStylePr>
    <w:tblStylePr w:type="lastCol">
      <w:rPr>
        <w:color w:val="FFFFFF"/>
      </w:rPr>
      <w:tblPr/>
      <w:tcPr>
        <w:shd w:color="auto" w:fill="303935" w:val="clear"/>
      </w:tcPr>
    </w:tblStylePr>
    <w:tblStylePr w:type="band1Vert">
      <w:tblPr/>
      <w:tcPr>
        <w:shd w:color="auto" w:fill="D3DCE3" w:val="clear"/>
      </w:tcPr>
    </w:tblStylePr>
    <w:tblStylePr w:type="band1Horz">
      <w:tblPr/>
      <w:tcPr>
        <w:shd w:color="auto" w:fill="D3DCE3" w:val="clear"/>
      </w:tcPr>
    </w:tblStylePr>
  </w:style>
  <w:style w:styleId="CommentReference" w:type="character">
    <w:name w:val="annotation reference"/>
    <w:uiPriority w:val="99"/>
    <w:semiHidden/>
    <w:unhideWhenUsed/>
    <w:rsid w:val="00420038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420038"/>
    <w:pPr>
      <w:spacing w:line="240" w:lineRule="auto"/>
    </w:pPr>
    <w:rPr>
      <w:szCs w:val="20"/>
    </w:rPr>
  </w:style>
  <w:style w:customStyle="1" w:styleId="CommentTextChar" w:type="character">
    <w:name w:val="Comment Text Char"/>
    <w:link w:val="CommentText"/>
    <w:uiPriority w:val="99"/>
    <w:rsid w:val="00420038"/>
    <w:rPr>
      <w:rFonts w:ascii="Open Sans" w:cs="Times New Roman" w:eastAsia="Open Sans" w:hAnsi="Open Sans"/>
      <w:color w:val="404040"/>
      <w:kern w:val="0"/>
      <w:szCs w:val="20"/>
      <w:lang w:val="en-US"/>
      <w14:ligatures w14:val="none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20038"/>
    <w:rPr>
      <w:b/>
      <w:bCs/>
    </w:rPr>
  </w:style>
  <w:style w:customStyle="1" w:styleId="CommentSubjectChar" w:type="character">
    <w:name w:val="Comment Subject Char"/>
    <w:link w:val="CommentSubject"/>
    <w:uiPriority w:val="99"/>
    <w:semiHidden/>
    <w:rsid w:val="00420038"/>
    <w:rPr>
      <w:rFonts w:ascii="Open Sans" w:cs="Times New Roman" w:eastAsia="Open Sans" w:hAnsi="Open Sans"/>
      <w:b/>
      <w:bCs/>
      <w:color w:val="404040"/>
      <w:kern w:val="0"/>
      <w:szCs w:val="20"/>
      <w:lang w:val="en-US"/>
      <w14:ligatures w14:val="none"/>
    </w:rPr>
  </w:style>
  <w:style w:styleId="Emphasis" w:type="character">
    <w:name w:val="Emphasis"/>
    <w:uiPriority w:val="20"/>
    <w:rsid w:val="00420038"/>
    <w:rPr>
      <w:b/>
      <w:bCs/>
      <w:i/>
      <w:iCs/>
      <w:spacing w:val="10"/>
      <w:bdr w:color="auto" w:space="0" w:sz="0" w:val="none"/>
      <w:shd w:color="auto" w:fill="auto" w:val="clear"/>
    </w:rPr>
  </w:style>
  <w:style w:styleId="Footer" w:type="paragraph">
    <w:name w:val="footer"/>
    <w:basedOn w:val="Normal"/>
    <w:link w:val="Foot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FootnoteReference" w:type="character">
    <w:name w:val="footnote reference"/>
    <w:rsid w:val="00420038"/>
    <w:rPr>
      <w:vertAlign w:val="superscript"/>
    </w:rPr>
  </w:style>
  <w:style w:styleId="FootnoteText" w:type="paragraph">
    <w:name w:val="footnote text"/>
    <w:basedOn w:val="Normal"/>
    <w:link w:val="FootnoteTextChar"/>
    <w:rsid w:val="00420038"/>
    <w:pPr>
      <w:spacing w:after="0" w:line="240" w:lineRule="auto"/>
    </w:pPr>
    <w:rPr>
      <w:rFonts w:ascii="Arial" w:eastAsia="Times New Roman" w:hAnsi="Arial"/>
      <w:szCs w:val="20"/>
      <w:lang w:eastAsia="de-CH" w:val="de-CH"/>
    </w:rPr>
  </w:style>
  <w:style w:customStyle="1" w:styleId="FootnoteTextChar" w:type="character">
    <w:name w:val="Footnote Text Char"/>
    <w:link w:val="FootnoteText"/>
    <w:rsid w:val="00420038"/>
    <w:rPr>
      <w:rFonts w:ascii="Arial" w:cs="Times New Roman" w:eastAsia="Times New Roman" w:hAnsi="Arial"/>
      <w:color w:val="404040"/>
      <w:kern w:val="0"/>
      <w:szCs w:val="20"/>
      <w:lang w:eastAsia="de-CH" w:val="de-CH"/>
      <w14:ligatures w14:val="none"/>
    </w:rPr>
  </w:style>
  <w:style w:customStyle="1" w:styleId="GridTable21" w:type="table">
    <w:name w:val="Grid Table 21"/>
    <w:basedOn w:val="TableNormal"/>
    <w:uiPriority w:val="47"/>
    <w:rsid w:val="00420038"/>
    <w:pPr>
      <w:spacing w:after="0" w:line="240" w:lineRule="auto"/>
    </w:pPr>
    <w:rPr>
      <w:rFonts w:ascii="Times New Roman" w:cs="Times New Roman" w:eastAsia="Times New Roman" w:hAnsi="Times New Roman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666666" w:space="0" w:sz="2" w:val="single"/>
        <w:bottom w:color="666666" w:space="0" w:sz="2" w:val="single"/>
        <w:insideH w:color="666666" w:space="0" w:sz="2" w:val="single"/>
        <w:insideV w:color="666666" w:space="0" w:sz="2" w:val="single"/>
      </w:tblBorders>
    </w:tblPr>
    <w:tblStylePr w:type="firstRow">
      <w:rPr>
        <w:b/>
        <w:bCs/>
      </w:rPr>
      <w:tblPr/>
      <w:tcPr>
        <w:tcBorders>
          <w:top w:val="nil"/>
          <w:bottom w:color="666666" w:space="0" w:sz="12" w:val="single"/>
          <w:insideH w:val="nil"/>
          <w:insideV w:val="nil"/>
        </w:tcBorders>
        <w:shd w:color="auto" w:fill="FFFFFF" w:val="clear"/>
      </w:tcPr>
    </w:tblStylePr>
    <w:tblStylePr w:type="lastRow">
      <w:rPr>
        <w:b/>
        <w:bCs/>
      </w:rPr>
      <w:tblPr/>
      <w:tcPr>
        <w:tcBorders>
          <w:top w:color="666666" w:space="0" w:sz="2" w:val="double"/>
          <w:bottom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val="clear"/>
      </w:tcPr>
    </w:tblStylePr>
    <w:tblStylePr w:type="band1Horz">
      <w:tblPr/>
      <w:tcPr>
        <w:shd w:color="auto" w:fill="CCCCCC" w:val="clear"/>
      </w:tcPr>
    </w:tblStylePr>
  </w:style>
  <w:style w:styleId="Header" w:type="paragraph">
    <w:name w:val="header"/>
    <w:basedOn w:val="Normal"/>
    <w:link w:val="HeaderChar"/>
    <w:uiPriority w:val="99"/>
    <w:unhideWhenUsed/>
    <w:rsid w:val="00420038"/>
    <w:pPr>
      <w:tabs>
        <w:tab w:pos="4320" w:val="center"/>
        <w:tab w:pos="864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customStyle="1" w:styleId="HeaderAdresse" w:type="paragraph">
    <w:name w:val="Header Adresse"/>
    <w:basedOn w:val="Normal"/>
    <w:rsid w:val="00420038"/>
    <w:pPr>
      <w:overflowPunct w:val="0"/>
      <w:autoSpaceDE w:val="0"/>
      <w:autoSpaceDN w:val="0"/>
      <w:adjustRightInd w:val="0"/>
      <w:spacing w:after="0" w:line="260" w:lineRule="auto"/>
      <w:ind w:left="34"/>
      <w:textAlignment w:val="baseline"/>
    </w:pPr>
    <w:rPr>
      <w:rFonts w:eastAsia="Times New Roman"/>
      <w:color w:val="8B9C93"/>
      <w:sz w:val="16"/>
      <w:szCs w:val="16"/>
      <w:lang w:eastAsia="de-DE" w:val="de-DE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420038"/>
    <w:pPr>
      <w:pBdr>
        <w:bottom w:color="AEBAB4" w:space="1" w:sz="4" w:val="single"/>
      </w:pBdr>
      <w:shd w:color="auto" w:fill="CED5D1" w:val="clear"/>
      <w:spacing w:after="280" w:before="200"/>
      <w:ind w:left="1008" w:right="1152"/>
      <w:jc w:val="both"/>
    </w:pPr>
    <w:rPr>
      <w:b/>
      <w:bCs/>
      <w:i/>
      <w:iCs/>
      <w:color w:val="FFFFFF"/>
    </w:rPr>
  </w:style>
  <w:style w:customStyle="1" w:styleId="IntenseQuoteChar" w:type="character">
    <w:name w:val="Intense Quote Char"/>
    <w:link w:val="IntenseQuote"/>
    <w:uiPriority w:val="30"/>
    <w:rsid w:val="00420038"/>
    <w:rPr>
      <w:rFonts w:ascii="Open Sans" w:cs="Times New Roman" w:eastAsia="Open Sans" w:hAnsi="Open Sans"/>
      <w:b/>
      <w:bCs/>
      <w:i/>
      <w:iCs/>
      <w:color w:val="FFFFFF"/>
      <w:kern w:val="0"/>
      <w:shd w:color="auto" w:fill="CED5D1" w:val="clear"/>
      <w:lang w:val="en-US"/>
      <w14:ligatures w14:val="none"/>
    </w:rPr>
  </w:style>
  <w:style w:styleId="IntenseReference" w:type="character">
    <w:name w:val="Intense Reference"/>
    <w:uiPriority w:val="32"/>
    <w:rsid w:val="00420038"/>
    <w:rPr>
      <w:smallCaps/>
      <w:spacing w:val="5"/>
      <w:u w:val="single"/>
    </w:rPr>
  </w:style>
  <w:style w:styleId="LightList-Accent2" w:type="table">
    <w:name w:val="Light List Accent 2"/>
    <w:basedOn w:val="TableNormal"/>
    <w:uiPriority w:val="61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8B9C93" w:space="0" w:sz="8" w:val="single"/>
        <w:left w:color="8B9C93" w:space="0" w:sz="8" w:val="single"/>
        <w:bottom w:color="8B9C93" w:space="0" w:sz="8" w:val="single"/>
        <w:right w:color="8B9C93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8B9C9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B9C93" w:space="0" w:sz="6" w:val="doub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  <w:tblStylePr w:type="band1Horz">
      <w:tblPr/>
      <w:tcPr>
        <w:tcBorders>
          <w:top w:color="8B9C93" w:space="0" w:sz="8" w:val="single"/>
          <w:left w:color="8B9C93" w:space="0" w:sz="8" w:val="single"/>
          <w:bottom w:color="8B9C93" w:space="0" w:sz="8" w:val="single"/>
          <w:right w:color="8B9C93" w:space="0" w:sz="8" w:val="single"/>
        </w:tcBorders>
      </w:tcPr>
    </w:tblStylePr>
  </w:style>
  <w:style w:customStyle="1" w:styleId="LightList-Accent21" w:type="table">
    <w:name w:val="Light List - Accent 21"/>
    <w:basedOn w:val="TableNormal"/>
    <w:next w:val="LightList-Accent2"/>
    <w:uiPriority w:val="61"/>
    <w:rsid w:val="00420038"/>
    <w:pPr>
      <w:spacing w:after="0" w:line="240" w:lineRule="auto"/>
    </w:pPr>
    <w:rPr>
      <w:rFonts w:ascii="Open Sans" w:cs="Times New Roman" w:hAnsi="Open Sans"/>
      <w:color w:val="404040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0070C0" w:space="0" w:sz="8" w:val="single"/>
        <w:left w:color="0070C0" w:space="0" w:sz="8" w:val="single"/>
        <w:bottom w:color="0070C0" w:space="0" w:sz="8" w:val="single"/>
        <w:right w:color="0070C0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color="auto" w:fill="0070C0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70C0" w:space="0" w:sz="6" w:val="doub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  <w:tblStylePr w:type="band1Horz">
      <w:tblPr/>
      <w:tcPr>
        <w:tcBorders>
          <w:top w:color="0070C0" w:space="0" w:sz="8" w:val="single"/>
          <w:left w:color="0070C0" w:space="0" w:sz="8" w:val="single"/>
          <w:bottom w:color="0070C0" w:space="0" w:sz="8" w:val="single"/>
          <w:right w:color="0070C0" w:space="0" w:sz="8" w:val="single"/>
        </w:tcBorders>
      </w:tcPr>
    </w:tblStylePr>
  </w:style>
  <w:style w:customStyle="1" w:styleId="ListParagraphChar" w:type="character">
    <w:name w:val="List Paragraph Char"/>
    <w:link w:val="ListParagraph"/>
    <w:uiPriority w:val="34"/>
    <w:rsid w:val="00420038"/>
    <w:rPr>
      <w:rFonts w:ascii="Open Sans" w:cs="Times New Roman" w:eastAsia="Open Sans" w:hAnsi="Open Sans"/>
      <w:color w:val="404040"/>
      <w:kern w:val="0"/>
      <w:lang w:val="en-US"/>
      <w14:ligatures w14:val="none"/>
    </w:rPr>
  </w:style>
  <w:style w:styleId="MediumShading1-Accent5" w:type="table">
    <w:name w:val="Medium Shading 1 Accent 5"/>
    <w:basedOn w:val="TableNormal"/>
    <w:uiPriority w:val="63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D2D8D4" w:space="0" w:sz="8" w:val="single"/>
        <w:left w:color="D2D8D4" w:space="0" w:sz="8" w:val="single"/>
        <w:bottom w:color="D2D8D4" w:space="0" w:sz="8" w:val="single"/>
        <w:right w:color="D2D8D4" w:space="0" w:sz="8" w:val="single"/>
        <w:insideH w:color="D2D8D4" w:space="0" w:sz="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D2D8D4" w:space="0" w:sz="8" w:val="sing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  <w:shd w:color="auto" w:fill="C3CBC7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D2D8D4" w:space="0" w:sz="6" w:val="double"/>
          <w:left w:color="D2D8D4" w:space="0" w:sz="8" w:val="single"/>
          <w:bottom w:color="D2D8D4" w:space="0" w:sz="8" w:val="single"/>
          <w:right w:color="D2D8D4" w:space="0" w:sz="8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0F2F0" w:val="clear"/>
      </w:tcPr>
    </w:tblStylePr>
    <w:tblStylePr w:type="band1Horz">
      <w:tblPr/>
      <w:tcPr>
        <w:tcBorders>
          <w:insideH w:val="nil"/>
          <w:insideV w:val="nil"/>
        </w:tcBorders>
        <w:shd w:color="auto" w:fill="F0F2F0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val="clear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AEBAB4" w:val="clear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AEBAB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val="clear"/>
      </w:tcPr>
    </w:tblStylePr>
    <w:tblStylePr w:type="band1Horz">
      <w:tblPr/>
      <w:tcPr>
        <w:shd w:color="auto" w:fill="D8D8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NoSpacing" w:type="paragraph">
    <w:name w:val="No Spacing"/>
    <w:basedOn w:val="Normal"/>
    <w:uiPriority w:val="1"/>
    <w:qFormat/>
    <w:rsid w:val="00420038"/>
    <w:pPr>
      <w:spacing w:after="0" w:line="240" w:lineRule="auto"/>
    </w:pPr>
  </w:style>
  <w:style w:styleId="NormalWeb" w:type="paragraph">
    <w:name w:val="Normal (Web)"/>
    <w:basedOn w:val="Normal"/>
    <w:uiPriority w:val="99"/>
    <w:semiHidden/>
    <w:unhideWhenUsed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</w:rPr>
  </w:style>
  <w:style w:customStyle="1" w:styleId="NormalTabelleSpalterechts" w:type="paragraph">
    <w:name w:val="Normal Tabelle Spalte rechts"/>
    <w:basedOn w:val="Normal"/>
    <w:rsid w:val="00420038"/>
    <w:pPr>
      <w:spacing w:after="120" w:before="120" w:line="240" w:lineRule="auto"/>
      <w:ind w:right="-108"/>
    </w:pPr>
    <w:rPr>
      <w:rFonts w:ascii="Arial" w:eastAsia="Times New Roman" w:hAnsi="Arial"/>
      <w:sz w:val="22"/>
      <w:lang w:eastAsia="de-CH" w:val="de-CH"/>
    </w:rPr>
  </w:style>
  <w:style w:customStyle="1" w:styleId="p1" w:type="paragraph">
    <w:name w:val="p1"/>
    <w:basedOn w:val="Normal"/>
    <w:rsid w:val="00420038"/>
    <w:pPr>
      <w:spacing w:after="100" w:afterAutospacing="1" w:before="100" w:beforeAutospacing="1" w:line="240" w:lineRule="auto"/>
    </w:pPr>
    <w:rPr>
      <w:rFonts w:ascii="Times New Roman" w:eastAsia="Times New Roman" w:hAnsi="Times New Roman"/>
      <w:color w:val="auto"/>
      <w:lang w:val="en-CA"/>
    </w:rPr>
  </w:style>
  <w:style w:styleId="PlaceholderText" w:type="character">
    <w:name w:val="Placeholder Text"/>
    <w:semiHidden/>
    <w:rsid w:val="00420038"/>
    <w:rPr>
      <w:color w:val="808080"/>
    </w:rPr>
  </w:style>
  <w:style w:styleId="Quote" w:type="paragraph">
    <w:name w:val="Quote"/>
    <w:basedOn w:val="Normal"/>
    <w:next w:val="Normal"/>
    <w:link w:val="QuoteChar"/>
    <w:uiPriority w:val="29"/>
    <w:qFormat/>
    <w:rsid w:val="00420038"/>
    <w:pPr>
      <w:spacing w:after="0" w:before="200"/>
      <w:ind w:left="360" w:right="360"/>
    </w:pPr>
    <w:rPr>
      <w:i/>
      <w:iCs/>
    </w:rPr>
  </w:style>
  <w:style w:customStyle="1" w:styleId="QuoteChar" w:type="character">
    <w:name w:val="Quote Char"/>
    <w:link w:val="Quote"/>
    <w:uiPriority w:val="29"/>
    <w:rsid w:val="00420038"/>
    <w:rPr>
      <w:rFonts w:ascii="Open Sans" w:cs="Times New Roman" w:eastAsia="Open Sans" w:hAnsi="Open Sans"/>
      <w:i/>
      <w:iCs/>
      <w:color w:val="404040"/>
      <w:kern w:val="0"/>
      <w:lang w:val="en-US"/>
      <w14:ligatures w14:val="none"/>
    </w:rPr>
  </w:style>
  <w:style w:customStyle="1" w:styleId="s1" w:type="character">
    <w:name w:val="s1"/>
    <w:basedOn w:val="DefaultParagraphFont"/>
    <w:rsid w:val="00420038"/>
  </w:style>
  <w:style w:styleId="Strong" w:type="character">
    <w:name w:val="Strong"/>
    <w:uiPriority w:val="22"/>
    <w:qFormat/>
    <w:rsid w:val="00420038"/>
    <w:rPr>
      <w:b/>
      <w:bCs/>
    </w:rPr>
  </w:style>
  <w:style w:customStyle="1" w:styleId="Style1" w:type="paragraph">
    <w:name w:val="Style1"/>
    <w:basedOn w:val="Normal"/>
    <w:link w:val="Style1Char"/>
    <w:qFormat/>
    <w:rsid w:val="00420038"/>
    <w:pPr>
      <w:spacing w:after="60"/>
      <w:jc w:val="both"/>
    </w:pPr>
    <w:rPr>
      <w:i/>
      <w:iCs/>
      <w:color w:val="7D9086"/>
      <w:szCs w:val="36"/>
    </w:rPr>
  </w:style>
  <w:style w:customStyle="1" w:styleId="Style1Char" w:type="character">
    <w:name w:val="Style1 Char"/>
    <w:link w:val="Style1"/>
    <w:rsid w:val="00420038"/>
    <w:rPr>
      <w:rFonts w:ascii="Open Sans" w:cs="Times New Roman" w:eastAsia="Open Sans" w:hAnsi="Open Sans"/>
      <w:i/>
      <w:iCs/>
      <w:color w:val="7D9086"/>
      <w:kern w:val="0"/>
      <w:szCs w:val="36"/>
      <w:lang w:val="en-US"/>
      <w14:ligatures w14:val="none"/>
    </w:rPr>
  </w:style>
  <w:style w:customStyle="1" w:styleId="subheading" w:type="paragraph">
    <w:name w:val="subheading"/>
    <w:basedOn w:val="Style1"/>
    <w:link w:val="subheadingChar"/>
    <w:qFormat/>
    <w:rsid w:val="00420038"/>
    <w:rPr>
      <w:rFonts w:cs="Arial" w:eastAsia="Calibri"/>
      <w:b/>
      <w:bCs/>
      <w:i w:val="0"/>
      <w:iCs w:val="0"/>
      <w:color w:val="000D4B"/>
      <w:sz w:val="40"/>
      <w:szCs w:val="48"/>
    </w:rPr>
  </w:style>
  <w:style w:customStyle="1" w:styleId="subheadingChar" w:type="character">
    <w:name w:val="subheading Char"/>
    <w:link w:val="subheading"/>
    <w:rsid w:val="00420038"/>
    <w:rPr>
      <w:rFonts w:ascii="Open Sans" w:cs="Arial" w:eastAsia="Calibri" w:hAnsi="Open Sans"/>
      <w:b/>
      <w:bCs/>
      <w:color w:val="000D4B"/>
      <w:kern w:val="0"/>
      <w:sz w:val="40"/>
      <w:szCs w:val="48"/>
      <w:lang w:val="en-US"/>
      <w14:ligatures w14:val="none"/>
    </w:rPr>
  </w:style>
  <w:style w:customStyle="1" w:styleId="Sub-section" w:type="paragraph">
    <w:name w:val="Sub-section"/>
    <w:basedOn w:val="BodyText"/>
    <w:qFormat/>
    <w:rsid w:val="00420038"/>
    <w:pPr>
      <w:keepNext/>
      <w:spacing w:before="120" w:line="240" w:lineRule="auto"/>
    </w:pPr>
    <w:rPr>
      <w:rFonts w:eastAsia="Times New Roman"/>
      <w:b/>
      <w:bCs/>
      <w:szCs w:val="20"/>
    </w:rPr>
  </w:style>
  <w:style w:styleId="Subtitle" w:type="paragraph">
    <w:name w:val="Subtitle"/>
    <w:basedOn w:val="Normal"/>
    <w:next w:val="Normal"/>
    <w:link w:val="SubtitleChar"/>
    <w:rsid w:val="00420038"/>
    <w:pPr>
      <w:spacing w:after="600"/>
    </w:pPr>
    <w:rPr>
      <w:rFonts w:eastAsia="Times New Roman"/>
      <w:iCs/>
      <w:spacing w:val="13"/>
    </w:rPr>
  </w:style>
  <w:style w:customStyle="1" w:styleId="SubtitleChar" w:type="character">
    <w:name w:val="Subtitle Char"/>
    <w:link w:val="Subtitle"/>
    <w:rsid w:val="00420038"/>
    <w:rPr>
      <w:rFonts w:ascii="Open Sans" w:cs="Times New Roman" w:eastAsia="Times New Roman" w:hAnsi="Open Sans"/>
      <w:iCs/>
      <w:color w:val="404040"/>
      <w:spacing w:val="13"/>
      <w:kern w:val="0"/>
      <w:lang w:val="en-US"/>
      <w14:ligatures w14:val="none"/>
    </w:rPr>
  </w:style>
  <w:style w:styleId="SubtleEmphasis" w:type="character">
    <w:name w:val="Subtle Emphasis"/>
    <w:uiPriority w:val="19"/>
    <w:qFormat/>
    <w:rsid w:val="00420038"/>
    <w:rPr>
      <w:i/>
      <w:iCs/>
    </w:rPr>
  </w:style>
  <w:style w:styleId="SubtleReference" w:type="character">
    <w:name w:val="Subtle Reference"/>
    <w:uiPriority w:val="31"/>
    <w:rsid w:val="00420038"/>
    <w:rPr>
      <w:smallCaps/>
    </w:rPr>
  </w:style>
  <w:style w:styleId="TableGrid" w:type="table">
    <w:name w:val="Table Grid"/>
    <w:basedOn w:val="TableNormal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1" w:type="table">
    <w:name w:val="Table Grid1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eastAsia="MS Mincho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2" w:type="table">
    <w:name w:val="Table Grid2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0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ableGrid3" w:type="table">
    <w:name w:val="Table Grid3"/>
    <w:basedOn w:val="TableNormal"/>
    <w:next w:val="TableGrid"/>
    <w:uiPriority w:val="59"/>
    <w:rsid w:val="00420038"/>
    <w:pPr>
      <w:spacing w:after="0" w:line="240" w:lineRule="auto"/>
    </w:pPr>
    <w:rPr>
      <w:rFonts w:ascii="Open Sans" w:cs="Times New Roman" w:hAnsi="Open Sans"/>
      <w:kern w:val="0"/>
      <w:sz w:val="22"/>
      <w:szCs w:val="20"/>
      <w:lang w:eastAsia="en-CA"/>
      <w14:ligatures w14:val="none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TitelTabelleSpalteLinks" w:type="paragraph">
    <w:name w:val="Titel Tabelle Spalte Links"/>
    <w:basedOn w:val="Normal"/>
    <w:rsid w:val="00420038"/>
    <w:pPr>
      <w:spacing w:after="120" w:before="120" w:line="240" w:lineRule="auto"/>
      <w:jc w:val="right"/>
    </w:pPr>
    <w:rPr>
      <w:rFonts w:ascii="Arial" w:eastAsia="Times New Roman" w:hAnsi="Arial"/>
      <w:b/>
      <w:sz w:val="22"/>
      <w:lang w:eastAsia="de-CH" w:val="de-CH"/>
    </w:rPr>
  </w:style>
  <w:style w:styleId="Title" w:type="paragraph">
    <w:name w:val="Title"/>
    <w:basedOn w:val="Normal"/>
    <w:next w:val="Normal"/>
    <w:link w:val="TitleChar"/>
    <w:rsid w:val="00420038"/>
    <w:pPr>
      <w:spacing w:line="240" w:lineRule="auto"/>
      <w:contextualSpacing/>
    </w:pPr>
    <w:rPr>
      <w:rFonts w:eastAsia="Times New Roman"/>
      <w:b/>
      <w:color w:val="53615A"/>
      <w:spacing w:val="5"/>
      <w:sz w:val="72"/>
      <w:szCs w:val="52"/>
    </w:rPr>
  </w:style>
  <w:style w:customStyle="1" w:styleId="TitleChar" w:type="character">
    <w:name w:val="Title Char"/>
    <w:link w:val="Title"/>
    <w:rsid w:val="00420038"/>
    <w:rPr>
      <w:rFonts w:ascii="Open Sans" w:cs="Times New Roman" w:eastAsia="Times New Roman" w:hAnsi="Open Sans"/>
      <w:b/>
      <w:color w:val="53615A"/>
      <w:spacing w:val="5"/>
      <w:kern w:val="0"/>
      <w:sz w:val="72"/>
      <w:szCs w:val="52"/>
      <w:lang w:val="en-US"/>
      <w14:ligatures w14:val="none"/>
    </w:rPr>
  </w:style>
  <w:style w:styleId="TOC1" w:type="paragraph">
    <w:name w:val="toc 1"/>
    <w:basedOn w:val="Normal"/>
    <w:next w:val="Normal"/>
    <w:autoRedefine/>
    <w:uiPriority w:val="39"/>
    <w:unhideWhenUsed/>
    <w:rsid w:val="00420038"/>
    <w:pPr>
      <w:tabs>
        <w:tab w:pos="400" w:val="left"/>
        <w:tab w:leader="dot" w:pos="10070" w:val="right"/>
      </w:tabs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20038"/>
    <w:pPr>
      <w:spacing w:after="100"/>
      <w:ind w:left="200"/>
    </w:pPr>
  </w:style>
  <w:style w:styleId="TOC3" w:type="paragraph">
    <w:name w:val="toc 3"/>
    <w:basedOn w:val="Normal"/>
    <w:next w:val="Normal"/>
    <w:autoRedefine/>
    <w:uiPriority w:val="39"/>
    <w:unhideWhenUsed/>
    <w:rsid w:val="00420038"/>
    <w:pPr>
      <w:spacing w:after="100"/>
      <w:ind w:left="400"/>
    </w:pPr>
  </w:style>
  <w:style w:styleId="TOCHeading" w:type="paragraph">
    <w:name w:val="TOC Heading"/>
    <w:basedOn w:val="Heading1"/>
    <w:next w:val="Normal"/>
    <w:uiPriority w:val="39"/>
    <w:unhideWhenUsed/>
    <w:qFormat/>
    <w:rsid w:val="00420038"/>
    <w:pPr>
      <w:spacing w:after="240"/>
      <w:outlineLvl w:val="9"/>
    </w:pPr>
    <w:rPr>
      <w:lang w:bidi="en-US"/>
    </w:rPr>
  </w:style>
  <w:style w:styleId="UnresolvedMention" w:type="character">
    <w:name w:val="Unresolved Mention"/>
    <w:uiPriority w:val="99"/>
    <w:semiHidden/>
    <w:unhideWhenUsed/>
    <w:rsid w:val="00420038"/>
    <w:rPr>
      <w:color w:val="605E5C"/>
      <w:shd w:color="auto" w:fill="E1DFDD" w:val="clear"/>
    </w:rPr>
  </w:style>
  <w:style w:customStyle="1" w:styleId="whitetitle" w:type="paragraph">
    <w:name w:val="white_title"/>
    <w:basedOn w:val="Title"/>
    <w:link w:val="whitetitleChar"/>
    <w:qFormat/>
    <w:rsid w:val="00420038"/>
    <w:rPr>
      <w:color w:val="FFFFFF"/>
      <w:sz w:val="56"/>
      <w:szCs w:val="96"/>
    </w:rPr>
  </w:style>
  <w:style w:customStyle="1" w:styleId="whitetitleChar" w:type="character">
    <w:name w:val="white_title Char"/>
    <w:link w:val="white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56"/>
      <w:szCs w:val="96"/>
      <w:lang w:val="en-US"/>
      <w14:ligatures w14:val="none"/>
    </w:rPr>
  </w:style>
  <w:style w:customStyle="1" w:styleId="whitesubtitle" w:type="paragraph">
    <w:name w:val="white_subtitle"/>
    <w:basedOn w:val="whitetitle"/>
    <w:link w:val="whitesubtitleChar"/>
    <w:qFormat/>
    <w:rsid w:val="00420038"/>
    <w:rPr>
      <w:sz w:val="36"/>
      <w:szCs w:val="44"/>
    </w:rPr>
  </w:style>
  <w:style w:customStyle="1" w:styleId="whitesubtitleChar" w:type="character">
    <w:name w:val="white_subtitle Char"/>
    <w:link w:val="whitesubtitle"/>
    <w:rsid w:val="00420038"/>
    <w:rPr>
      <w:rFonts w:ascii="Open Sans" w:cs="Times New Roman" w:eastAsia="Times New Roman" w:hAnsi="Open Sans"/>
      <w:b/>
      <w:color w:val="FFFFFF"/>
      <w:spacing w:val="5"/>
      <w:kern w:val="0"/>
      <w:sz w:val="36"/>
      <w:szCs w:val="44"/>
      <w:lang w:val="en-US"/>
      <w14:ligatures w14:val="none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Status Report — Custom-CMS</dc:title>
  <dc:creator>Marcus Morrisey</dc:creator>
  <cp:keywords/>
  <dcterms:created xsi:type="dcterms:W3CDTF">2026-08-19T11:47:39Z</dcterms:created>
  <dcterms:modified xsi:type="dcterms:W3CDTF">2026-08-19T11:47:39Z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client">
    <vt:lpwstr>PCFS</vt:lpwstr>
  </property>
  <property fmtid="{D5CDD505-2E9C-101B-9397-08002B2CF9AE}" pid="6" name="date">
    <vt:lpwstr>2026-08-06</vt:lpwstr>
  </property>
  <property fmtid="{D5CDD505-2E9C-101B-9397-08002B2CF9AE}" pid="7" name="docket">
    <vt:lpwstr>PD25-1186-CO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subtitle">
    <vt:lpwstr>Reporting Period: 2026-W33 · 2026-07-31 to 2026-08-06</vt:lpwstr>
  </property>
  <property fmtid="{D5CDD505-2E9C-101B-9397-08002B2CF9AE}" pid="13" name="toc-title">
    <vt:lpwstr>Table of contents</vt:lpwstr>
  </property>
</Properties>
</file>