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June 22,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June 15 to 19,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Azure testing environment active and stable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/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 logging improvements; search result card accessibility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UAT session June 16; major intake additions: director closure approval, existing intake modal, self-referral, CFSIS prefix, intake-to-case-note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Case file permissions shipped (PR #49); All My Relations and F2F compliance implemented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Wireframes in progress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Internal requirements session June 19; PO workflow design confirmed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/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/>
          </w:p>
        </w:tc>
      </w:tr>
    </w:tbl>
    <w:p w14:paraId="5757B3BF" w14:textId="77777777" w:rsidR="00F42FBB" w:rsidRPr="00FA2CA0" w:rsidRDefault="00F42FBB" w:rsidP="00F42FBB">
      <w:pPr>
        <w:rPr>
          <w:lang w:val="en-CA"/>
        </w:rPr>
        <w:spacing w:after="360"/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Intake UAT session held June 16 with the full PCFS team — UAT testers onboarded; feedback collection via Freshdesk initiated.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Internal finance requirements session held June 19 (Marcus, Gabrielle, Rob) — PO workflow design approach confirmed; expense entry from intake/case, auto GL mapping, Finance tab summary view.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No infrastructure changes this week — Azure testing environment active and stable for PCFS UAT.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Microsoft 365–based authentication</w:t>
            </w:r>
          </w:p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Permissions and role assignments refined in preparation for the June 16 UAT session; UAT access confirmed for all PCFS testers.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Centralized person records (children, adults, limited profiles)</w:t>
            </w:r>
          </w:p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Duplicate prevention</w:t>
            </w:r>
          </w:p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Family and household structures</w:t>
            </w:r>
          </w:p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Multi-generation relationships</w:t>
            </w:r>
          </w:p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Reciprocal relationship logic</w:t>
            </w:r>
          </w:p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Person activity logging improvements deployed.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Search result cards updated with clickable functionality and improved accessibility (keyboard navigation, ARIA labels).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Structured intake workflows with mandatory fields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Intake status tracking and lifecycle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Supervisor review and approval processes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Ability to resolve intake without opening a case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Escalation from intake to case creation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Printable intake records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Automated notifications: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In-application alerts</w:t>
            </w:r>
          </w:p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PCFS intake UAT walkthrough held June 16 — all invited participants attended; Freshdesk feedback collection process initiated.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Significant intake additions shipped this period (PR #50):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Director approval step added to Intake Closure workflow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Existing intake modal added — workers can view and link related open intakes when initiating a new one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Self-referral option added to intake form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CFSIS Intake Number implemented with fixed "PCFS" prefix display and format validation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Intake Notes field added — notes entered at intake automatically carry forward as a case note on escalation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Actions Taken section notes field improvements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Fixed: intake and case file records not appearing in person search results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Intake form section anchoring added for smoother in-page navigation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  <w:spacing w:after="360"/>
      </w:pPr>
      <w:r>
        <w:t>Save and Send to Supervisor now defaults to the general pool (All) rather than a specific supervisor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Case file creation and lifecycle management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Assignment of caseworkers and supervisors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Case reassignment with approval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Signs of Safety–aligned workflows, including: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Placement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Structured assessments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Safety goals and planning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Ongoing review checkpoints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Visibility into historical and related cases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Case notes for visits, services, and interactions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Communication tracking across intake and case contexts</w:t>
            </w:r>
          </w:p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  <w:ind w:left="720"/>
            </w:pPr>
            <w: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file permissions fully implemented and merged (PR #49) — role-based visibility and action controls now enforced across case file views.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All My Relations (AMR) module implemented: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Create/Update/View Plan modals, AMR Visit Log, and visitation continuum display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F2F compliance automation: daily overdue escalation job, supervisor and director task alerts, AMR tasks auto-generated on first placements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Case notes: improved sorting and display; new lines now render correctly.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Document tab updated with document replacement logic.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t>Triggers and integration with Intake module</w:t>
            </w:r>
          </w:p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t>Investigation workflow</w:t>
            </w:r>
          </w:p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No additional external review this week; Abuse Investigations remains in solution design incorporating PCFS workflows.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Develop a data migration strategy from FAMCare into Waabanong</w:t>
            </w:r>
          </w:p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Support PCFS as they perform data cleanup</w:t>
            </w:r>
          </w:p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Execute trial data migrations in a sandbox environment</w:t>
            </w:r>
          </w:p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t>Perform live data migration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  <w:spacing w:after="360"/>
      </w:pPr>
      <w:r>
        <w:t>Data migration planning continues with Campfire, focusing on secure data access approach and privacy requirements for trial migrations.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Internal finance requirements session held June 19 (Marcus, Gabrielle, Rob):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Design approach confirmed: expense entry triggered from intake or case record; system auto-determines funding stream and GL mapping from existing fields (address, intake type, case type)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Finance tab will display summary totals and request list by family/case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</w:pPr>
      <w:r>
        <w:t>Kinship/placement payment tracking scoped out of this iteration</w:t>
      </w:r>
    </w:p>
    <w:p w14:paraId="7C1F4E1A" w14:textId="1B8D59A3" w:rsidR="00F42FBB" w:rsidRDefault="004C6464" w:rsidP="00F42FBB">
      <w:pPr>
        <w:pStyle w:val="list1"/>
        <w:rPr>
          <w:lang w:val="en-CA"/>
        </w:rPr>
        <w:ind w:left="720"/>
        <w:spacing w:after="360"/>
      </w:pPr>
      <w:r>
        <w:t>Next step: Rob to review shared finance documentation; follow-up design session to be scheduled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Future iteration per schedule (no dashboard/reporting work this week).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