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8795" w14:textId="016FD17E" w:rsidR="0080694B" w:rsidRPr="003526A6" w:rsidRDefault="00F8323E" w:rsidP="00A76F6F">
      <w:pPr>
        <w:pStyle w:val="Title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|</w:t>
      </w:r>
      <w:r w:rsidR="00F6607A">
        <w:rPr>
          <w:rFonts w:ascii="Times New Roman" w:hAnsi="Times New Roman" w:cs="Times New Roman"/>
        </w:rPr>
        <w:t>O</w:t>
      </w:r>
      <w:r w:rsidR="00D92DCE" w:rsidRPr="003526A6">
        <w:rPr>
          <w:rFonts w:ascii="Times New Roman" w:hAnsi="Times New Roman" w:cs="Times New Roman"/>
        </w:rPr>
        <w:t>ppgave 4</w:t>
      </w:r>
    </w:p>
    <w:p w14:paraId="47E9555E" w14:textId="77777777" w:rsidR="00D5014D" w:rsidRPr="003526A6" w:rsidRDefault="0080694B" w:rsidP="00A76F6F">
      <w:pPr>
        <w:pStyle w:val="Title"/>
        <w:spacing w:line="360" w:lineRule="auto"/>
        <w:rPr>
          <w:rFonts w:ascii="Times New Roman" w:hAnsi="Times New Roman" w:cs="Times New Roman"/>
        </w:rPr>
      </w:pPr>
      <w:r w:rsidRPr="003526A6">
        <w:rPr>
          <w:rFonts w:ascii="Times New Roman" w:hAnsi="Times New Roman" w:cs="Times New Roman"/>
        </w:rPr>
        <w:t>Syrer og baser, surhetsgrad og indikatorer</w:t>
      </w:r>
    </w:p>
    <w:p w14:paraId="5D7CC2E6" w14:textId="77777777" w:rsidR="00D92DCE" w:rsidRPr="002D26EA" w:rsidRDefault="00D92DCE" w:rsidP="00A76F6F">
      <w:pPr>
        <w:spacing w:line="360" w:lineRule="auto"/>
        <w:rPr>
          <w:sz w:val="36"/>
          <w:szCs w:val="36"/>
        </w:rPr>
      </w:pPr>
    </w:p>
    <w:p w14:paraId="164DE3E6" w14:textId="754BEDB7" w:rsidR="00151386" w:rsidRPr="00DA7C8D" w:rsidRDefault="00151386" w:rsidP="00A76F6F">
      <w:pPr>
        <w:spacing w:line="360" w:lineRule="auto"/>
      </w:pPr>
      <w:r w:rsidRPr="00DA7C8D">
        <w:t>Navn og dato:</w:t>
      </w:r>
      <w:r w:rsidR="00A34C9B">
        <w:t xml:space="preserve"> Marcus Lexander 27/9/17</w:t>
      </w:r>
    </w:p>
    <w:p w14:paraId="452CA913" w14:textId="1FDE3816" w:rsidR="00151386" w:rsidRPr="00DA7C8D" w:rsidRDefault="00A34C9B" w:rsidP="00A76F6F">
      <w:pPr>
        <w:spacing w:line="360" w:lineRule="auto"/>
      </w:pPr>
      <w:r>
        <w:t>Labgruppe og plassnr.: 17 Onsdag</w:t>
      </w:r>
    </w:p>
    <w:p w14:paraId="5D5F126C" w14:textId="77777777" w:rsidR="00820C93" w:rsidRPr="002A04EE" w:rsidRDefault="00820C93" w:rsidP="00A76F6F">
      <w:pPr>
        <w:spacing w:line="360" w:lineRule="auto"/>
      </w:pPr>
    </w:p>
    <w:p w14:paraId="47498847" w14:textId="6A3C015D" w:rsidR="004E695C" w:rsidRDefault="0080694B" w:rsidP="00A76F6F">
      <w:pPr>
        <w:pStyle w:val="Heading1"/>
        <w:numPr>
          <w:ilvl w:val="0"/>
          <w:numId w:val="0"/>
        </w:numPr>
        <w:spacing w:line="360" w:lineRule="auto"/>
        <w:ind w:left="720" w:hanging="720"/>
      </w:pPr>
      <w:r w:rsidRPr="002A04EE">
        <w:t>Sammendrag</w:t>
      </w:r>
    </w:p>
    <w:p w14:paraId="3A4F5532" w14:textId="5B96E28D" w:rsidR="004E695C" w:rsidRDefault="004E695C" w:rsidP="00A76F6F">
      <w:pPr>
        <w:spacing w:line="360" w:lineRule="auto"/>
      </w:pPr>
      <w:r>
        <w:t xml:space="preserve">Ulike syre-base indikatorer er blitt studert ved ulike pH verdier, brukt til å beregne pH i ukjente løsninger og berenge syrekonstanten til en svak syre. Ved hjelp av fargen til ulike </w:t>
      </w:r>
      <w:r w:rsidR="004C4798">
        <w:t>indikatorer ved kjente pH verdier ble pH i en ukj</w:t>
      </w:r>
      <w:r w:rsidR="00A76F6F">
        <w:t xml:space="preserve">ent løsning målt til en pH på </w:t>
      </w:r>
      <w:r w:rsidR="001A615F">
        <w:t>3,5</w:t>
      </w:r>
      <w:r w:rsidR="004C4798">
        <w:t xml:space="preserve"> </w:t>
      </w:r>
      <m:oMath>
        <m:r>
          <w:rPr>
            <w:rFonts w:ascii="Cambria Math" w:hAnsi="Cambria Math"/>
          </w:rPr>
          <m:t>±</m:t>
        </m:r>
      </m:oMath>
      <w:r w:rsidR="004C4798">
        <w:t xml:space="preserve"> 0,5 h</w:t>
      </w:r>
      <w:r w:rsidR="001A615F">
        <w:t>vor den faktiske verdien var 3,47</w:t>
      </w:r>
      <w:r w:rsidR="004C4798">
        <w:t xml:space="preserve">. Regning med likevektskonstanter for dissosiasjonen til svake syrer ble brukt til å beregne syrekonstanten til </w:t>
      </w:r>
      <w:r w:rsidR="00190986">
        <w:t xml:space="preserve">eddiksyre til </w:t>
      </w:r>
      <m:oMath>
        <m:r>
          <w:rPr>
            <w:rFonts w:ascii="Cambria Math" w:hAnsi="Cambria Math"/>
          </w:rPr>
          <m:t>2,1⋅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495A7D">
        <w:t>.</w:t>
      </w:r>
    </w:p>
    <w:p w14:paraId="4935F3C7" w14:textId="77777777" w:rsidR="00B74023" w:rsidRPr="002A04EE" w:rsidRDefault="00B74023" w:rsidP="00A76F6F">
      <w:pPr>
        <w:spacing w:line="360" w:lineRule="auto"/>
      </w:pPr>
    </w:p>
    <w:p w14:paraId="03D57FC3" w14:textId="1BD09788" w:rsidR="00F33CED" w:rsidRDefault="0080694B" w:rsidP="00A76F6F">
      <w:pPr>
        <w:pStyle w:val="Heading1"/>
        <w:numPr>
          <w:ilvl w:val="0"/>
          <w:numId w:val="15"/>
        </w:numPr>
        <w:spacing w:line="360" w:lineRule="auto"/>
        <w:ind w:hanging="720"/>
      </w:pPr>
      <w:r w:rsidRPr="002A04EE">
        <w:t>Teori</w:t>
      </w:r>
    </w:p>
    <w:p w14:paraId="7F5AECD9" w14:textId="038FFF0D" w:rsidR="003079C3" w:rsidRDefault="00F33CED" w:rsidP="00A76F6F">
      <w:pPr>
        <w:spacing w:line="360" w:lineRule="auto"/>
      </w:pPr>
      <w:r>
        <w:t>En syre er et stoff som kan gi fra seg H</w:t>
      </w:r>
      <w:r>
        <w:rPr>
          <w:vertAlign w:val="superscript"/>
        </w:rPr>
        <w:t>+</w:t>
      </w:r>
      <w:r>
        <w:t xml:space="preserve"> ioner. Hvor sterk en syre er beskrives med hvor stor andel av stoffet som gir fra seg H</w:t>
      </w:r>
      <w:r>
        <w:rPr>
          <w:vertAlign w:val="superscript"/>
        </w:rPr>
        <w:t>+</w:t>
      </w:r>
      <w:r>
        <w:t xml:space="preserve"> ioner (protolysegraden). Hvis protolysegraden til en syre er tilnærmet 100% kaller vi det en sterk syre. En slik dissosiasjon gis ved en enveis reaksjon som f.eks. protolysen av saltsyre i vann:</w:t>
      </w:r>
    </w:p>
    <w:p w14:paraId="4638520A" w14:textId="32914F09" w:rsidR="00F33CED" w:rsidRDefault="00F33CED" w:rsidP="00A76F6F">
      <w:pPr>
        <w:spacing w:line="360" w:lineRule="auto"/>
      </w:pPr>
    </w:p>
    <w:p w14:paraId="0B91E2E4" w14:textId="2BD123CB" w:rsidR="00F33CED" w:rsidRPr="00672214" w:rsidRDefault="00F33CED" w:rsidP="00A76F6F">
      <w:pPr>
        <w:spacing w:line="360" w:lineRule="auto"/>
        <w:jc w:val="right"/>
      </w:pPr>
      <m:oMath>
        <m:r>
          <w:rPr>
            <w:rFonts w:ascii="Cambria Math" w:hAnsi="Cambria Math"/>
          </w:rPr>
          <m:t>HCl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</m:oMath>
      <w:r w:rsidR="00672214">
        <w:t xml:space="preserve">                                            (I)</w:t>
      </w:r>
    </w:p>
    <w:p w14:paraId="590F6D1E" w14:textId="77983763" w:rsidR="00F33CED" w:rsidRDefault="00F33CED" w:rsidP="00A76F6F">
      <w:pPr>
        <w:spacing w:line="360" w:lineRule="auto"/>
      </w:pPr>
    </w:p>
    <w:p w14:paraId="2591BFB6" w14:textId="05557460" w:rsidR="00F33CED" w:rsidRDefault="00F33CED" w:rsidP="00A76F6F">
      <w:pPr>
        <w:spacing w:line="360" w:lineRule="auto"/>
      </w:pPr>
      <w:r>
        <w:t>For svake syrer vil dette skrives som en reversibel reaksjon</w:t>
      </w:r>
      <w:r w:rsidR="00A663CE">
        <w:t xml:space="preserve"> med en likevektskonstant K som blir en konstant for hver syre. Denne blir da kallt syrekonstanten for den syren. Vi kan f.eks. se på dissosiasjonen til eddiksyre:</w:t>
      </w:r>
    </w:p>
    <w:p w14:paraId="3A5E3183" w14:textId="7F18439B" w:rsidR="00A663CE" w:rsidRDefault="00A663CE" w:rsidP="00A76F6F">
      <w:pPr>
        <w:spacing w:line="360" w:lineRule="auto"/>
      </w:pPr>
    </w:p>
    <w:p w14:paraId="60E68260" w14:textId="7A588657" w:rsidR="00A663CE" w:rsidRPr="00A663CE" w:rsidRDefault="00A663CE" w:rsidP="00A76F6F">
      <w:pPr>
        <w:spacing w:line="360" w:lineRule="auto"/>
        <w:jc w:val="right"/>
      </w:pPr>
      <m:oMath>
        <m:r>
          <w:rPr>
            <w:rFonts w:ascii="Cambria Math" w:hAnsi="Cambria Math"/>
          </w:rPr>
          <m:t>HAc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</m:oMath>
      <w:r w:rsidR="00672214">
        <w:t xml:space="preserve">                                        (II)</w:t>
      </w:r>
    </w:p>
    <w:p w14:paraId="5B186168" w14:textId="29B548CE" w:rsidR="00A663CE" w:rsidRDefault="00A663CE" w:rsidP="00A76F6F">
      <w:pPr>
        <w:spacing w:line="360" w:lineRule="auto"/>
      </w:pPr>
    </w:p>
    <w:p w14:paraId="2AB6C04F" w14:textId="7A04C28E" w:rsidR="00A663CE" w:rsidRPr="00A663CE" w:rsidRDefault="003968B7" w:rsidP="00A76F6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HAc</m:t>
                  </m:r>
                </m:e>
              </m:d>
            </m:den>
          </m:f>
        </m:oMath>
      </m:oMathPara>
    </w:p>
    <w:p w14:paraId="23A8B1FB" w14:textId="23EA8FC1" w:rsidR="00A663CE" w:rsidRDefault="00A663CE" w:rsidP="00A76F6F">
      <w:pPr>
        <w:spacing w:line="360" w:lineRule="auto"/>
      </w:pPr>
    </w:p>
    <w:p w14:paraId="7899B461" w14:textId="444F1377" w:rsidR="00A663CE" w:rsidRDefault="00A663CE" w:rsidP="00A76F6F">
      <w:pPr>
        <w:spacing w:line="360" w:lineRule="auto"/>
      </w:pPr>
      <w:r>
        <w:t xml:space="preserve">En pH-indikator er et stoff som har forskjellig farge </w:t>
      </w:r>
      <w:r w:rsidR="00BC38D8">
        <w:t>ved forskjellige pH verdier i en løsning og har et smalt pH-intervall hvor de skifter farge. F.eks. fenolftalein (C</w:t>
      </w:r>
      <w:r w:rsidR="00BC38D8">
        <w:softHyphen/>
      </w:r>
      <w:r w:rsidR="00BC38D8">
        <w:rPr>
          <w:vertAlign w:val="subscript"/>
        </w:rPr>
        <w:t>20</w:t>
      </w:r>
      <w:r w:rsidR="00BC38D8">
        <w:t>H</w:t>
      </w:r>
      <w:r w:rsidR="00BC38D8">
        <w:rPr>
          <w:vertAlign w:val="subscript"/>
        </w:rPr>
        <w:t>14</w:t>
      </w:r>
      <w:r w:rsidR="00BC38D8">
        <w:t>O</w:t>
      </w:r>
      <w:r w:rsidR="00BC38D8">
        <w:rPr>
          <w:vertAlign w:val="subscript"/>
        </w:rPr>
        <w:t>4</w:t>
      </w:r>
      <w:r w:rsidR="00BC38D8">
        <w:t xml:space="preserve">) som er </w:t>
      </w:r>
      <w:r w:rsidR="00417223">
        <w:t>oransje ved pH &lt; 0, fargeløs for 0 &lt; pH &lt; 8,3, rosa/lilla for 8,3 &lt; pH &lt; 12 og fargeløs for pH &gt; 12</w:t>
      </w:r>
      <w:r w:rsidR="00CC01D2">
        <w:t>. En pH indikator er selv en svak syre med en syrekonstant. En kan skive dissosiasjonen til en generell indikator slik:</w:t>
      </w:r>
    </w:p>
    <w:p w14:paraId="28AA989E" w14:textId="76DB3EB0" w:rsidR="00CC01D2" w:rsidRDefault="00CC01D2" w:rsidP="00A76F6F">
      <w:pPr>
        <w:spacing w:line="360" w:lineRule="auto"/>
      </w:pPr>
    </w:p>
    <w:p w14:paraId="5400D235" w14:textId="1E0F34D8" w:rsidR="00CC01D2" w:rsidRPr="00CC01D2" w:rsidRDefault="00CC01D2" w:rsidP="00A76F6F">
      <w:pPr>
        <w:spacing w:line="360" w:lineRule="auto"/>
        <w:jc w:val="right"/>
      </w:pPr>
      <m:oMath>
        <m:r>
          <w:rPr>
            <w:rFonts w:ascii="Cambria Math" w:hAnsi="Cambria Math"/>
          </w:rPr>
          <m:t>HInd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</m:oMath>
      <w:r w:rsidR="00672214">
        <w:t xml:space="preserve">                                  (III)</w:t>
      </w:r>
    </w:p>
    <w:p w14:paraId="079F1460" w14:textId="34B5E335" w:rsidR="00CC01D2" w:rsidRDefault="00CC01D2" w:rsidP="00A76F6F">
      <w:pPr>
        <w:spacing w:line="360" w:lineRule="auto"/>
      </w:pPr>
    </w:p>
    <w:p w14:paraId="02A6C1CA" w14:textId="2F786723" w:rsidR="00CC01D2" w:rsidRDefault="00CC01D2" w:rsidP="00A76F6F">
      <w:pPr>
        <w:spacing w:line="360" w:lineRule="auto"/>
      </w:pPr>
      <w:r>
        <w:t>Fargeendringen kommer av at den udissosierte indikatoren (Hind (aq)) har en annen farge enn den dissosierte indikatoren (Ind</w:t>
      </w:r>
      <w:r>
        <w:rPr>
          <w:vertAlign w:val="superscript"/>
        </w:rPr>
        <w:t xml:space="preserve">- </w:t>
      </w:r>
      <w:r>
        <w:t>(aq)). Omslagsområdet til indikatoren bestemmes av syrekonstanten (K</w:t>
      </w:r>
      <w:r>
        <w:rPr>
          <w:vertAlign w:val="subscript"/>
        </w:rPr>
        <w:t>a</w:t>
      </w:r>
      <w:r>
        <w:t>) til indikatoren:</w:t>
      </w:r>
    </w:p>
    <w:p w14:paraId="39196330" w14:textId="77777777" w:rsidR="004C4798" w:rsidRDefault="004C4798" w:rsidP="00A76F6F">
      <w:pPr>
        <w:spacing w:line="360" w:lineRule="auto"/>
      </w:pPr>
    </w:p>
    <w:p w14:paraId="5D523E06" w14:textId="396A8974" w:rsidR="00CC01D2" w:rsidRPr="00CC01D2" w:rsidRDefault="003968B7" w:rsidP="00A76F6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HInd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HInd</m:t>
                  </m:r>
                </m:e>
              </m:d>
            </m:den>
          </m:f>
        </m:oMath>
      </m:oMathPara>
    </w:p>
    <w:p w14:paraId="4727FBE2" w14:textId="77777777" w:rsidR="00CC01D2" w:rsidRPr="00CC01D2" w:rsidRDefault="00CC01D2" w:rsidP="00A76F6F">
      <w:pPr>
        <w:spacing w:line="360" w:lineRule="auto"/>
      </w:pPr>
    </w:p>
    <w:p w14:paraId="367E3414" w14:textId="3AC7EC57" w:rsidR="00CC01D2" w:rsidRDefault="00CC01D2" w:rsidP="00A76F6F">
      <w:pPr>
        <w:spacing w:line="360" w:lineRule="auto"/>
        <w:rPr>
          <w:rFonts w:ascii="Cambria Math" w:hAnsi="Cambria Math"/>
        </w:rPr>
      </w:pPr>
      <w:r>
        <w:t xml:space="preserve">Ved omslag vil </w:t>
      </w:r>
      <w:r w:rsidR="00672214">
        <w:t>[Ind</w:t>
      </w:r>
      <w:r w:rsidR="00672214">
        <w:rPr>
          <w:vertAlign w:val="superscript"/>
        </w:rPr>
        <w:t>-</w:t>
      </w:r>
      <w:r w:rsidR="00672214">
        <w:t>] ≈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 xml:space="preserve"> </m:t>
        </m:r>
      </m:oMath>
      <w:r w:rsidR="00672214">
        <w:t>[Hind] som vil si at [H</w:t>
      </w:r>
      <w:r w:rsidR="00672214">
        <w:rPr>
          <w:vertAlign w:val="superscript"/>
        </w:rPr>
        <w:t>+</w:t>
      </w:r>
      <w:r w:rsidR="00672214">
        <w:t>] ≈</w:t>
      </w:r>
      <w:r w:rsidR="00672214">
        <w:rPr>
          <w:rFonts w:ascii="Cambria Math" w:hAnsi="Cambria Math"/>
        </w:rPr>
        <w:t xml:space="preserve"> K</w:t>
      </w:r>
      <w:r w:rsidR="00672214">
        <w:rPr>
          <w:rFonts w:ascii="Cambria Math" w:hAnsi="Cambria Math"/>
          <w:vertAlign w:val="subscript"/>
        </w:rPr>
        <w:t>a</w:t>
      </w:r>
      <w:r w:rsidR="00672214">
        <w:rPr>
          <w:rFonts w:ascii="Cambria Math" w:hAnsi="Cambria Math"/>
        </w:rPr>
        <w:t>. Vi kan da beskrive omslagsområdet til indikatoren slik:</w:t>
      </w:r>
    </w:p>
    <w:p w14:paraId="22C2886D" w14:textId="53D38A7C" w:rsidR="00672214" w:rsidRDefault="00672214" w:rsidP="00A76F6F">
      <w:pPr>
        <w:spacing w:line="360" w:lineRule="auto"/>
        <w:rPr>
          <w:rFonts w:ascii="Cambria Math" w:hAnsi="Cambria Math"/>
        </w:rPr>
      </w:pPr>
    </w:p>
    <w:p w14:paraId="75749BD3" w14:textId="04C6EA06" w:rsidR="00672214" w:rsidRPr="00672214" w:rsidRDefault="00672214" w:rsidP="00A76F6F">
      <w:pPr>
        <w:spacing w:line="360" w:lineRule="auto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omslag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≈-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HInd</m:t>
                  </m:r>
                </m:sub>
              </m:sSub>
            </m:e>
          </m:func>
        </m:oMath>
      </m:oMathPara>
    </w:p>
    <w:p w14:paraId="638273A8" w14:textId="77777777" w:rsidR="002A04EE" w:rsidRPr="002A04EE" w:rsidRDefault="002A04EE" w:rsidP="00A76F6F">
      <w:pPr>
        <w:spacing w:line="360" w:lineRule="auto"/>
      </w:pPr>
    </w:p>
    <w:p w14:paraId="71D1D287" w14:textId="7F257EE9" w:rsidR="00A34C9B" w:rsidRDefault="0080694B" w:rsidP="00A76F6F">
      <w:pPr>
        <w:pStyle w:val="Heading1"/>
        <w:numPr>
          <w:ilvl w:val="0"/>
          <w:numId w:val="15"/>
        </w:numPr>
        <w:spacing w:line="360" w:lineRule="auto"/>
        <w:ind w:hanging="720"/>
      </w:pPr>
      <w:r w:rsidRPr="002A04EE">
        <w:t>Eksperimentelt</w:t>
      </w:r>
    </w:p>
    <w:p w14:paraId="0B661489" w14:textId="77777777" w:rsidR="00EE3335" w:rsidRDefault="00EE3335" w:rsidP="00A76F6F">
      <w:pPr>
        <w:pStyle w:val="Heading2"/>
        <w:numPr>
          <w:ilvl w:val="1"/>
          <w:numId w:val="15"/>
        </w:numPr>
        <w:spacing w:line="360" w:lineRule="auto"/>
        <w:ind w:hanging="720"/>
      </w:pPr>
      <w:r w:rsidRPr="002A04EE">
        <w:t>Omslagsintervall for indikatorer</w:t>
      </w:r>
    </w:p>
    <w:p w14:paraId="10E0A427" w14:textId="3A444525" w:rsidR="00C978A1" w:rsidRDefault="00A34C9B" w:rsidP="00A76F6F">
      <w:pPr>
        <w:spacing w:line="360" w:lineRule="auto"/>
      </w:pPr>
      <w:r>
        <w:t xml:space="preserve">En 0,1 M saltsyreløsning ble laget </w:t>
      </w:r>
      <w:r w:rsidR="00CF1370">
        <w:t>ved</w:t>
      </w:r>
      <w:r>
        <w:t xml:space="preserve"> fortynning av en 5,00 mL 1 M saltsyreløsning til 50,0 mL. </w:t>
      </w:r>
      <w:r w:rsidR="00CF1370">
        <w:t>5,00 av denne ble fortynnet til 50,0 mL for å lage en 0,01</w:t>
      </w:r>
      <w:r w:rsidR="0071738F">
        <w:t xml:space="preserve"> M løsning. Tilsvarende ble 5,00 mL av denne løsningen fortynnet til 50,0 mL for å lage en 0,001 mL løsning.</w:t>
      </w:r>
      <w:r w:rsidR="00DE306E">
        <w:t xml:space="preserve"> Disse tre løsningene vil ha pH på henholdsvis 1, 2 og 3</w:t>
      </w:r>
      <w:r w:rsidR="00C978A1">
        <w:t>. Bufferløsninger med pH 4, 5, 6, 7 og 8 var forbredt på forhånd.</w:t>
      </w:r>
    </w:p>
    <w:p w14:paraId="7F22B699" w14:textId="250DE1E7" w:rsidR="00C978A1" w:rsidRDefault="00C978A1" w:rsidP="00A76F6F">
      <w:pPr>
        <w:spacing w:line="360" w:lineRule="auto"/>
      </w:pPr>
    </w:p>
    <w:p w14:paraId="1C9C8E20" w14:textId="07983B62" w:rsidR="00C978A1" w:rsidRDefault="00C978A1" w:rsidP="00A76F6F">
      <w:pPr>
        <w:spacing w:line="360" w:lineRule="auto"/>
      </w:pPr>
      <w:r>
        <w:t>Det ble gjort 4 delforsøk hvor i hvert ble samme indikator tilsatt løsninger med ulik pH.</w:t>
      </w:r>
    </w:p>
    <w:p w14:paraId="623F89A0" w14:textId="77777777" w:rsidR="004B1172" w:rsidRDefault="004B1172" w:rsidP="00A76F6F">
      <w:pPr>
        <w:spacing w:line="360" w:lineRule="auto"/>
      </w:pPr>
    </w:p>
    <w:p w14:paraId="27F0DEF0" w14:textId="37205D7A" w:rsidR="00C978A1" w:rsidRDefault="004B1172" w:rsidP="00A76F6F">
      <w:pPr>
        <w:spacing w:line="360" w:lineRule="auto"/>
      </w:pPr>
      <w:r>
        <w:lastRenderedPageBreak/>
        <w:t>Del 1:</w:t>
      </w:r>
      <w:r w:rsidR="00C978A1">
        <w:t xml:space="preserve"> </w:t>
      </w:r>
      <w:r>
        <w:t>T</w:t>
      </w:r>
      <w:r w:rsidR="00C978A1">
        <w:t>re (like) reagensrør fylt med løsninger med pH på 1, 2 og 3.</w:t>
      </w:r>
      <w:r>
        <w:t xml:space="preserve"> I</w:t>
      </w:r>
      <w:r w:rsidR="00C978A1">
        <w:t xml:space="preserve"> </w:t>
      </w:r>
      <w:r>
        <w:t>d</w:t>
      </w:r>
      <w:r w:rsidR="00C978A1">
        <w:t xml:space="preserve">isse rørene ble det tilsatt en lik mengde </w:t>
      </w:r>
      <w:r>
        <w:t>tymolblått. Farge ble notert.</w:t>
      </w:r>
    </w:p>
    <w:p w14:paraId="5AFBB784" w14:textId="7C7EABD7" w:rsidR="004B1172" w:rsidRDefault="004B1172" w:rsidP="00A76F6F">
      <w:pPr>
        <w:spacing w:line="360" w:lineRule="auto"/>
      </w:pPr>
    </w:p>
    <w:p w14:paraId="229340D5" w14:textId="7E74F48F" w:rsidR="004B1172" w:rsidRDefault="004B1172" w:rsidP="00A76F6F">
      <w:pPr>
        <w:spacing w:line="360" w:lineRule="auto"/>
      </w:pPr>
      <w:r>
        <w:t xml:space="preserve">Del 2: Tre nye reagensrør ble fyllt med </w:t>
      </w:r>
      <w:r w:rsidR="00FD3619">
        <w:t>løsninger med pH på 3, 4 og 5. Metyloransje ble tilsatt og farge</w:t>
      </w:r>
      <w:r w:rsidR="00086887">
        <w:t xml:space="preserve"> ble</w:t>
      </w:r>
      <w:r w:rsidR="00FD3619">
        <w:t xml:space="preserve"> notert.</w:t>
      </w:r>
    </w:p>
    <w:p w14:paraId="67204EB8" w14:textId="55370CEF" w:rsidR="00FD3619" w:rsidRDefault="00FD3619" w:rsidP="00A76F6F">
      <w:pPr>
        <w:spacing w:line="360" w:lineRule="auto"/>
      </w:pPr>
    </w:p>
    <w:p w14:paraId="3BF7FDAC" w14:textId="240CAA26" w:rsidR="00FD3619" w:rsidRDefault="00FD3619" w:rsidP="00A76F6F">
      <w:pPr>
        <w:spacing w:line="360" w:lineRule="auto"/>
      </w:pPr>
      <w:r>
        <w:t>Del 3: Tre reagensrør ble fyllt med løsninger med pH</w:t>
      </w:r>
      <w:r w:rsidR="00086887">
        <w:t xml:space="preserve"> på 4, 5 og 6. Metylrødt ble tilsatt og farge ble notert.</w:t>
      </w:r>
    </w:p>
    <w:p w14:paraId="642E6CCC" w14:textId="374E3864" w:rsidR="00086887" w:rsidRDefault="00086887" w:rsidP="00A76F6F">
      <w:pPr>
        <w:spacing w:line="360" w:lineRule="auto"/>
      </w:pPr>
    </w:p>
    <w:p w14:paraId="4ED6380F" w14:textId="5D7E1C8F" w:rsidR="00086887" w:rsidRDefault="00086887" w:rsidP="00A76F6F">
      <w:pPr>
        <w:spacing w:line="360" w:lineRule="auto"/>
      </w:pPr>
      <w:r>
        <w:t>Del 4: Fire reagensrør ble fyllt med løsninger med pH på 5, 6, 7 og 8. Bromtymolblått ble tilsatt og farge ble notert.</w:t>
      </w:r>
    </w:p>
    <w:p w14:paraId="09D02898" w14:textId="36B36A4B" w:rsidR="0071738F" w:rsidRDefault="0071738F" w:rsidP="00A76F6F">
      <w:pPr>
        <w:spacing w:line="360" w:lineRule="auto"/>
      </w:pPr>
    </w:p>
    <w:p w14:paraId="635A8986" w14:textId="220EDA70" w:rsidR="00CB4312" w:rsidRDefault="00EE3335" w:rsidP="00A76F6F">
      <w:pPr>
        <w:pStyle w:val="Heading2"/>
        <w:numPr>
          <w:ilvl w:val="1"/>
          <w:numId w:val="15"/>
        </w:numPr>
        <w:spacing w:line="360" w:lineRule="auto"/>
        <w:ind w:hanging="720"/>
      </w:pPr>
      <w:r w:rsidRPr="002A04EE">
        <w:t>Bestemmelse av pH i ukjent prøv</w:t>
      </w:r>
      <w:r w:rsidR="00190986">
        <w:t>e</w:t>
      </w:r>
    </w:p>
    <w:p w14:paraId="732D3A63" w14:textId="4728B5CF" w:rsidR="00CB4312" w:rsidRDefault="00CB4312" w:rsidP="00A76F6F">
      <w:pPr>
        <w:spacing w:line="360" w:lineRule="auto"/>
      </w:pPr>
      <w:r>
        <w:t xml:space="preserve">5 mL av utlevert prøve ble tilsatt to dråper BTB. </w:t>
      </w:r>
      <w:r w:rsidR="00DF59DF">
        <w:t>Utfra fargen ble det avgjort at det var nødvendig å teste med metylrødt. 5 nye mL av ukjent løsning ble tilsatt 2 dråper metylrødt. Igjen ble det avgjort at løsningen måtte testes</w:t>
      </w:r>
      <w:r w:rsidR="002B5C4B">
        <w:t xml:space="preserve"> med metyloransje. 5 mL av løsningen ble tilsatt 2 dråper metyloransje. Fargen ble sammenlignet med standardløsningene fra 2.1 og pH ble anslått.</w:t>
      </w:r>
    </w:p>
    <w:p w14:paraId="7813BF3D" w14:textId="77777777" w:rsidR="00EE3335" w:rsidRDefault="00EE3335" w:rsidP="00A76F6F">
      <w:pPr>
        <w:pStyle w:val="Heading2"/>
        <w:numPr>
          <w:ilvl w:val="1"/>
          <w:numId w:val="15"/>
        </w:numPr>
        <w:spacing w:line="360" w:lineRule="auto"/>
        <w:ind w:hanging="720"/>
      </w:pPr>
      <w:r w:rsidRPr="002A04EE">
        <w:t>Eddiksyre</w:t>
      </w:r>
    </w:p>
    <w:p w14:paraId="304A0011" w14:textId="6A3425C5" w:rsidR="00842C31" w:rsidRDefault="00F619FC" w:rsidP="00A76F6F">
      <w:pPr>
        <w:spacing w:line="360" w:lineRule="auto"/>
      </w:pPr>
      <w:r>
        <w:t>5,0 mL 1 M eddiksyre ble fortynnet til 50 mL. Det ble tatt to 5 mL prøver fra denne løsningen og det ble henholdsvis tilsatt 2 dråper tymolblått og to dråper metyloransje i disse.</w:t>
      </w:r>
      <w:r w:rsidR="00842C31">
        <w:t xml:space="preserve"> pH for løsningen noteres så nøyaktig som mulig.</w:t>
      </w:r>
    </w:p>
    <w:p w14:paraId="09E34016" w14:textId="38B67E46" w:rsidR="00842C31" w:rsidRDefault="00E03047" w:rsidP="00A76F6F">
      <w:pPr>
        <w:spacing w:line="360" w:lineRule="auto"/>
      </w:pPr>
      <w:r>
        <w:t>Tilsvarende ble 5,0 mL av den fortynnete løsningen fortynnet til 50 mL</w:t>
      </w:r>
      <w:r w:rsidR="00FA5E3C">
        <w:t xml:space="preserve"> og </w:t>
      </w:r>
      <w:r w:rsidR="003D5FD4">
        <w:t>indikator ble tilsatt som i steget over</w:t>
      </w:r>
      <w:r>
        <w:t>.</w:t>
      </w:r>
      <w:r w:rsidR="00190986">
        <w:t xml:space="preserve"> </w:t>
      </w:r>
      <w:r w:rsidR="006A4299">
        <w:t>pH for denne løsningen noteres også.</w:t>
      </w:r>
    </w:p>
    <w:p w14:paraId="1C1B70E7" w14:textId="10DE67AA" w:rsidR="00FA6BA7" w:rsidRDefault="00FA6BA7" w:rsidP="00A76F6F">
      <w:pPr>
        <w:spacing w:line="360" w:lineRule="auto"/>
        <w:rPr>
          <w:rFonts w:eastAsiaTheme="majorEastAsia"/>
          <w:b/>
          <w:bCs/>
          <w:kern w:val="32"/>
          <w:sz w:val="32"/>
          <w:szCs w:val="32"/>
        </w:rPr>
      </w:pPr>
    </w:p>
    <w:p w14:paraId="3F3B97A2" w14:textId="617AC693" w:rsidR="00A76F6F" w:rsidRDefault="00A76F6F" w:rsidP="00A76F6F">
      <w:pPr>
        <w:spacing w:line="360" w:lineRule="auto"/>
        <w:rPr>
          <w:rFonts w:eastAsiaTheme="majorEastAsia"/>
          <w:b/>
          <w:bCs/>
          <w:kern w:val="32"/>
          <w:sz w:val="32"/>
          <w:szCs w:val="32"/>
        </w:rPr>
      </w:pPr>
    </w:p>
    <w:p w14:paraId="3E20D696" w14:textId="77777777" w:rsidR="00A76F6F" w:rsidRDefault="00A76F6F" w:rsidP="00A76F6F">
      <w:pPr>
        <w:spacing w:line="360" w:lineRule="auto"/>
        <w:rPr>
          <w:rFonts w:eastAsiaTheme="majorEastAsia"/>
          <w:b/>
          <w:bCs/>
          <w:kern w:val="32"/>
          <w:sz w:val="32"/>
          <w:szCs w:val="32"/>
        </w:rPr>
      </w:pPr>
    </w:p>
    <w:p w14:paraId="18BCD63E" w14:textId="7DAACF3B" w:rsidR="00460C85" w:rsidRDefault="000C69F6" w:rsidP="00A76F6F">
      <w:pPr>
        <w:pStyle w:val="Heading1"/>
        <w:numPr>
          <w:ilvl w:val="0"/>
          <w:numId w:val="15"/>
        </w:numPr>
        <w:spacing w:line="360" w:lineRule="auto"/>
        <w:ind w:hanging="720"/>
      </w:pPr>
      <w:r w:rsidRPr="002A04EE">
        <w:lastRenderedPageBreak/>
        <w:t>R</w:t>
      </w:r>
      <w:r w:rsidR="00460C85">
        <w:t>esultater</w:t>
      </w:r>
    </w:p>
    <w:p w14:paraId="54FBFAA5" w14:textId="5EE0F6A7" w:rsidR="00C84691" w:rsidRDefault="003C0950" w:rsidP="00A76F6F">
      <w:pPr>
        <w:pStyle w:val="Heading2"/>
        <w:numPr>
          <w:ilvl w:val="1"/>
          <w:numId w:val="15"/>
        </w:numPr>
        <w:spacing w:line="360" w:lineRule="auto"/>
        <w:ind w:hanging="720"/>
      </w:pPr>
      <w:r w:rsidRPr="002A04EE">
        <w:t>Omslagsintervall for indikatorer</w:t>
      </w:r>
    </w:p>
    <w:p w14:paraId="776343F9" w14:textId="48D36B2F" w:rsidR="00872D75" w:rsidRPr="00872D75" w:rsidRDefault="00872D75" w:rsidP="00872D75"/>
    <w:p w14:paraId="75227728" w14:textId="20681BB7" w:rsidR="00190986" w:rsidRPr="00EE3335" w:rsidRDefault="00190986" w:rsidP="00A76F6F">
      <w:pPr>
        <w:spacing w:line="360" w:lineRule="auto"/>
      </w:pPr>
      <w:r>
        <w:t>Observerte farger ble ført inn i tabell 3.1 og brukt som sammenligningsløsninger i senere forsøk.</w:t>
      </w:r>
    </w:p>
    <w:p w14:paraId="73CCF501" w14:textId="77777777" w:rsidR="000C7513" w:rsidRPr="002A04EE" w:rsidRDefault="000C7513" w:rsidP="00A76F6F">
      <w:pPr>
        <w:spacing w:line="360" w:lineRule="auto"/>
      </w:pPr>
    </w:p>
    <w:p w14:paraId="18E029AB" w14:textId="59A9A720" w:rsidR="00EE3335" w:rsidRPr="00EE3335" w:rsidRDefault="00EE3335" w:rsidP="00A76F6F">
      <w:pPr>
        <w:pStyle w:val="Tabell"/>
        <w:spacing w:line="360" w:lineRule="auto"/>
      </w:pPr>
      <w:bookmarkStart w:id="1" w:name="_Ref430176158"/>
      <w:r w:rsidRPr="00EE3335">
        <w:t xml:space="preserve">Tabell </w:t>
      </w:r>
      <w:r w:rsidR="003968B7">
        <w:fldChar w:fldCharType="begin"/>
      </w:r>
      <w:r w:rsidR="003968B7">
        <w:instrText xml:space="preserve"> STYLEREF 1 \s </w:instrText>
      </w:r>
      <w:r w:rsidR="003968B7">
        <w:fldChar w:fldCharType="separate"/>
      </w:r>
      <w:r w:rsidR="00620FC6">
        <w:rPr>
          <w:noProof/>
        </w:rPr>
        <w:t>3</w:t>
      </w:r>
      <w:r w:rsidR="003968B7">
        <w:fldChar w:fldCharType="end"/>
      </w:r>
      <w:r w:rsidRPr="00EE3335">
        <w:t>.</w:t>
      </w:r>
      <w:fldSimple w:instr=" SEQ Tabell \* ARABIC \s 1 ">
        <w:r w:rsidR="00620FC6">
          <w:rPr>
            <w:noProof/>
          </w:rPr>
          <w:t>1</w:t>
        </w:r>
      </w:fldSimple>
      <w:bookmarkEnd w:id="1"/>
      <w:r w:rsidRPr="00EE3335">
        <w:t>:</w:t>
      </w:r>
      <w:r w:rsidRPr="00EE3335">
        <w:rPr>
          <w:rStyle w:val="TabellChar"/>
        </w:rPr>
        <w:t xml:space="preserve"> </w:t>
      </w:r>
      <w:r w:rsidRPr="00191ED1">
        <w:rPr>
          <w:b w:val="0"/>
        </w:rPr>
        <w:t>Observerte farger på fortynnede syre- og baseløsninger med pH 1-8 med indikatorer.</w:t>
      </w:r>
    </w:p>
    <w:tbl>
      <w:tblPr>
        <w:tblStyle w:val="TableGrid"/>
        <w:tblW w:w="5000" w:type="pct"/>
        <w:jc w:val="center"/>
        <w:tblLayout w:type="fixed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1111"/>
        <w:gridCol w:w="1899"/>
        <w:gridCol w:w="2019"/>
        <w:gridCol w:w="2019"/>
        <w:gridCol w:w="2014"/>
      </w:tblGrid>
      <w:tr w:rsidR="0080694B" w:rsidRPr="00EE3335" w14:paraId="7A07CDE0" w14:textId="77777777" w:rsidTr="00004712">
        <w:trPr>
          <w:trHeight w:val="673"/>
          <w:jc w:val="center"/>
        </w:trPr>
        <w:tc>
          <w:tcPr>
            <w:tcW w:w="613" w:type="pct"/>
            <w:vAlign w:val="center"/>
          </w:tcPr>
          <w:p w14:paraId="6AAB33CD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pH</w:t>
            </w:r>
          </w:p>
        </w:tc>
        <w:tc>
          <w:tcPr>
            <w:tcW w:w="1048" w:type="pct"/>
            <w:tcBorders>
              <w:bottom w:val="single" w:sz="18" w:space="0" w:color="auto"/>
            </w:tcBorders>
            <w:vAlign w:val="center"/>
          </w:tcPr>
          <w:p w14:paraId="44EF1F88" w14:textId="77777777" w:rsidR="00EE3335" w:rsidRDefault="00EE3335" w:rsidP="00A76F6F">
            <w:pPr>
              <w:spacing w:line="360" w:lineRule="auto"/>
              <w:jc w:val="center"/>
            </w:pPr>
            <w:r>
              <w:t>Tymolblått</w:t>
            </w:r>
            <w:r w:rsidR="00896670" w:rsidRPr="00EE3335">
              <w:t>,</w:t>
            </w:r>
          </w:p>
          <w:p w14:paraId="24997901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farge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vAlign w:val="center"/>
          </w:tcPr>
          <w:p w14:paraId="2EC3D19D" w14:textId="77777777" w:rsidR="00960C65" w:rsidRPr="00EE3335" w:rsidRDefault="00EE3335" w:rsidP="00A76F6F">
            <w:pPr>
              <w:spacing w:line="360" w:lineRule="auto"/>
              <w:jc w:val="center"/>
            </w:pPr>
            <w:r>
              <w:t>Metyloransje</w:t>
            </w:r>
            <w:r w:rsidR="00896670" w:rsidRPr="00EE3335">
              <w:t>,</w:t>
            </w:r>
            <w:r w:rsidR="00960C65" w:rsidRPr="00EE3335">
              <w:t xml:space="preserve"> farge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vAlign w:val="center"/>
          </w:tcPr>
          <w:p w14:paraId="294D3AFE" w14:textId="77777777" w:rsidR="00EE3335" w:rsidRDefault="00EE3335" w:rsidP="00A76F6F">
            <w:pPr>
              <w:spacing w:line="360" w:lineRule="auto"/>
              <w:jc w:val="center"/>
            </w:pPr>
            <w:r>
              <w:t>Metylrødt</w:t>
            </w:r>
            <w:r w:rsidR="00896670" w:rsidRPr="00EE3335">
              <w:t>,</w:t>
            </w:r>
          </w:p>
          <w:p w14:paraId="12DCFCA4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farge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D4D54D" w14:textId="77777777" w:rsidR="00960C65" w:rsidRPr="00EE3335" w:rsidRDefault="00EE3335" w:rsidP="00A76F6F">
            <w:pPr>
              <w:spacing w:line="360" w:lineRule="auto"/>
              <w:jc w:val="center"/>
            </w:pPr>
            <w:r>
              <w:t>Bromtymolblått</w:t>
            </w:r>
            <w:r w:rsidR="00896670" w:rsidRPr="00EE3335">
              <w:t>,</w:t>
            </w:r>
            <w:r w:rsidR="00960C65" w:rsidRPr="00EE3335">
              <w:t xml:space="preserve"> farge</w:t>
            </w:r>
          </w:p>
        </w:tc>
      </w:tr>
      <w:tr w:rsidR="0080694B" w:rsidRPr="00EE3335" w14:paraId="19FDEA9E" w14:textId="77777777" w:rsidTr="00E51C40">
        <w:trPr>
          <w:jc w:val="center"/>
        </w:trPr>
        <w:tc>
          <w:tcPr>
            <w:tcW w:w="613" w:type="pct"/>
            <w:tcBorders>
              <w:right w:val="single" w:sz="18" w:space="0" w:color="auto"/>
            </w:tcBorders>
            <w:vAlign w:val="center"/>
          </w:tcPr>
          <w:p w14:paraId="18720197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1</w:t>
            </w:r>
          </w:p>
        </w:tc>
        <w:tc>
          <w:tcPr>
            <w:tcW w:w="104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8B3B108" w14:textId="145F612F" w:rsidR="00960C65" w:rsidRPr="00EE3335" w:rsidRDefault="00DF59DF" w:rsidP="00A76F6F">
            <w:pPr>
              <w:spacing w:line="360" w:lineRule="auto"/>
            </w:pPr>
            <w:r>
              <w:t>Rosa</w:t>
            </w:r>
          </w:p>
        </w:tc>
        <w:tc>
          <w:tcPr>
            <w:tcW w:w="1114" w:type="pct"/>
            <w:tcBorders>
              <w:left w:val="single" w:sz="18" w:space="0" w:color="auto"/>
              <w:tl2br w:val="single" w:sz="4" w:space="0" w:color="auto"/>
            </w:tcBorders>
            <w:vAlign w:val="center"/>
          </w:tcPr>
          <w:p w14:paraId="509B5C11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l2br w:val="single" w:sz="2" w:space="0" w:color="auto"/>
            </w:tcBorders>
            <w:vAlign w:val="center"/>
          </w:tcPr>
          <w:p w14:paraId="7327E20C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1" w:type="pct"/>
            <w:tcBorders>
              <w:tl2br w:val="single" w:sz="2" w:space="0" w:color="auto"/>
            </w:tcBorders>
            <w:vAlign w:val="center"/>
          </w:tcPr>
          <w:p w14:paraId="5C17D973" w14:textId="77777777" w:rsidR="00960C65" w:rsidRPr="00EE3335" w:rsidRDefault="00960C65" w:rsidP="00A76F6F">
            <w:pPr>
              <w:spacing w:line="360" w:lineRule="auto"/>
            </w:pPr>
          </w:p>
        </w:tc>
      </w:tr>
      <w:tr w:rsidR="0080694B" w:rsidRPr="00EE3335" w14:paraId="5058319F" w14:textId="77777777" w:rsidTr="00E51C40">
        <w:trPr>
          <w:jc w:val="center"/>
        </w:trPr>
        <w:tc>
          <w:tcPr>
            <w:tcW w:w="613" w:type="pct"/>
            <w:tcBorders>
              <w:right w:val="single" w:sz="18" w:space="0" w:color="auto"/>
            </w:tcBorders>
            <w:vAlign w:val="center"/>
          </w:tcPr>
          <w:p w14:paraId="3D1E8112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2</w:t>
            </w:r>
          </w:p>
        </w:tc>
        <w:tc>
          <w:tcPr>
            <w:tcW w:w="104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4A68ED" w14:textId="19C84D36" w:rsidR="00960C65" w:rsidRPr="00EE3335" w:rsidRDefault="00DF59DF" w:rsidP="00A76F6F">
            <w:pPr>
              <w:spacing w:line="360" w:lineRule="auto"/>
            </w:pPr>
            <w:r>
              <w:t>Lys rød</w:t>
            </w:r>
          </w:p>
        </w:tc>
        <w:tc>
          <w:tcPr>
            <w:tcW w:w="1114" w:type="pct"/>
            <w:tcBorders>
              <w:left w:val="single" w:sz="18" w:space="0" w:color="auto"/>
              <w:bottom w:val="single" w:sz="18" w:space="0" w:color="auto"/>
              <w:tl2br w:val="single" w:sz="4" w:space="0" w:color="auto"/>
            </w:tcBorders>
            <w:vAlign w:val="center"/>
          </w:tcPr>
          <w:p w14:paraId="7FA840AF" w14:textId="799AAA25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l2br w:val="single" w:sz="2" w:space="0" w:color="auto"/>
            </w:tcBorders>
            <w:vAlign w:val="center"/>
          </w:tcPr>
          <w:p w14:paraId="74C66BB0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1" w:type="pct"/>
            <w:tcBorders>
              <w:tl2br w:val="single" w:sz="2" w:space="0" w:color="auto"/>
            </w:tcBorders>
            <w:vAlign w:val="center"/>
          </w:tcPr>
          <w:p w14:paraId="7B1E315A" w14:textId="77777777" w:rsidR="00960C65" w:rsidRPr="00EE3335" w:rsidRDefault="00960C65" w:rsidP="00A76F6F">
            <w:pPr>
              <w:spacing w:line="360" w:lineRule="auto"/>
            </w:pPr>
          </w:p>
        </w:tc>
      </w:tr>
      <w:tr w:rsidR="0080694B" w:rsidRPr="00EE3335" w14:paraId="6F1E3091" w14:textId="77777777" w:rsidTr="00E51C40">
        <w:trPr>
          <w:jc w:val="center"/>
        </w:trPr>
        <w:tc>
          <w:tcPr>
            <w:tcW w:w="613" w:type="pct"/>
            <w:tcBorders>
              <w:right w:val="single" w:sz="18" w:space="0" w:color="auto"/>
            </w:tcBorders>
            <w:vAlign w:val="center"/>
          </w:tcPr>
          <w:p w14:paraId="62747834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3</w:t>
            </w:r>
          </w:p>
        </w:tc>
        <w:tc>
          <w:tcPr>
            <w:tcW w:w="104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343BC2" w14:textId="123B10C3" w:rsidR="00960C65" w:rsidRPr="00EE3335" w:rsidRDefault="00DF59DF" w:rsidP="00A76F6F">
            <w:pPr>
              <w:spacing w:line="360" w:lineRule="auto"/>
            </w:pPr>
            <w:r>
              <w:t>Lys gul</w:t>
            </w:r>
          </w:p>
        </w:tc>
        <w:tc>
          <w:tcPr>
            <w:tcW w:w="1114" w:type="pc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3E54549" w14:textId="609CB4AC" w:rsidR="00960C65" w:rsidRPr="00EE3335" w:rsidRDefault="00DF59DF" w:rsidP="00A76F6F">
            <w:pPr>
              <w:spacing w:line="360" w:lineRule="auto"/>
            </w:pPr>
            <w:r>
              <w:t>Rosa/rød</w:t>
            </w:r>
          </w:p>
        </w:tc>
        <w:tc>
          <w:tcPr>
            <w:tcW w:w="1114" w:type="pct"/>
            <w:tcBorders>
              <w:left w:val="single" w:sz="18" w:space="0" w:color="auto"/>
              <w:bottom w:val="single" w:sz="18" w:space="0" w:color="auto"/>
              <w:tl2br w:val="single" w:sz="2" w:space="0" w:color="auto"/>
            </w:tcBorders>
            <w:vAlign w:val="center"/>
          </w:tcPr>
          <w:p w14:paraId="1D9FEA1F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1" w:type="pct"/>
            <w:tcBorders>
              <w:tl2br w:val="single" w:sz="2" w:space="0" w:color="auto"/>
            </w:tcBorders>
            <w:vAlign w:val="center"/>
          </w:tcPr>
          <w:p w14:paraId="1AE5709E" w14:textId="77777777" w:rsidR="00960C65" w:rsidRPr="00EE3335" w:rsidRDefault="00960C65" w:rsidP="00A76F6F">
            <w:pPr>
              <w:spacing w:line="360" w:lineRule="auto"/>
            </w:pPr>
          </w:p>
        </w:tc>
      </w:tr>
      <w:tr w:rsidR="00FD3B73" w:rsidRPr="00EE3335" w14:paraId="0F55C0EC" w14:textId="77777777" w:rsidTr="00D44AD1">
        <w:trPr>
          <w:jc w:val="center"/>
        </w:trPr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43A1C57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4</w:t>
            </w:r>
          </w:p>
        </w:tc>
        <w:tc>
          <w:tcPr>
            <w:tcW w:w="10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  <w:tl2br w:val="single" w:sz="2" w:space="0" w:color="auto"/>
            </w:tcBorders>
            <w:vAlign w:val="center"/>
          </w:tcPr>
          <w:p w14:paraId="745E2492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ADF5B1" w14:textId="6E038A5B" w:rsidR="00960C65" w:rsidRPr="00EE3335" w:rsidRDefault="00DF59DF" w:rsidP="00A76F6F">
            <w:pPr>
              <w:spacing w:line="360" w:lineRule="auto"/>
            </w:pPr>
            <w:r>
              <w:t>Lys oransje</w:t>
            </w:r>
          </w:p>
        </w:tc>
        <w:tc>
          <w:tcPr>
            <w:tcW w:w="111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5EB75C7E" w14:textId="666146D0" w:rsidR="00960C65" w:rsidRPr="00EE3335" w:rsidRDefault="00DF59DF" w:rsidP="00A76F6F">
            <w:pPr>
              <w:spacing w:line="360" w:lineRule="auto"/>
            </w:pPr>
            <w:r>
              <w:t>Sterk rosa</w:t>
            </w:r>
          </w:p>
        </w:tc>
        <w:tc>
          <w:tcPr>
            <w:tcW w:w="1111" w:type="pct"/>
            <w:tcBorders>
              <w:left w:val="single" w:sz="18" w:space="0" w:color="auto"/>
              <w:bottom w:val="single" w:sz="18" w:space="0" w:color="auto"/>
              <w:tl2br w:val="single" w:sz="4" w:space="0" w:color="auto"/>
            </w:tcBorders>
            <w:vAlign w:val="center"/>
          </w:tcPr>
          <w:p w14:paraId="3B643BC5" w14:textId="77777777" w:rsidR="00960C65" w:rsidRPr="00EE3335" w:rsidRDefault="00960C65" w:rsidP="00A76F6F">
            <w:pPr>
              <w:spacing w:line="360" w:lineRule="auto"/>
            </w:pPr>
          </w:p>
        </w:tc>
      </w:tr>
      <w:tr w:rsidR="00E22618" w:rsidRPr="00EE3335" w14:paraId="74599499" w14:textId="77777777" w:rsidTr="00D44AD1">
        <w:trPr>
          <w:trHeight w:val="260"/>
          <w:jc w:val="center"/>
        </w:trPr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7D6D4BB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5</w:t>
            </w:r>
          </w:p>
        </w:tc>
        <w:tc>
          <w:tcPr>
            <w:tcW w:w="1048" w:type="pct"/>
            <w:tcBorders>
              <w:top w:val="single" w:sz="2" w:space="0" w:color="auto"/>
              <w:left w:val="single" w:sz="4" w:space="0" w:color="auto"/>
              <w:right w:val="single" w:sz="18" w:space="0" w:color="auto"/>
              <w:tl2br w:val="single" w:sz="2" w:space="0" w:color="auto"/>
            </w:tcBorders>
            <w:vAlign w:val="center"/>
          </w:tcPr>
          <w:p w14:paraId="37ABF036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2B1F22" w14:textId="66FB8925" w:rsidR="00960C65" w:rsidRPr="00EE3335" w:rsidRDefault="00DF59DF" w:rsidP="00A76F6F">
            <w:pPr>
              <w:spacing w:line="360" w:lineRule="auto"/>
            </w:pPr>
            <w:r>
              <w:t>Oransje/gul</w:t>
            </w:r>
          </w:p>
        </w:tc>
        <w:tc>
          <w:tcPr>
            <w:tcW w:w="1114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  <w:tl2br w:val="nil"/>
            </w:tcBorders>
            <w:vAlign w:val="center"/>
          </w:tcPr>
          <w:p w14:paraId="43563B2F" w14:textId="7FF69316" w:rsidR="00960C65" w:rsidRPr="00EE3335" w:rsidRDefault="00DF59DF" w:rsidP="00A76F6F">
            <w:pPr>
              <w:spacing w:line="360" w:lineRule="auto"/>
            </w:pPr>
            <w:r>
              <w:t>Rosa/oransje</w:t>
            </w:r>
          </w:p>
        </w:tc>
        <w:tc>
          <w:tcPr>
            <w:tcW w:w="111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  <w:tl2br w:val="nil"/>
            </w:tcBorders>
            <w:vAlign w:val="center"/>
          </w:tcPr>
          <w:p w14:paraId="5E296020" w14:textId="0E313F2A" w:rsidR="00960C65" w:rsidRPr="00EE3335" w:rsidRDefault="00DF59DF" w:rsidP="00A76F6F">
            <w:pPr>
              <w:spacing w:line="360" w:lineRule="auto"/>
            </w:pPr>
            <w:r>
              <w:t>Gul</w:t>
            </w:r>
          </w:p>
        </w:tc>
      </w:tr>
      <w:tr w:rsidR="0080694B" w:rsidRPr="00EE3335" w14:paraId="0E346012" w14:textId="77777777" w:rsidTr="00D44AD1">
        <w:trPr>
          <w:jc w:val="center"/>
        </w:trPr>
        <w:tc>
          <w:tcPr>
            <w:tcW w:w="613" w:type="pct"/>
            <w:tcBorders>
              <w:right w:val="single" w:sz="2" w:space="0" w:color="auto"/>
            </w:tcBorders>
            <w:vAlign w:val="center"/>
          </w:tcPr>
          <w:p w14:paraId="2BA69DC8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6</w:t>
            </w:r>
          </w:p>
        </w:tc>
        <w:tc>
          <w:tcPr>
            <w:tcW w:w="1048" w:type="pct"/>
            <w:tcBorders>
              <w:left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31FFC039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op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14:paraId="3B7E17E2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6F671662" w14:textId="289E9A54" w:rsidR="00960C65" w:rsidRPr="00EE3335" w:rsidRDefault="00DF59DF" w:rsidP="00A76F6F">
            <w:pPr>
              <w:spacing w:line="360" w:lineRule="auto"/>
            </w:pPr>
            <w:r>
              <w:t>Oransje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0D2B346" w14:textId="137C981F" w:rsidR="00960C65" w:rsidRPr="00EE3335" w:rsidRDefault="00DF59DF" w:rsidP="00A76F6F">
            <w:pPr>
              <w:spacing w:line="360" w:lineRule="auto"/>
            </w:pPr>
            <w:r>
              <w:t>Grønn</w:t>
            </w:r>
            <w:r w:rsidR="00E1661B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0694B" w:rsidRPr="00EE3335" w14:paraId="1B5350B2" w14:textId="77777777" w:rsidTr="00D44AD1">
        <w:trPr>
          <w:jc w:val="center"/>
        </w:trPr>
        <w:tc>
          <w:tcPr>
            <w:tcW w:w="613" w:type="pct"/>
            <w:tcBorders>
              <w:right w:val="single" w:sz="2" w:space="0" w:color="auto"/>
            </w:tcBorders>
            <w:vAlign w:val="center"/>
          </w:tcPr>
          <w:p w14:paraId="0A564BA3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7</w:t>
            </w:r>
          </w:p>
        </w:tc>
        <w:tc>
          <w:tcPr>
            <w:tcW w:w="1048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2BA06F6D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l2br w:val="single" w:sz="4" w:space="0" w:color="auto"/>
            </w:tcBorders>
            <w:vAlign w:val="center"/>
          </w:tcPr>
          <w:p w14:paraId="44DF7FD0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op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14:paraId="4D3738E3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A8E2CA3" w14:textId="774C4500" w:rsidR="00960C65" w:rsidRPr="00EE3335" w:rsidRDefault="00DF59DF" w:rsidP="00A76F6F">
            <w:pPr>
              <w:spacing w:line="360" w:lineRule="auto"/>
            </w:pPr>
            <w:r>
              <w:t>Blågrønn</w:t>
            </w:r>
          </w:p>
        </w:tc>
      </w:tr>
      <w:tr w:rsidR="0080694B" w:rsidRPr="00EE3335" w14:paraId="59036481" w14:textId="77777777" w:rsidTr="00D44AD1">
        <w:trPr>
          <w:jc w:val="center"/>
        </w:trPr>
        <w:tc>
          <w:tcPr>
            <w:tcW w:w="613" w:type="pct"/>
            <w:vAlign w:val="center"/>
          </w:tcPr>
          <w:p w14:paraId="664B6A38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8</w:t>
            </w:r>
          </w:p>
        </w:tc>
        <w:tc>
          <w:tcPr>
            <w:tcW w:w="1048" w:type="pct"/>
            <w:tcBorders>
              <w:top w:val="single" w:sz="2" w:space="0" w:color="auto"/>
              <w:tl2br w:val="single" w:sz="2" w:space="0" w:color="auto"/>
            </w:tcBorders>
            <w:vAlign w:val="center"/>
          </w:tcPr>
          <w:p w14:paraId="7636D0F7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tl2br w:val="single" w:sz="4" w:space="0" w:color="auto"/>
            </w:tcBorders>
            <w:vAlign w:val="center"/>
          </w:tcPr>
          <w:p w14:paraId="2FFB7FC7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4" w:type="pct"/>
            <w:tcBorders>
              <w:right w:val="single" w:sz="18" w:space="0" w:color="auto"/>
              <w:tl2br w:val="single" w:sz="4" w:space="0" w:color="auto"/>
            </w:tcBorders>
            <w:vAlign w:val="center"/>
          </w:tcPr>
          <w:p w14:paraId="5E61CC6F" w14:textId="77777777" w:rsidR="00960C65" w:rsidRPr="00EE3335" w:rsidRDefault="00960C65" w:rsidP="00A76F6F">
            <w:pPr>
              <w:spacing w:line="360" w:lineRule="auto"/>
            </w:pPr>
          </w:p>
        </w:tc>
        <w:tc>
          <w:tcPr>
            <w:tcW w:w="111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ECA1AD" w14:textId="1016BB97" w:rsidR="00960C65" w:rsidRPr="00EE3335" w:rsidRDefault="00DF59DF" w:rsidP="00A76F6F">
            <w:pPr>
              <w:spacing w:line="360" w:lineRule="auto"/>
            </w:pPr>
            <w:r>
              <w:t>Blå</w:t>
            </w:r>
          </w:p>
        </w:tc>
      </w:tr>
    </w:tbl>
    <w:p w14:paraId="75A46039" w14:textId="77777777" w:rsidR="00E0645E" w:rsidRDefault="00E0645E" w:rsidP="00BA4705">
      <w:pPr>
        <w:spacing w:line="360" w:lineRule="auto"/>
      </w:pPr>
    </w:p>
    <w:p w14:paraId="2874AE62" w14:textId="77777777" w:rsidR="00E0645E" w:rsidRDefault="00E0645E" w:rsidP="00BA4705">
      <w:pPr>
        <w:spacing w:line="360" w:lineRule="auto"/>
      </w:pPr>
    </w:p>
    <w:p w14:paraId="4FE607AD" w14:textId="77777777" w:rsidR="00E0645E" w:rsidRDefault="00E0645E" w:rsidP="00BA4705">
      <w:pPr>
        <w:spacing w:line="360" w:lineRule="auto"/>
      </w:pPr>
    </w:p>
    <w:p w14:paraId="72338FF6" w14:textId="032F7D49" w:rsidR="003C0950" w:rsidRDefault="00872D75" w:rsidP="00BA4705">
      <w:pPr>
        <w:spacing w:line="360" w:lineRule="auto"/>
      </w:pPr>
      <w:r>
        <w:rPr>
          <w:noProof/>
        </w:rPr>
        <w:drawing>
          <wp:inline distT="0" distB="0" distL="0" distR="0" wp14:anchorId="695D09E8" wp14:editId="4D7FA6C2">
            <wp:extent cx="2658745" cy="137421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125" cy="13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705">
        <w:t xml:space="preserve">          </w:t>
      </w:r>
      <w:r>
        <w:rPr>
          <w:noProof/>
        </w:rPr>
        <w:drawing>
          <wp:inline distT="0" distB="0" distL="0" distR="0" wp14:anchorId="12E45CBB" wp14:editId="5BDF193F">
            <wp:extent cx="2683754" cy="1685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519" cy="16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7537" w14:textId="32008788" w:rsidR="00BA4705" w:rsidRDefault="00BA4705" w:rsidP="00BA4705">
      <w:pPr>
        <w:tabs>
          <w:tab w:val="center" w:pos="4536"/>
        </w:tabs>
        <w:rPr>
          <w:b/>
          <w:sz w:val="20"/>
        </w:rPr>
      </w:pPr>
      <w:r>
        <w:rPr>
          <w:b/>
          <w:sz w:val="20"/>
        </w:rPr>
        <w:t>Figur 1:</w:t>
      </w:r>
      <w:r>
        <w:rPr>
          <w:b/>
          <w:sz w:val="20"/>
        </w:rPr>
        <w:tab/>
      </w:r>
      <w:r>
        <w:rPr>
          <w:b/>
          <w:sz w:val="20"/>
        </w:rPr>
        <w:tab/>
        <w:t>Figur 2:</w:t>
      </w:r>
    </w:p>
    <w:p w14:paraId="0A1998D2" w14:textId="44E92EB2" w:rsidR="00BA4705" w:rsidRDefault="00BA4705" w:rsidP="00BA4705">
      <w:pPr>
        <w:tabs>
          <w:tab w:val="left" w:pos="4935"/>
        </w:tabs>
        <w:rPr>
          <w:sz w:val="20"/>
        </w:rPr>
      </w:pPr>
      <w:r>
        <w:rPr>
          <w:sz w:val="20"/>
        </w:rPr>
        <w:t>Standardløsninger med pH-verdier (i stigende rekkefølge</w:t>
      </w:r>
      <w:r>
        <w:rPr>
          <w:sz w:val="20"/>
        </w:rPr>
        <w:tab/>
        <w:t>Standardløsninger med pH-verdier (i stigende</w:t>
      </w:r>
    </w:p>
    <w:p w14:paraId="668CA5BB" w14:textId="7498FAF2" w:rsidR="00BA4705" w:rsidRDefault="00BA4705" w:rsidP="00BA4705">
      <w:pPr>
        <w:tabs>
          <w:tab w:val="left" w:pos="4950"/>
        </w:tabs>
        <w:rPr>
          <w:sz w:val="20"/>
        </w:rPr>
      </w:pPr>
      <w:r>
        <w:rPr>
          <w:sz w:val="20"/>
        </w:rPr>
        <w:t>på figuren) 1, 2, 3, 3, 4 og 5.</w:t>
      </w:r>
      <w:r>
        <w:rPr>
          <w:sz w:val="20"/>
        </w:rPr>
        <w:tab/>
        <w:t>rekkefølge på figuren) 4, 5, 6, 5, 6, 7, 8</w:t>
      </w:r>
    </w:p>
    <w:p w14:paraId="57C70A3F" w14:textId="0736EAC4" w:rsidR="00BA4705" w:rsidRDefault="00BA4705" w:rsidP="00BA4705">
      <w:pPr>
        <w:tabs>
          <w:tab w:val="left" w:pos="4950"/>
        </w:tabs>
        <w:rPr>
          <w:sz w:val="20"/>
        </w:rPr>
      </w:pPr>
      <w:r>
        <w:rPr>
          <w:sz w:val="20"/>
        </w:rPr>
        <w:t>I de tre første løsningene er tymolblått indikator og i</w:t>
      </w:r>
      <w:r>
        <w:rPr>
          <w:sz w:val="20"/>
        </w:rPr>
        <w:tab/>
        <w:t>I de tre første er metylrødt indikator og i de</w:t>
      </w:r>
    </w:p>
    <w:p w14:paraId="712B5579" w14:textId="40FDA78B" w:rsidR="00BA4705" w:rsidRDefault="00BA4705" w:rsidP="00BA4705">
      <w:pPr>
        <w:tabs>
          <w:tab w:val="center" w:pos="4536"/>
          <w:tab w:val="left" w:pos="4950"/>
        </w:tabs>
        <w:rPr>
          <w:sz w:val="20"/>
        </w:rPr>
      </w:pPr>
      <w:r>
        <w:rPr>
          <w:sz w:val="20"/>
        </w:rPr>
        <w:t>de tre siste er metyloransje indikator.</w:t>
      </w:r>
      <w:r>
        <w:rPr>
          <w:sz w:val="20"/>
        </w:rPr>
        <w:tab/>
      </w:r>
      <w:r>
        <w:rPr>
          <w:sz w:val="20"/>
        </w:rPr>
        <w:tab/>
        <w:t>fire siste er bromtymolblått indikator</w:t>
      </w:r>
    </w:p>
    <w:p w14:paraId="5E114A59" w14:textId="77777777" w:rsidR="00BA4705" w:rsidRPr="00BA4705" w:rsidRDefault="00BA4705" w:rsidP="00BA4705">
      <w:pPr>
        <w:tabs>
          <w:tab w:val="center" w:pos="4536"/>
          <w:tab w:val="left" w:pos="4950"/>
        </w:tabs>
        <w:rPr>
          <w:sz w:val="20"/>
        </w:rPr>
      </w:pPr>
    </w:p>
    <w:p w14:paraId="469B79FF" w14:textId="5800700A" w:rsidR="00960C65" w:rsidRDefault="00DA7C8D" w:rsidP="00A76F6F">
      <w:pPr>
        <w:pStyle w:val="Heading2"/>
        <w:numPr>
          <w:ilvl w:val="1"/>
          <w:numId w:val="15"/>
        </w:numPr>
        <w:spacing w:line="360" w:lineRule="auto"/>
        <w:ind w:hanging="720"/>
      </w:pPr>
      <w:r w:rsidRPr="002A04EE">
        <w:lastRenderedPageBreak/>
        <w:t>Bestemmelse av pH i ukjent prøve</w:t>
      </w:r>
    </w:p>
    <w:p w14:paraId="1295126C" w14:textId="0B8D5D80" w:rsidR="00960C65" w:rsidRDefault="00190986" w:rsidP="00A76F6F">
      <w:pPr>
        <w:spacing w:line="360" w:lineRule="auto"/>
      </w:pPr>
      <w:r>
        <w:t xml:space="preserve">For hver at de tilsatte indikatorene ble løsningen sammenlignet med løsningene fra 3.1 og det ble satt kryss for i indikere hvilken av standardløsningene den lignet mest på. Siden testen med metyloransje ga den eneste fargen som lå mellom to av standardløsningene ble denne brukt til å anslå pH verdi. Fargen lå et sted mellom standardløsningene med pH 3 og 4, så pH ble anslått til å være 3,5 </w:t>
      </w:r>
      <m:oMath>
        <m:r>
          <w:rPr>
            <w:rFonts w:ascii="Cambria Math" w:hAnsi="Cambria Math"/>
          </w:rPr>
          <m:t>±</m:t>
        </m:r>
      </m:oMath>
      <w:r>
        <w:t xml:space="preserve"> 0,5.</w:t>
      </w:r>
    </w:p>
    <w:p w14:paraId="2C1B85DC" w14:textId="73F99475" w:rsidR="00190986" w:rsidRDefault="00190986" w:rsidP="00A76F6F">
      <w:pPr>
        <w:spacing w:line="360" w:lineRule="auto"/>
      </w:pPr>
    </w:p>
    <w:p w14:paraId="48C13734" w14:textId="77777777" w:rsidR="00A76F6F" w:rsidRPr="00EE3335" w:rsidRDefault="00A76F6F" w:rsidP="00A76F6F">
      <w:pPr>
        <w:spacing w:line="360" w:lineRule="auto"/>
      </w:pPr>
    </w:p>
    <w:p w14:paraId="7BF082E3" w14:textId="585896D9" w:rsidR="00EE3335" w:rsidRPr="0086330E" w:rsidRDefault="00EE3335" w:rsidP="00A76F6F">
      <w:pPr>
        <w:pStyle w:val="Tabell"/>
        <w:spacing w:line="360" w:lineRule="auto"/>
        <w:rPr>
          <w:b w:val="0"/>
        </w:rPr>
      </w:pPr>
      <w:bookmarkStart w:id="2" w:name="_Ref430176680"/>
      <w:r>
        <w:t xml:space="preserve">Tabell </w:t>
      </w:r>
      <w:fldSimple w:instr=" STYLEREF 1 \s ">
        <w:r w:rsidR="00620FC6">
          <w:rPr>
            <w:noProof/>
          </w:rPr>
          <w:t>3</w:t>
        </w:r>
      </w:fldSimple>
      <w:r>
        <w:t>.</w:t>
      </w:r>
      <w:r w:rsidR="003968B7">
        <w:fldChar w:fldCharType="begin"/>
      </w:r>
      <w:r w:rsidR="003968B7">
        <w:instrText xml:space="preserve"> SEQ Tabell \* ARABIC \s 1 </w:instrText>
      </w:r>
      <w:r w:rsidR="003968B7">
        <w:fldChar w:fldCharType="separate"/>
      </w:r>
      <w:r w:rsidR="00620FC6">
        <w:rPr>
          <w:noProof/>
        </w:rPr>
        <w:t>2</w:t>
      </w:r>
      <w:r w:rsidR="003968B7">
        <w:rPr>
          <w:noProof/>
        </w:rPr>
        <w:fldChar w:fldCharType="end"/>
      </w:r>
      <w:bookmarkEnd w:id="2"/>
      <w:r>
        <w:t>:</w:t>
      </w:r>
      <w:r w:rsidR="0086330E">
        <w:rPr>
          <w:b w:val="0"/>
        </w:rPr>
        <w:t xml:space="preserve"> </w:t>
      </w:r>
      <w:r w:rsidR="001A615F">
        <w:rPr>
          <w:b w:val="0"/>
        </w:rPr>
        <w:t>Hvor på fargeskalaen til standardløsningene de forskjellige testene av den ukjente prøven landet.</w:t>
      </w:r>
    </w:p>
    <w:tbl>
      <w:tblPr>
        <w:tblStyle w:val="TableGrid"/>
        <w:tblW w:w="5247" w:type="pct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621"/>
        <w:gridCol w:w="1007"/>
        <w:gridCol w:w="1241"/>
        <w:gridCol w:w="1110"/>
        <w:gridCol w:w="1107"/>
        <w:gridCol w:w="1105"/>
        <w:gridCol w:w="1107"/>
        <w:gridCol w:w="1105"/>
        <w:gridCol w:w="1107"/>
      </w:tblGrid>
      <w:tr w:rsidR="000D55C7" w:rsidRPr="00EE3335" w14:paraId="69F50C0F" w14:textId="77777777" w:rsidTr="00335C5B">
        <w:trPr>
          <w:trHeight w:val="630"/>
        </w:trPr>
        <w:tc>
          <w:tcPr>
            <w:tcW w:w="326" w:type="pct"/>
            <w:vAlign w:val="center"/>
          </w:tcPr>
          <w:p w14:paraId="54DA2D82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pH</w:t>
            </w:r>
          </w:p>
        </w:tc>
        <w:tc>
          <w:tcPr>
            <w:tcW w:w="529" w:type="pct"/>
            <w:tcBorders>
              <w:bottom w:val="single" w:sz="18" w:space="0" w:color="auto"/>
            </w:tcBorders>
            <w:vAlign w:val="center"/>
          </w:tcPr>
          <w:p w14:paraId="5110B58F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TB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652" w:type="pct"/>
            <w:vAlign w:val="center"/>
          </w:tcPr>
          <w:p w14:paraId="091206EB" w14:textId="3FF157BA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 xml:space="preserve">Ukjent prøve </w:t>
            </w:r>
            <w:r w:rsidR="00DF59DF">
              <w:t>17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13A0224A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MO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vAlign w:val="center"/>
          </w:tcPr>
          <w:p w14:paraId="01503E37" w14:textId="6A1B4F25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 xml:space="preserve">Ukjent prøve </w:t>
            </w:r>
            <w:r w:rsidR="00DF59DF">
              <w:t>17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vAlign w:val="center"/>
          </w:tcPr>
          <w:p w14:paraId="7E6F6279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MR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582" w:type="pct"/>
            <w:vAlign w:val="center"/>
          </w:tcPr>
          <w:p w14:paraId="1221B964" w14:textId="6538883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 xml:space="preserve">Ukjent prøve </w:t>
            </w:r>
            <w:r w:rsidR="00DF59DF">
              <w:t>17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vAlign w:val="center"/>
          </w:tcPr>
          <w:p w14:paraId="32D1F2E4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BTB</w:t>
            </w:r>
            <w:r w:rsidR="00FD3B73" w:rsidRPr="00EE3335">
              <w:t>,</w:t>
            </w:r>
            <w:r w:rsidRPr="00EE3335">
              <w:t xml:space="preserve"> farge</w:t>
            </w:r>
          </w:p>
        </w:tc>
        <w:tc>
          <w:tcPr>
            <w:tcW w:w="582" w:type="pct"/>
            <w:vAlign w:val="center"/>
          </w:tcPr>
          <w:p w14:paraId="3B5FEC32" w14:textId="245B01D2" w:rsidR="00960C65" w:rsidRPr="00EE3335" w:rsidRDefault="00DF59DF" w:rsidP="00A76F6F">
            <w:pPr>
              <w:spacing w:line="360" w:lineRule="auto"/>
              <w:jc w:val="center"/>
            </w:pPr>
            <w:r>
              <w:t>Ukjent prøve 17</w:t>
            </w:r>
          </w:p>
        </w:tc>
      </w:tr>
      <w:tr w:rsidR="000D55C7" w:rsidRPr="00EE3335" w14:paraId="1B8A4485" w14:textId="77777777" w:rsidTr="00D44AD1">
        <w:tc>
          <w:tcPr>
            <w:tcW w:w="326" w:type="pct"/>
            <w:tcBorders>
              <w:right w:val="single" w:sz="18" w:space="0" w:color="auto"/>
            </w:tcBorders>
          </w:tcPr>
          <w:p w14:paraId="78DC89BE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1</w:t>
            </w:r>
          </w:p>
        </w:tc>
        <w:tc>
          <w:tcPr>
            <w:tcW w:w="529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F9D2640" w14:textId="66B863FF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  <w:tcBorders>
              <w:left w:val="single" w:sz="18" w:space="0" w:color="auto"/>
            </w:tcBorders>
          </w:tcPr>
          <w:p w14:paraId="0AD1323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tl2br w:val="single" w:sz="4" w:space="0" w:color="auto"/>
            </w:tcBorders>
          </w:tcPr>
          <w:p w14:paraId="167FBD46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3D8CEBBD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623C8C2C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</w:tcPr>
          <w:p w14:paraId="47DA5E02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1F554D6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</w:tcPr>
          <w:p w14:paraId="2686C6ED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</w:tr>
      <w:tr w:rsidR="000D55C7" w:rsidRPr="00EE3335" w14:paraId="72AE7525" w14:textId="77777777" w:rsidTr="00D44AD1">
        <w:tc>
          <w:tcPr>
            <w:tcW w:w="326" w:type="pct"/>
            <w:tcBorders>
              <w:right w:val="single" w:sz="18" w:space="0" w:color="auto"/>
            </w:tcBorders>
          </w:tcPr>
          <w:p w14:paraId="227374AA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2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24F6923" w14:textId="4AE11E41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  <w:tcBorders>
              <w:left w:val="single" w:sz="18" w:space="0" w:color="auto"/>
            </w:tcBorders>
          </w:tcPr>
          <w:p w14:paraId="7B813336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bottom w:val="single" w:sz="18" w:space="0" w:color="auto"/>
              <w:tl2br w:val="single" w:sz="4" w:space="0" w:color="auto"/>
            </w:tcBorders>
          </w:tcPr>
          <w:p w14:paraId="2696941B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79BCA27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54B1236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</w:tcPr>
          <w:p w14:paraId="2AA798DC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7A9FE81D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</w:tcPr>
          <w:p w14:paraId="6398A99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</w:tr>
      <w:tr w:rsidR="000D55C7" w:rsidRPr="00EE3335" w14:paraId="352A9A1D" w14:textId="77777777" w:rsidTr="00D44AD1">
        <w:tc>
          <w:tcPr>
            <w:tcW w:w="326" w:type="pct"/>
            <w:tcBorders>
              <w:right w:val="single" w:sz="18" w:space="0" w:color="auto"/>
            </w:tcBorders>
          </w:tcPr>
          <w:p w14:paraId="29D0F93D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3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F6691C" w14:textId="6EFD4062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  <w:tcBorders>
              <w:left w:val="single" w:sz="18" w:space="0" w:color="auto"/>
              <w:right w:val="single" w:sz="18" w:space="0" w:color="auto"/>
            </w:tcBorders>
          </w:tcPr>
          <w:p w14:paraId="182B29BF" w14:textId="113215A4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AED3E4E" w14:textId="459AE3E0" w:rsidR="00960C65" w:rsidRPr="00EE3335" w:rsidRDefault="001E62A4" w:rsidP="00A76F6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0A7C1FD7" w14:textId="730BA859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bottom w:val="single" w:sz="18" w:space="0" w:color="auto"/>
              <w:tl2br w:val="single" w:sz="2" w:space="0" w:color="auto"/>
            </w:tcBorders>
          </w:tcPr>
          <w:p w14:paraId="56DE24FD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</w:tcPr>
          <w:p w14:paraId="233DEC5B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19A12EDC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</w:tcPr>
          <w:p w14:paraId="578F728E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</w:tr>
      <w:tr w:rsidR="000D55C7" w:rsidRPr="00EE3335" w14:paraId="4479F69E" w14:textId="77777777" w:rsidTr="00D44AD1">
        <w:tc>
          <w:tcPr>
            <w:tcW w:w="326" w:type="pct"/>
          </w:tcPr>
          <w:p w14:paraId="3E670CEC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4</w:t>
            </w:r>
          </w:p>
        </w:tc>
        <w:tc>
          <w:tcPr>
            <w:tcW w:w="529" w:type="pct"/>
            <w:tcBorders>
              <w:top w:val="single" w:sz="18" w:space="0" w:color="auto"/>
              <w:bottom w:val="single" w:sz="2" w:space="0" w:color="auto"/>
              <w:tl2br w:val="single" w:sz="2" w:space="0" w:color="auto"/>
            </w:tcBorders>
          </w:tcPr>
          <w:p w14:paraId="12679107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  <w:tcBorders>
              <w:right w:val="single" w:sz="18" w:space="0" w:color="auto"/>
            </w:tcBorders>
          </w:tcPr>
          <w:p w14:paraId="2A338479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56DE203" w14:textId="2BA6EFA8" w:rsidR="00960C65" w:rsidRPr="00EE3335" w:rsidRDefault="001E62A4" w:rsidP="00A76F6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82" w:type="pct"/>
            <w:tcBorders>
              <w:left w:val="single" w:sz="18" w:space="0" w:color="auto"/>
              <w:right w:val="single" w:sz="18" w:space="0" w:color="auto"/>
            </w:tcBorders>
          </w:tcPr>
          <w:p w14:paraId="33844E94" w14:textId="6CF383B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5C75429" w14:textId="50D9A02B" w:rsidR="00960C65" w:rsidRPr="00EE3335" w:rsidRDefault="001E62A4" w:rsidP="00A76F6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7AF4A546" w14:textId="71467BBE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bottom w:val="single" w:sz="18" w:space="0" w:color="auto"/>
              <w:tl2br w:val="single" w:sz="2" w:space="0" w:color="auto"/>
            </w:tcBorders>
          </w:tcPr>
          <w:p w14:paraId="16755C5A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</w:tcPr>
          <w:p w14:paraId="2F64AE28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</w:tr>
      <w:tr w:rsidR="000D55C7" w:rsidRPr="00EE3335" w14:paraId="352A25DB" w14:textId="77777777" w:rsidTr="00D44AD1">
        <w:tc>
          <w:tcPr>
            <w:tcW w:w="326" w:type="pct"/>
            <w:tcBorders>
              <w:right w:val="single" w:sz="2" w:space="0" w:color="auto"/>
            </w:tcBorders>
          </w:tcPr>
          <w:p w14:paraId="15F6ED2F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5</w:t>
            </w:r>
          </w:p>
        </w:tc>
        <w:tc>
          <w:tcPr>
            <w:tcW w:w="52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single" w:sz="2" w:space="0" w:color="auto"/>
            </w:tcBorders>
          </w:tcPr>
          <w:p w14:paraId="3CF5D920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  <w:tcBorders>
              <w:left w:val="single" w:sz="2" w:space="0" w:color="auto"/>
              <w:right w:val="single" w:sz="18" w:space="0" w:color="auto"/>
            </w:tcBorders>
          </w:tcPr>
          <w:p w14:paraId="3E976B2E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79349" w14:textId="7988EC81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DA2D9D" w14:textId="14E6121E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A14AE8F" w14:textId="319D2A90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  <w:right w:val="single" w:sz="18" w:space="0" w:color="auto"/>
            </w:tcBorders>
          </w:tcPr>
          <w:p w14:paraId="16798B9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  <w:tl2br w:val="nil"/>
            </w:tcBorders>
          </w:tcPr>
          <w:p w14:paraId="4FEC6842" w14:textId="645EB598" w:rsidR="00960C65" w:rsidRPr="00EE3335" w:rsidRDefault="001E62A4" w:rsidP="00A76F6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3B688E5C" w14:textId="01F9A5A8" w:rsidR="00960C65" w:rsidRPr="00EE3335" w:rsidRDefault="00960C65" w:rsidP="00A76F6F">
            <w:pPr>
              <w:spacing w:line="360" w:lineRule="auto"/>
              <w:jc w:val="center"/>
            </w:pPr>
          </w:p>
        </w:tc>
      </w:tr>
      <w:tr w:rsidR="000D55C7" w:rsidRPr="00EE3335" w14:paraId="7B2453B9" w14:textId="77777777" w:rsidTr="00D44AD1">
        <w:tc>
          <w:tcPr>
            <w:tcW w:w="326" w:type="pct"/>
            <w:tcBorders>
              <w:right w:val="single" w:sz="2" w:space="0" w:color="auto"/>
            </w:tcBorders>
          </w:tcPr>
          <w:p w14:paraId="2CFB1282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6</w:t>
            </w:r>
          </w:p>
        </w:tc>
        <w:tc>
          <w:tcPr>
            <w:tcW w:w="529" w:type="pct"/>
            <w:tcBorders>
              <w:left w:val="single" w:sz="2" w:space="0" w:color="auto"/>
              <w:right w:val="single" w:sz="2" w:space="0" w:color="auto"/>
              <w:tl2br w:val="single" w:sz="2" w:space="0" w:color="auto"/>
            </w:tcBorders>
          </w:tcPr>
          <w:p w14:paraId="3701D7CC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  <w:tcBorders>
              <w:left w:val="single" w:sz="2" w:space="0" w:color="auto"/>
            </w:tcBorders>
          </w:tcPr>
          <w:p w14:paraId="5CC08D6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top w:val="single" w:sz="18" w:space="0" w:color="auto"/>
              <w:tl2br w:val="single" w:sz="4" w:space="0" w:color="auto"/>
            </w:tcBorders>
          </w:tcPr>
          <w:p w14:paraId="61FD1ED3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right w:val="single" w:sz="18" w:space="0" w:color="auto"/>
              <w:tl2br w:val="nil"/>
            </w:tcBorders>
          </w:tcPr>
          <w:p w14:paraId="46947B4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9A7C9" w14:textId="7576A5A9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  <w:right w:val="single" w:sz="18" w:space="0" w:color="auto"/>
            </w:tcBorders>
          </w:tcPr>
          <w:p w14:paraId="29B699D2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D37D1EC" w14:textId="11A8BDCE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417D3342" w14:textId="4F2F1635" w:rsidR="00960C65" w:rsidRPr="00EE3335" w:rsidRDefault="00960C65" w:rsidP="00A76F6F">
            <w:pPr>
              <w:spacing w:line="360" w:lineRule="auto"/>
              <w:jc w:val="center"/>
            </w:pPr>
          </w:p>
        </w:tc>
      </w:tr>
      <w:tr w:rsidR="000D55C7" w:rsidRPr="00EE3335" w14:paraId="2D76AC52" w14:textId="77777777" w:rsidTr="00D44AD1">
        <w:tc>
          <w:tcPr>
            <w:tcW w:w="326" w:type="pct"/>
            <w:tcBorders>
              <w:right w:val="single" w:sz="2" w:space="0" w:color="auto"/>
            </w:tcBorders>
          </w:tcPr>
          <w:p w14:paraId="3BACDDDD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7</w:t>
            </w:r>
          </w:p>
        </w:tc>
        <w:tc>
          <w:tcPr>
            <w:tcW w:w="529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</w:tcPr>
          <w:p w14:paraId="71C83249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  <w:tcBorders>
              <w:left w:val="single" w:sz="2" w:space="0" w:color="auto"/>
            </w:tcBorders>
          </w:tcPr>
          <w:p w14:paraId="283E13E8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tl2br w:val="single" w:sz="4" w:space="0" w:color="auto"/>
            </w:tcBorders>
          </w:tcPr>
          <w:p w14:paraId="708E68A5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22517914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18" w:space="0" w:color="auto"/>
              <w:tl2br w:val="single" w:sz="2" w:space="0" w:color="auto"/>
            </w:tcBorders>
          </w:tcPr>
          <w:p w14:paraId="2A9EC6EA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right w:val="single" w:sz="18" w:space="0" w:color="auto"/>
            </w:tcBorders>
          </w:tcPr>
          <w:p w14:paraId="2841BFE6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D6B9991" w14:textId="118647FA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23EF46AA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</w:tr>
      <w:tr w:rsidR="000D55C7" w:rsidRPr="00EE3335" w14:paraId="10FE2FD9" w14:textId="77777777" w:rsidTr="00D44AD1">
        <w:tc>
          <w:tcPr>
            <w:tcW w:w="326" w:type="pct"/>
          </w:tcPr>
          <w:p w14:paraId="3CBD80FC" w14:textId="77777777" w:rsidR="00960C65" w:rsidRPr="00EE3335" w:rsidRDefault="00960C65" w:rsidP="00A76F6F">
            <w:pPr>
              <w:spacing w:line="360" w:lineRule="auto"/>
              <w:jc w:val="center"/>
            </w:pPr>
            <w:r w:rsidRPr="00EE3335">
              <w:t>8</w:t>
            </w:r>
          </w:p>
        </w:tc>
        <w:tc>
          <w:tcPr>
            <w:tcW w:w="529" w:type="pct"/>
            <w:tcBorders>
              <w:top w:val="single" w:sz="2" w:space="0" w:color="auto"/>
              <w:tl2br w:val="single" w:sz="2" w:space="0" w:color="auto"/>
            </w:tcBorders>
          </w:tcPr>
          <w:p w14:paraId="4D0A0A0E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652" w:type="pct"/>
          </w:tcPr>
          <w:p w14:paraId="15309201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3" w:type="pct"/>
            <w:tcBorders>
              <w:tl2br w:val="single" w:sz="4" w:space="0" w:color="auto"/>
            </w:tcBorders>
          </w:tcPr>
          <w:p w14:paraId="035DFED1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tl2br w:val="nil"/>
            </w:tcBorders>
          </w:tcPr>
          <w:p w14:paraId="48055238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l2br w:val="single" w:sz="2" w:space="0" w:color="auto"/>
            </w:tcBorders>
          </w:tcPr>
          <w:p w14:paraId="0F301453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right w:val="single" w:sz="18" w:space="0" w:color="auto"/>
            </w:tcBorders>
          </w:tcPr>
          <w:p w14:paraId="42886FCC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5AF11" w14:textId="678407E0" w:rsidR="00960C65" w:rsidRPr="00EE3335" w:rsidRDefault="00960C65" w:rsidP="00A76F6F">
            <w:pPr>
              <w:spacing w:line="360" w:lineRule="auto"/>
              <w:jc w:val="center"/>
            </w:pPr>
          </w:p>
        </w:tc>
        <w:tc>
          <w:tcPr>
            <w:tcW w:w="582" w:type="pct"/>
            <w:tcBorders>
              <w:left w:val="single" w:sz="18" w:space="0" w:color="auto"/>
            </w:tcBorders>
          </w:tcPr>
          <w:p w14:paraId="3189DD5E" w14:textId="77777777" w:rsidR="00960C65" w:rsidRPr="00EE3335" w:rsidRDefault="00960C65" w:rsidP="00A76F6F">
            <w:pPr>
              <w:spacing w:line="360" w:lineRule="auto"/>
              <w:jc w:val="center"/>
            </w:pPr>
          </w:p>
        </w:tc>
      </w:tr>
    </w:tbl>
    <w:p w14:paraId="2FF01663" w14:textId="23F89541" w:rsidR="00190986" w:rsidRDefault="00DA7C8D" w:rsidP="00A76F6F">
      <w:pPr>
        <w:pStyle w:val="Heading2"/>
        <w:numPr>
          <w:ilvl w:val="1"/>
          <w:numId w:val="15"/>
        </w:numPr>
        <w:spacing w:line="360" w:lineRule="auto"/>
        <w:ind w:hanging="720"/>
      </w:pPr>
      <w:r w:rsidRPr="002A04EE">
        <w:t>Eddiksyre</w:t>
      </w:r>
    </w:p>
    <w:p w14:paraId="77244C55" w14:textId="2A60F8DF" w:rsidR="00BA4705" w:rsidRPr="00DA7C8D" w:rsidRDefault="006A4299" w:rsidP="00A76F6F">
      <w:pPr>
        <w:spacing w:line="360" w:lineRule="auto"/>
      </w:pPr>
      <w:r>
        <w:t>Ut fra de anslåtte pH verdiene i de to ulike eddiksyreløsningene ble konsentrasjonen av H</w:t>
      </w:r>
      <w:r>
        <w:rPr>
          <w:vertAlign w:val="superscript"/>
        </w:rPr>
        <w:t>+</w:t>
      </w:r>
      <w:r>
        <w:t>, Ac</w:t>
      </w:r>
      <w:r>
        <w:rPr>
          <w:vertAlign w:val="superscript"/>
        </w:rPr>
        <w:t>-</w:t>
      </w:r>
      <w:r>
        <w:t xml:space="preserve"> og </w:t>
      </w:r>
      <w:r w:rsidR="008E4876">
        <w:t xml:space="preserve">HAc bergegnet ved hjelp av definisjonen av pH. Fra disse ble da syrekonstanten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HAc</m:t>
            </m:r>
          </m:sub>
        </m:sSub>
      </m:oMath>
      <w:r w:rsidR="008E4876">
        <w:t xml:space="preserve"> beregnet. Verier er oppgitt i tabell 3.3 og mer detaljerte beregninger ligger under vedlegg 1.</w:t>
      </w:r>
    </w:p>
    <w:p w14:paraId="4843ADA5" w14:textId="422FEF06" w:rsidR="00EE3335" w:rsidRPr="0086330E" w:rsidRDefault="00EE3335" w:rsidP="00A76F6F">
      <w:pPr>
        <w:pStyle w:val="Tabell"/>
        <w:spacing w:line="360" w:lineRule="auto"/>
        <w:rPr>
          <w:b w:val="0"/>
        </w:rPr>
      </w:pPr>
      <w:bookmarkStart w:id="3" w:name="_Ref430176788"/>
      <w:r>
        <w:t xml:space="preserve">Tabell </w:t>
      </w:r>
      <w:fldSimple w:instr=" STYLEREF 1 \s ">
        <w:r w:rsidR="00620FC6">
          <w:rPr>
            <w:noProof/>
          </w:rPr>
          <w:t>3</w:t>
        </w:r>
      </w:fldSimple>
      <w:r>
        <w:t>.</w:t>
      </w:r>
      <w:r w:rsidR="003968B7">
        <w:fldChar w:fldCharType="begin"/>
      </w:r>
      <w:r w:rsidR="003968B7">
        <w:instrText xml:space="preserve"> SEQ Tabell \* ARABIC \s 1 </w:instrText>
      </w:r>
      <w:r w:rsidR="003968B7">
        <w:fldChar w:fldCharType="separate"/>
      </w:r>
      <w:r w:rsidR="00620FC6">
        <w:rPr>
          <w:noProof/>
        </w:rPr>
        <w:t>3</w:t>
      </w:r>
      <w:r w:rsidR="003968B7">
        <w:rPr>
          <w:noProof/>
        </w:rPr>
        <w:fldChar w:fldCharType="end"/>
      </w:r>
      <w:bookmarkEnd w:id="3"/>
      <w:r>
        <w:t>:</w:t>
      </w:r>
      <w:r w:rsidR="0086330E">
        <w:t xml:space="preserve"> </w:t>
      </w:r>
      <w:r w:rsidR="004E77C4">
        <w:rPr>
          <w:b w:val="0"/>
        </w:rPr>
        <w:t>Oppgitte og beregnede verdier for eddiksyreløsninger</w:t>
      </w:r>
    </w:p>
    <w:tbl>
      <w:tblPr>
        <w:tblStyle w:val="TableGrid"/>
        <w:tblW w:w="5000" w:type="pct"/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326"/>
        <w:gridCol w:w="909"/>
        <w:gridCol w:w="1458"/>
        <w:gridCol w:w="1457"/>
        <w:gridCol w:w="1457"/>
        <w:gridCol w:w="1455"/>
      </w:tblGrid>
      <w:tr w:rsidR="00960C65" w:rsidRPr="002A04EE" w14:paraId="69CA5EF8" w14:textId="77777777" w:rsidTr="00F6607A">
        <w:trPr>
          <w:trHeight w:val="507"/>
        </w:trPr>
        <w:tc>
          <w:tcPr>
            <w:tcW w:w="1283" w:type="pct"/>
            <w:vAlign w:val="center"/>
          </w:tcPr>
          <w:p w14:paraId="67696882" w14:textId="77777777" w:rsidR="00960C65" w:rsidRPr="00DA7C8D" w:rsidRDefault="00960C65" w:rsidP="00A76F6F">
            <w:pPr>
              <w:spacing w:line="360" w:lineRule="auto"/>
              <w:jc w:val="center"/>
            </w:pPr>
            <w:r w:rsidRPr="00DA7C8D">
              <w:t>Syrekonsentrasjon</w:t>
            </w:r>
          </w:p>
        </w:tc>
        <w:tc>
          <w:tcPr>
            <w:tcW w:w="501" w:type="pct"/>
            <w:vAlign w:val="center"/>
          </w:tcPr>
          <w:p w14:paraId="51DB2DB3" w14:textId="77777777" w:rsidR="00960C65" w:rsidRPr="00DA7C8D" w:rsidRDefault="00960C65" w:rsidP="00A76F6F">
            <w:pPr>
              <w:spacing w:line="360" w:lineRule="auto"/>
              <w:jc w:val="center"/>
            </w:pPr>
            <w:r w:rsidRPr="00DA7C8D">
              <w:t>pH</w:t>
            </w:r>
          </w:p>
        </w:tc>
        <w:tc>
          <w:tcPr>
            <w:tcW w:w="804" w:type="pct"/>
            <w:vAlign w:val="center"/>
          </w:tcPr>
          <w:p w14:paraId="60750A23" w14:textId="77777777" w:rsidR="00960C65" w:rsidRPr="00DA7C8D" w:rsidRDefault="00960C65" w:rsidP="00A76F6F">
            <w:pPr>
              <w:spacing w:line="360" w:lineRule="auto"/>
              <w:jc w:val="center"/>
            </w:pPr>
            <w:r w:rsidRPr="00DA7C8D">
              <w:t>[H</w:t>
            </w:r>
            <w:r w:rsidRPr="00DA7C8D">
              <w:rPr>
                <w:vertAlign w:val="superscript"/>
              </w:rPr>
              <w:t>+</w:t>
            </w:r>
            <w:r w:rsidRPr="00DA7C8D">
              <w:t>], M</w:t>
            </w:r>
          </w:p>
        </w:tc>
        <w:tc>
          <w:tcPr>
            <w:tcW w:w="804" w:type="pct"/>
            <w:vAlign w:val="center"/>
          </w:tcPr>
          <w:p w14:paraId="0512BFF4" w14:textId="77777777" w:rsidR="00960C65" w:rsidRPr="00DA7C8D" w:rsidRDefault="00960C65" w:rsidP="00A76F6F">
            <w:pPr>
              <w:spacing w:line="360" w:lineRule="auto"/>
              <w:jc w:val="center"/>
            </w:pPr>
            <w:r w:rsidRPr="00DA7C8D">
              <w:t>[Acˉ], M</w:t>
            </w:r>
          </w:p>
        </w:tc>
        <w:tc>
          <w:tcPr>
            <w:tcW w:w="804" w:type="pct"/>
            <w:vAlign w:val="center"/>
          </w:tcPr>
          <w:p w14:paraId="3B5AA1F2" w14:textId="77777777" w:rsidR="00960C65" w:rsidRPr="00DA7C8D" w:rsidRDefault="00960C65" w:rsidP="00A76F6F">
            <w:pPr>
              <w:spacing w:line="360" w:lineRule="auto"/>
              <w:jc w:val="center"/>
            </w:pPr>
            <w:r w:rsidRPr="00DA7C8D">
              <w:t>[HAc], M</w:t>
            </w:r>
          </w:p>
        </w:tc>
        <w:tc>
          <w:tcPr>
            <w:tcW w:w="803" w:type="pct"/>
            <w:vAlign w:val="center"/>
          </w:tcPr>
          <w:p w14:paraId="1F03A47F" w14:textId="77777777" w:rsidR="00960C65" w:rsidRPr="00DA7C8D" w:rsidRDefault="003968B7" w:rsidP="00A76F6F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HAc</m:t>
                    </m:r>
                  </m:sub>
                </m:sSub>
              </m:oMath>
            </m:oMathPara>
          </w:p>
        </w:tc>
      </w:tr>
      <w:tr w:rsidR="00960C65" w:rsidRPr="002A04EE" w14:paraId="0527A186" w14:textId="77777777" w:rsidTr="00E51C40">
        <w:tc>
          <w:tcPr>
            <w:tcW w:w="1283" w:type="pct"/>
            <w:vAlign w:val="center"/>
          </w:tcPr>
          <w:p w14:paraId="13AA5133" w14:textId="77777777" w:rsidR="00960C65" w:rsidRPr="00DA7C8D" w:rsidRDefault="00960C65" w:rsidP="00A76F6F">
            <w:pPr>
              <w:spacing w:line="360" w:lineRule="auto"/>
              <w:jc w:val="center"/>
            </w:pPr>
            <w:r w:rsidRPr="00DA7C8D">
              <w:t>0,1 M</w:t>
            </w:r>
          </w:p>
        </w:tc>
        <w:tc>
          <w:tcPr>
            <w:tcW w:w="501" w:type="pct"/>
            <w:vAlign w:val="center"/>
          </w:tcPr>
          <w:p w14:paraId="07F9C3BC" w14:textId="6F17EBCC" w:rsidR="00960C65" w:rsidRPr="00DA7C8D" w:rsidRDefault="001E62A4" w:rsidP="00A76F6F">
            <w:pPr>
              <w:spacing w:line="360" w:lineRule="auto"/>
              <w:jc w:val="center"/>
            </w:pPr>
            <w:r>
              <w:t>2,75</w:t>
            </w:r>
          </w:p>
        </w:tc>
        <w:tc>
          <w:tcPr>
            <w:tcW w:w="804" w:type="pct"/>
            <w:vAlign w:val="center"/>
          </w:tcPr>
          <w:p w14:paraId="13D6AB3D" w14:textId="309531AC" w:rsidR="00960C65" w:rsidRPr="00DA7C8D" w:rsidRDefault="001A615F" w:rsidP="00A76F6F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1,78⋅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04" w:type="pct"/>
            <w:vAlign w:val="center"/>
          </w:tcPr>
          <w:p w14:paraId="2D73EF85" w14:textId="37DF947C" w:rsidR="00960C65" w:rsidRPr="00DA7C8D" w:rsidRDefault="001A615F" w:rsidP="00A76F6F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1,78⋅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04" w:type="pct"/>
            <w:vAlign w:val="center"/>
          </w:tcPr>
          <w:p w14:paraId="53B8892C" w14:textId="0748CC11" w:rsidR="00960C65" w:rsidRPr="00DA7C8D" w:rsidRDefault="001A615F" w:rsidP="00A76F6F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0,09822</m:t>
                </m:r>
              </m:oMath>
            </m:oMathPara>
          </w:p>
        </w:tc>
        <w:tc>
          <w:tcPr>
            <w:tcW w:w="803" w:type="pct"/>
            <w:vAlign w:val="center"/>
          </w:tcPr>
          <w:p w14:paraId="69733E3D" w14:textId="573AEC5D" w:rsidR="00960C65" w:rsidRPr="00E20262" w:rsidRDefault="001A615F" w:rsidP="00A76F6F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960C65" w:rsidRPr="002A04EE" w14:paraId="7E0A251B" w14:textId="77777777" w:rsidTr="00E51C40">
        <w:tc>
          <w:tcPr>
            <w:tcW w:w="1283" w:type="pct"/>
            <w:vAlign w:val="center"/>
          </w:tcPr>
          <w:p w14:paraId="5C6C52B7" w14:textId="77777777" w:rsidR="00960C65" w:rsidRPr="00DA7C8D" w:rsidRDefault="00960C65" w:rsidP="00A76F6F">
            <w:pPr>
              <w:spacing w:line="360" w:lineRule="auto"/>
              <w:jc w:val="center"/>
            </w:pPr>
            <w:r w:rsidRPr="00DA7C8D">
              <w:t>0,01 M</w:t>
            </w:r>
          </w:p>
        </w:tc>
        <w:tc>
          <w:tcPr>
            <w:tcW w:w="501" w:type="pct"/>
            <w:vAlign w:val="center"/>
          </w:tcPr>
          <w:p w14:paraId="42AE29CC" w14:textId="3326CECE" w:rsidR="00960C65" w:rsidRPr="00DA7C8D" w:rsidRDefault="001E62A4" w:rsidP="00A76F6F">
            <w:pPr>
              <w:spacing w:line="360" w:lineRule="auto"/>
              <w:jc w:val="center"/>
            </w:pPr>
            <w:r>
              <w:t>3,5</w:t>
            </w:r>
          </w:p>
        </w:tc>
        <w:tc>
          <w:tcPr>
            <w:tcW w:w="804" w:type="pct"/>
            <w:vAlign w:val="center"/>
          </w:tcPr>
          <w:p w14:paraId="2E863F7E" w14:textId="62A7A31E" w:rsidR="00960C65" w:rsidRPr="00E20262" w:rsidRDefault="001A615F" w:rsidP="00A76F6F">
            <w:pPr>
              <w:spacing w:line="360" w:lineRule="auto"/>
              <w:jc w:val="center"/>
              <w:rPr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vertAlign w:val="superscript"/>
                  </w:rPr>
                  <m:t>3,16⋅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804" w:type="pct"/>
            <w:vAlign w:val="center"/>
          </w:tcPr>
          <w:p w14:paraId="6F3E8A14" w14:textId="340DA53E" w:rsidR="00960C65" w:rsidRPr="00DA7C8D" w:rsidRDefault="001A615F" w:rsidP="00A76F6F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perscript"/>
                  </w:rPr>
                  <m:t>3,16⋅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804" w:type="pct"/>
            <w:vAlign w:val="center"/>
          </w:tcPr>
          <w:p w14:paraId="4D442224" w14:textId="2F90737B" w:rsidR="00960C65" w:rsidRPr="00DA7C8D" w:rsidRDefault="001A615F" w:rsidP="00A76F6F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0,0097</m:t>
                </m:r>
              </m:oMath>
            </m:oMathPara>
          </w:p>
        </w:tc>
        <w:tc>
          <w:tcPr>
            <w:tcW w:w="803" w:type="pct"/>
            <w:vAlign w:val="center"/>
          </w:tcPr>
          <w:p w14:paraId="49DEA91A" w14:textId="17F21BA1" w:rsidR="00960C65" w:rsidRPr="00DA7C8D" w:rsidRDefault="001A615F" w:rsidP="00A76F6F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663E74C4" w14:textId="77777777" w:rsidR="003C0950" w:rsidRPr="002A04EE" w:rsidRDefault="003C0950" w:rsidP="00A76F6F">
      <w:pPr>
        <w:spacing w:line="360" w:lineRule="auto"/>
      </w:pPr>
    </w:p>
    <w:p w14:paraId="0026D01A" w14:textId="564992DE" w:rsidR="008E4876" w:rsidRDefault="000F0135" w:rsidP="00A76F6F">
      <w:pPr>
        <w:pStyle w:val="Heading1"/>
        <w:numPr>
          <w:ilvl w:val="0"/>
          <w:numId w:val="15"/>
        </w:numPr>
        <w:spacing w:line="360" w:lineRule="auto"/>
        <w:ind w:hanging="720"/>
      </w:pPr>
      <w:r w:rsidRPr="002A04EE">
        <w:lastRenderedPageBreak/>
        <w:t>Diskusjon</w:t>
      </w:r>
    </w:p>
    <w:p w14:paraId="70248903" w14:textId="195E71A9" w:rsidR="008E4876" w:rsidRPr="00703D4B" w:rsidRDefault="00C84691" w:rsidP="00A76F6F">
      <w:pPr>
        <w:spacing w:line="360" w:lineRule="auto"/>
      </w:pPr>
      <w:r>
        <w:t xml:space="preserve">Gjennomgående i hele forsøket er den største feilkilden vår evne til å avgjøre </w:t>
      </w:r>
      <w:r w:rsidR="00703D4B">
        <w:t xml:space="preserve">hvor en farge ligger i forhold til standardløsningene. Vi kompenserer for dette med å oppgi en usikkerhet på </w:t>
      </w:r>
      <m:oMath>
        <m:r>
          <w:rPr>
            <w:rFonts w:ascii="Cambria Math" w:hAnsi="Cambria Math"/>
          </w:rPr>
          <m:t>±</m:t>
        </m:r>
      </m:oMath>
      <w:r w:rsidR="00703D4B">
        <w:t xml:space="preserve"> 0,5. Siden dette er en logarithmisk skala vil usikkerheten i konsentrasjonen av H</w:t>
      </w:r>
      <w:r w:rsidR="00703D4B">
        <w:rPr>
          <w:vertAlign w:val="superscript"/>
        </w:rPr>
        <w:t>+</w:t>
      </w:r>
      <w:r w:rsidR="00703D4B">
        <w:t xml:space="preserve"> ioner en multiplikativ </w:t>
      </w:r>
      <w:r w:rsidR="001F5454">
        <w:t xml:space="preserve">usikkerhet hvor verdien er innenfor en faktor på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hAnsi="Cambria Math"/>
          </w:rPr>
          <m:t>≈3,16</m:t>
        </m:r>
      </m:oMath>
      <w:r w:rsidR="001F5454">
        <w:t xml:space="preserve">. Det vil si at siden begge de beregnede verdiene av syrekonstanten er innenfor en faktor på 3,16 i forhold til literaturverdien på </w:t>
      </w:r>
      <m:oMath>
        <m:r>
          <w:rPr>
            <w:rFonts w:ascii="Cambria Math" w:hAnsi="Cambria Math"/>
          </w:rPr>
          <m:t>1,8⋅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1F5454">
        <w:t xml:space="preserve"> kan vi ikke si noe om vi har noen systematisk feil.</w:t>
      </w:r>
      <w:r w:rsidR="00576ACE">
        <w:t xml:space="preserve"> Siden målingene vi har gjort har en lavere spredning og lavere relativ feil enn det usikkerheten i </w:t>
      </w:r>
      <w:r w:rsidR="00AC085B">
        <w:t>måleutstyret garanterer må vi anse denne økte nøyaktigheten og presisjonenen som en tilfeldighet. I de fleste forsøk ville en kunne fått mer nyttig informasjon ved å utføre flere paraleller, men siden vi kun har heltallige pH verdier å måle opp mot ville en mest sannsynelig fastslått pH verdien til å være den samme hver gang og en ville fått en illusjon av høy presisjon i målingene selv om det bare skyldes menneskets tendens til å velge den samme verdien om igjen. En måte å øke den faktiske presisjonen i målingene ville vært å lage fler standardløsninger å måle opp mot, for eksempel å ha en på hver halve pH enhet i det intervallet vi har. Da vil usikkerheten i målingen bli (i teorien) halvparten av det den var når vi bare hadde heltallige pH verdier å måle mot, gitt at vi klarer å avgjøre hvilken av løsningene som ligger nærmest i farge</w:t>
      </w:r>
      <w:r w:rsidR="00A76F6F">
        <w:t xml:space="preserve"> som mennesker ikke nødvendigvis er så god på.</w:t>
      </w:r>
    </w:p>
    <w:p w14:paraId="2FF1145F" w14:textId="77777777" w:rsidR="00A76F6F" w:rsidRPr="002A04EE" w:rsidRDefault="00A76F6F" w:rsidP="00A76F6F">
      <w:pPr>
        <w:spacing w:line="360" w:lineRule="auto"/>
      </w:pPr>
    </w:p>
    <w:p w14:paraId="38A6C29D" w14:textId="1E6E497B" w:rsidR="000C7513" w:rsidRDefault="00191ED1" w:rsidP="00BA4705">
      <w:pPr>
        <w:pStyle w:val="Heading1"/>
        <w:numPr>
          <w:ilvl w:val="0"/>
          <w:numId w:val="0"/>
        </w:numPr>
        <w:spacing w:line="360" w:lineRule="auto"/>
        <w:ind w:left="720" w:hanging="720"/>
      </w:pPr>
      <w:r>
        <w:t>Litteratur</w:t>
      </w:r>
      <w:r w:rsidR="00597921">
        <w:t>referanser</w:t>
      </w:r>
    </w:p>
    <w:p w14:paraId="380B1CE5" w14:textId="614E35CE" w:rsidR="00814C3B" w:rsidRDefault="00663751" w:rsidP="00A76F6F">
      <w:pPr>
        <w:pStyle w:val="ListParagraph"/>
        <w:numPr>
          <w:ilvl w:val="3"/>
          <w:numId w:val="15"/>
        </w:numPr>
        <w:spacing w:line="360" w:lineRule="auto"/>
      </w:pPr>
      <w:r>
        <w:t>Hafskjold, B. og Madland, E., Laboratoriekurs i KJ1000 Generell kjemi, 4. utgave, NTNU, Trondheim, 2017.</w:t>
      </w:r>
    </w:p>
    <w:p w14:paraId="107319E6" w14:textId="5A1E27EF" w:rsidR="00A35F99" w:rsidRDefault="00F33CED" w:rsidP="00A76F6F">
      <w:pPr>
        <w:pStyle w:val="ListParagraph"/>
        <w:numPr>
          <w:ilvl w:val="3"/>
          <w:numId w:val="15"/>
        </w:numPr>
        <w:spacing w:line="360" w:lineRule="auto"/>
        <w:rPr>
          <w:lang w:val="en-US"/>
        </w:rPr>
      </w:pPr>
      <w:r w:rsidRPr="00F33CED">
        <w:rPr>
          <w:lang w:val="en-US"/>
        </w:rPr>
        <w:t xml:space="preserve">Chang, R. </w:t>
      </w:r>
      <w:proofErr w:type="spellStart"/>
      <w:r w:rsidRPr="00F33CED">
        <w:rPr>
          <w:lang w:val="en-US"/>
        </w:rPr>
        <w:t>og</w:t>
      </w:r>
      <w:proofErr w:type="spellEnd"/>
      <w:r w:rsidRPr="00F33CED">
        <w:rPr>
          <w:lang w:val="en-US"/>
        </w:rPr>
        <w:t xml:space="preserve"> </w:t>
      </w:r>
      <w:proofErr w:type="spellStart"/>
      <w:r w:rsidRPr="00F33CED">
        <w:rPr>
          <w:lang w:val="en-US"/>
        </w:rPr>
        <w:t>Goldsby</w:t>
      </w:r>
      <w:proofErr w:type="spellEnd"/>
      <w:r w:rsidRPr="00F33CED">
        <w:rPr>
          <w:lang w:val="en-US"/>
        </w:rPr>
        <w:t>, K. A., General Chemistry: The Essential Concepts, 7th Edition, McGraw-H</w:t>
      </w:r>
      <w:r>
        <w:rPr>
          <w:lang w:val="en-US"/>
        </w:rPr>
        <w:t xml:space="preserve">ill, New York, 2014, </w:t>
      </w:r>
      <w:proofErr w:type="spellStart"/>
      <w:r>
        <w:rPr>
          <w:lang w:val="en-US"/>
        </w:rPr>
        <w:t>kapittel</w:t>
      </w:r>
      <w:proofErr w:type="spellEnd"/>
      <w:r>
        <w:rPr>
          <w:lang w:val="en-US"/>
        </w:rPr>
        <w:t xml:space="preserve"> 4, 16, 17</w:t>
      </w:r>
      <w:r w:rsidRPr="00F33CED">
        <w:rPr>
          <w:lang w:val="en-US"/>
        </w:rPr>
        <w:t>.</w:t>
      </w:r>
    </w:p>
    <w:p w14:paraId="51EED882" w14:textId="2D706CF4" w:rsidR="00CB4312" w:rsidRDefault="00CB4312" w:rsidP="00A76F6F">
      <w:pPr>
        <w:spacing w:line="360" w:lineRule="auto"/>
        <w:ind w:left="357"/>
        <w:rPr>
          <w:lang w:val="en-US"/>
        </w:rPr>
      </w:pPr>
    </w:p>
    <w:p w14:paraId="0671A3F2" w14:textId="461F1715" w:rsidR="002A63E5" w:rsidRDefault="002A63E5" w:rsidP="00A76F6F">
      <w:pPr>
        <w:spacing w:line="360" w:lineRule="auto"/>
        <w:rPr>
          <w:rFonts w:eastAsiaTheme="majorEastAsia"/>
          <w:b/>
          <w:bCs/>
          <w:kern w:val="32"/>
          <w:sz w:val="32"/>
          <w:szCs w:val="32"/>
          <w:lang w:val="en-US"/>
        </w:rPr>
      </w:pPr>
    </w:p>
    <w:p w14:paraId="3A237D85" w14:textId="4793DA8F" w:rsidR="00872D75" w:rsidRDefault="00872D75" w:rsidP="00A76F6F">
      <w:pPr>
        <w:spacing w:line="360" w:lineRule="auto"/>
        <w:rPr>
          <w:rFonts w:eastAsiaTheme="majorEastAsia"/>
          <w:b/>
          <w:bCs/>
          <w:kern w:val="32"/>
          <w:sz w:val="32"/>
          <w:szCs w:val="32"/>
          <w:lang w:val="en-US"/>
        </w:rPr>
      </w:pPr>
    </w:p>
    <w:p w14:paraId="0E347705" w14:textId="77777777" w:rsidR="00BA4705" w:rsidRDefault="00BA4705" w:rsidP="00A76F6F">
      <w:pPr>
        <w:spacing w:line="360" w:lineRule="auto"/>
        <w:rPr>
          <w:rFonts w:eastAsiaTheme="majorEastAsia"/>
          <w:b/>
          <w:bCs/>
          <w:kern w:val="32"/>
          <w:sz w:val="32"/>
          <w:szCs w:val="32"/>
          <w:lang w:val="en-US"/>
        </w:rPr>
      </w:pPr>
    </w:p>
    <w:p w14:paraId="4093F6F3" w14:textId="77777777" w:rsidR="00872D75" w:rsidRPr="00F33CED" w:rsidRDefault="00872D75" w:rsidP="00A76F6F">
      <w:pPr>
        <w:spacing w:line="360" w:lineRule="auto"/>
        <w:rPr>
          <w:rFonts w:eastAsiaTheme="majorEastAsia"/>
          <w:b/>
          <w:bCs/>
          <w:kern w:val="32"/>
          <w:sz w:val="32"/>
          <w:szCs w:val="32"/>
          <w:lang w:val="en-US"/>
        </w:rPr>
      </w:pPr>
    </w:p>
    <w:p w14:paraId="37043C29" w14:textId="71CA30CE" w:rsidR="006275AE" w:rsidRDefault="002A63E5" w:rsidP="00872D75">
      <w:pPr>
        <w:pStyle w:val="Heading1"/>
        <w:numPr>
          <w:ilvl w:val="0"/>
          <w:numId w:val="0"/>
        </w:numPr>
        <w:spacing w:line="360" w:lineRule="auto"/>
        <w:ind w:left="720" w:hanging="720"/>
      </w:pPr>
      <w:r>
        <w:lastRenderedPageBreak/>
        <w:t>Vedlegg 1: Beregninger av syrekonstant for eddiksyre</w:t>
      </w:r>
    </w:p>
    <w:p w14:paraId="12960F7D" w14:textId="3607DD73" w:rsidR="00814C3B" w:rsidRDefault="004E77C4" w:rsidP="00A76F6F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pH=-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-pH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-2.75</m:t>
              </m:r>
            </m:sup>
          </m:sSup>
          <m:r>
            <w:rPr>
              <w:rFonts w:ascii="Cambria Math" w:hAnsi="Cambria Math"/>
            </w:rPr>
            <m:t>=1,78⋅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7294338B" w14:textId="0FBE3787" w:rsidR="00C0580F" w:rsidRPr="00CF1FF0" w:rsidRDefault="003968B7" w:rsidP="00A76F6F">
      <w:pPr>
        <w:spacing w:line="360" w:lineRule="auto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=1,78⋅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95F408" w14:textId="58413852" w:rsidR="00C0580F" w:rsidRPr="00C0580F" w:rsidRDefault="003968B7" w:rsidP="00A76F6F">
      <w:pPr>
        <w:spacing w:line="360" w:lineRule="auto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=0,1 M-1,78⋅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M=0,09822 M</m:t>
          </m:r>
        </m:oMath>
      </m:oMathPara>
    </w:p>
    <w:p w14:paraId="076E4681" w14:textId="20E5E2B3" w:rsidR="00C0580F" w:rsidRPr="00C0580F" w:rsidRDefault="003968B7" w:rsidP="00A76F6F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HAc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HAc</m:t>
                  </m:r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1,78⋅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0,09822 M</m:t>
              </m:r>
            </m:den>
          </m:f>
          <m:r>
            <w:rPr>
              <w:rFonts w:ascii="Cambria Math" w:hAnsi="Cambria Math"/>
            </w:rPr>
            <m:t>=3,2⋅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08A698" w14:textId="4C2819E3" w:rsidR="00CB4312" w:rsidRDefault="00CB4312" w:rsidP="00A76F6F">
      <w:pPr>
        <w:spacing w:line="360" w:lineRule="auto"/>
      </w:pPr>
    </w:p>
    <w:p w14:paraId="3975E5D1" w14:textId="24390FE7" w:rsidR="00CB4312" w:rsidRDefault="00CB4312" w:rsidP="00A76F6F">
      <w:pPr>
        <w:spacing w:line="360" w:lineRule="auto"/>
      </w:pPr>
      <w:r>
        <w:t>Tilsvarende for 0,01 M løsningen:</w:t>
      </w:r>
    </w:p>
    <w:p w14:paraId="3C23C990" w14:textId="3B78EABB" w:rsidR="00CB4312" w:rsidRPr="00CB4312" w:rsidRDefault="003968B7" w:rsidP="00A76F6F">
      <w:pPr>
        <w:spacing w:line="360" w:lineRule="auto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-pH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-3,5</m:t>
              </m:r>
            </m:sup>
          </m:sSup>
          <m:r>
            <w:rPr>
              <w:rFonts w:ascii="Cambria Math" w:hAnsi="Cambria Math"/>
            </w:rPr>
            <m:t>=3,16⋅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6AEDFF47" w14:textId="7ED509E4" w:rsidR="00CB4312" w:rsidRPr="00CB4312" w:rsidRDefault="003968B7" w:rsidP="00A76F6F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HAc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3,16⋅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0,0097 M</m:t>
              </m:r>
            </m:den>
          </m:f>
          <m:r>
            <w:rPr>
              <w:rFonts w:ascii="Cambria Math" w:hAnsi="Cambria Math"/>
            </w:rPr>
            <m:t>=1,0⋅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657AF7A4" w14:textId="6B741A80" w:rsidR="00CB4312" w:rsidRDefault="00CB4312" w:rsidP="00A76F6F">
      <w:pPr>
        <w:spacing w:line="360" w:lineRule="auto"/>
      </w:pPr>
    </w:p>
    <w:p w14:paraId="5E54C8C5" w14:textId="486E1E15" w:rsidR="00DF59DF" w:rsidRPr="00DF59DF" w:rsidRDefault="003968B7" w:rsidP="00A76F6F">
      <w:pPr>
        <w:spacing w:line="360" w:lineRule="auto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HAc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+3,17⋅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=2,1⋅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7084C7D7" w14:textId="0EF82EBD" w:rsidR="00DA7C8D" w:rsidRDefault="00DA7C8D" w:rsidP="00A76F6F">
      <w:pPr>
        <w:spacing w:line="360" w:lineRule="auto"/>
      </w:pPr>
    </w:p>
    <w:p w14:paraId="6225B265" w14:textId="7C86AE79" w:rsidR="00CB4312" w:rsidRDefault="00CB4312" w:rsidP="00A76F6F">
      <w:pPr>
        <w:spacing w:line="360" w:lineRule="auto"/>
      </w:pPr>
    </w:p>
    <w:p w14:paraId="55E058D5" w14:textId="70106BD6" w:rsidR="00CB4312" w:rsidRDefault="00CB4312" w:rsidP="00A76F6F">
      <w:pPr>
        <w:spacing w:line="360" w:lineRule="auto"/>
      </w:pPr>
    </w:p>
    <w:p w14:paraId="4105E362" w14:textId="3F74CB8E" w:rsidR="00CB4312" w:rsidRDefault="00CB4312" w:rsidP="00A76F6F">
      <w:pPr>
        <w:spacing w:line="360" w:lineRule="auto"/>
      </w:pPr>
    </w:p>
    <w:p w14:paraId="7EB1E9F0" w14:textId="6C92DA8D" w:rsidR="00CB4312" w:rsidRDefault="00CB4312" w:rsidP="00A76F6F">
      <w:pPr>
        <w:spacing w:line="360" w:lineRule="auto"/>
      </w:pPr>
    </w:p>
    <w:p w14:paraId="58D7384D" w14:textId="6FD46DFE" w:rsidR="00CB4312" w:rsidRDefault="00CB4312" w:rsidP="00A76F6F">
      <w:pPr>
        <w:spacing w:line="360" w:lineRule="auto"/>
      </w:pPr>
    </w:p>
    <w:p w14:paraId="438CAE32" w14:textId="6E32760D" w:rsidR="00CB4312" w:rsidRDefault="00CB4312" w:rsidP="00A76F6F">
      <w:pPr>
        <w:spacing w:line="360" w:lineRule="auto"/>
      </w:pPr>
    </w:p>
    <w:p w14:paraId="20E7C4A4" w14:textId="374FC89C" w:rsidR="00CB4312" w:rsidRDefault="00CB4312" w:rsidP="00A76F6F">
      <w:pPr>
        <w:spacing w:line="360" w:lineRule="auto"/>
      </w:pPr>
    </w:p>
    <w:p w14:paraId="0ACFE5D9" w14:textId="4AFC153E" w:rsidR="00872D75" w:rsidRDefault="00872D75" w:rsidP="00A76F6F">
      <w:pPr>
        <w:spacing w:line="360" w:lineRule="auto"/>
      </w:pPr>
    </w:p>
    <w:p w14:paraId="43C7C9DC" w14:textId="7AC97AA2" w:rsidR="00872D75" w:rsidRDefault="00872D75" w:rsidP="00A76F6F">
      <w:pPr>
        <w:spacing w:line="360" w:lineRule="auto"/>
      </w:pPr>
    </w:p>
    <w:p w14:paraId="1E7299A8" w14:textId="5B8A58AA" w:rsidR="00872D75" w:rsidRDefault="00872D75" w:rsidP="00A76F6F">
      <w:pPr>
        <w:spacing w:line="360" w:lineRule="auto"/>
      </w:pPr>
    </w:p>
    <w:p w14:paraId="65784A52" w14:textId="1701BBDA" w:rsidR="00872D75" w:rsidRDefault="00872D75" w:rsidP="00A76F6F">
      <w:pPr>
        <w:spacing w:line="360" w:lineRule="auto"/>
      </w:pPr>
    </w:p>
    <w:p w14:paraId="38906187" w14:textId="11710DAE" w:rsidR="00872D75" w:rsidRDefault="00872D75" w:rsidP="00A76F6F">
      <w:pPr>
        <w:spacing w:line="360" w:lineRule="auto"/>
      </w:pPr>
    </w:p>
    <w:p w14:paraId="392674F9" w14:textId="516E96E5" w:rsidR="00872D75" w:rsidRDefault="00872D75" w:rsidP="00A76F6F">
      <w:pPr>
        <w:spacing w:line="360" w:lineRule="auto"/>
      </w:pPr>
    </w:p>
    <w:p w14:paraId="1A9FB03A" w14:textId="4B350579" w:rsidR="00872D75" w:rsidRDefault="00872D75" w:rsidP="00A76F6F">
      <w:pPr>
        <w:spacing w:line="360" w:lineRule="auto"/>
      </w:pPr>
    </w:p>
    <w:p w14:paraId="4C1FC587" w14:textId="712BBF4B" w:rsidR="00872D75" w:rsidRDefault="00872D75" w:rsidP="00A76F6F">
      <w:pPr>
        <w:spacing w:line="360" w:lineRule="auto"/>
      </w:pPr>
    </w:p>
    <w:p w14:paraId="36568999" w14:textId="77777777" w:rsidR="00872D75" w:rsidRDefault="00872D75" w:rsidP="00A76F6F">
      <w:pPr>
        <w:spacing w:line="360" w:lineRule="auto"/>
      </w:pPr>
    </w:p>
    <w:p w14:paraId="30F375E6" w14:textId="1E92CE41" w:rsidR="003C0950" w:rsidRPr="002D26EA" w:rsidRDefault="00F6607A" w:rsidP="00A76F6F">
      <w:pPr>
        <w:pStyle w:val="Heading1"/>
        <w:numPr>
          <w:ilvl w:val="0"/>
          <w:numId w:val="0"/>
        </w:numPr>
        <w:spacing w:line="360" w:lineRule="auto"/>
        <w:ind w:left="720" w:hanging="720"/>
      </w:pPr>
      <w:r>
        <w:lastRenderedPageBreak/>
        <w:t>Vedlegg 2: Svar på k</w:t>
      </w:r>
      <w:r w:rsidR="003C0950" w:rsidRPr="002D26EA">
        <w:t>ontrollspørsmål</w:t>
      </w:r>
    </w:p>
    <w:p w14:paraId="1116BD6C" w14:textId="77777777" w:rsidR="00F6607A" w:rsidRDefault="00F6607A" w:rsidP="00A76F6F">
      <w:pPr>
        <w:spacing w:line="360" w:lineRule="auto"/>
      </w:pPr>
    </w:p>
    <w:p w14:paraId="0D50290F" w14:textId="1E92195A" w:rsidR="00F6607A" w:rsidRDefault="00F6607A" w:rsidP="00A76F6F">
      <w:pPr>
        <w:spacing w:line="360" w:lineRule="auto"/>
        <w:rPr>
          <w:b/>
        </w:rPr>
      </w:pPr>
      <w:r w:rsidRPr="00F6607A">
        <w:rPr>
          <w:b/>
        </w:rPr>
        <w:t>Kontrollspørsmål</w:t>
      </w:r>
    </w:p>
    <w:p w14:paraId="65E34804" w14:textId="77777777" w:rsidR="00477F2D" w:rsidRPr="00F6607A" w:rsidRDefault="00477F2D" w:rsidP="00A76F6F">
      <w:pPr>
        <w:spacing w:line="360" w:lineRule="auto"/>
        <w:rPr>
          <w:b/>
        </w:rPr>
      </w:pPr>
    </w:p>
    <w:p w14:paraId="74ACEE78" w14:textId="14D4E929" w:rsidR="003C0950" w:rsidRDefault="003C0950" w:rsidP="00A76F6F">
      <w:pPr>
        <w:pStyle w:val="ListParagraph"/>
        <w:numPr>
          <w:ilvl w:val="0"/>
          <w:numId w:val="24"/>
        </w:numPr>
        <w:spacing w:line="360" w:lineRule="auto"/>
      </w:pPr>
      <w:r w:rsidRPr="000F0135">
        <w:t>Definér en Brønsted syre og base.</w:t>
      </w:r>
    </w:p>
    <w:p w14:paraId="47018AC8" w14:textId="24C502B8" w:rsidR="002C3EE4" w:rsidRPr="002C3EE4" w:rsidRDefault="002C3EE4" w:rsidP="00A76F6F">
      <w:pPr>
        <w:pStyle w:val="ListParagraph"/>
        <w:spacing w:line="360" w:lineRule="auto"/>
        <w:ind w:left="1416"/>
      </w:pPr>
      <w:r>
        <w:t>En Brønsted syre er et stoff som kan avspalte H</w:t>
      </w:r>
      <w:r>
        <w:rPr>
          <w:vertAlign w:val="superscript"/>
        </w:rPr>
        <w:t>+</w:t>
      </w:r>
      <w:r>
        <w:t xml:space="preserve"> ioner og en Brønsted base er et stoff som kan ta opp H</w:t>
      </w:r>
      <w:r>
        <w:rPr>
          <w:vertAlign w:val="superscript"/>
        </w:rPr>
        <w:t>+</w:t>
      </w:r>
      <w:r>
        <w:t xml:space="preserve"> ioner</w:t>
      </w:r>
    </w:p>
    <w:p w14:paraId="60BF921E" w14:textId="77777777" w:rsidR="002C3EE4" w:rsidRPr="000F0135" w:rsidRDefault="002C3EE4" w:rsidP="00A76F6F">
      <w:pPr>
        <w:pStyle w:val="ListParagraph"/>
        <w:spacing w:line="360" w:lineRule="auto"/>
        <w:ind w:left="1416"/>
      </w:pPr>
    </w:p>
    <w:p w14:paraId="5945BADA" w14:textId="5591C76D" w:rsidR="003C0950" w:rsidRDefault="003C0950" w:rsidP="00A76F6F">
      <w:pPr>
        <w:pStyle w:val="ListParagraph"/>
        <w:numPr>
          <w:ilvl w:val="0"/>
          <w:numId w:val="24"/>
        </w:numPr>
        <w:spacing w:line="360" w:lineRule="auto"/>
      </w:pPr>
      <w:r w:rsidRPr="000F0135">
        <w:t>Hva forstås med en indikators pH-område?</w:t>
      </w:r>
    </w:p>
    <w:p w14:paraId="549C95A2" w14:textId="7311F532" w:rsidR="002C3EE4" w:rsidRDefault="002C3EE4" w:rsidP="00A76F6F">
      <w:pPr>
        <w:pStyle w:val="ListParagraph"/>
        <w:spacing w:line="360" w:lineRule="auto"/>
        <w:ind w:left="1416"/>
      </w:pPr>
      <w:r>
        <w:t>En indikators pH-område beskriver hvilke farge indikatoren har ved ulike pH verdier.</w:t>
      </w:r>
    </w:p>
    <w:p w14:paraId="5C9772DB" w14:textId="77777777" w:rsidR="002C3EE4" w:rsidRPr="000F0135" w:rsidRDefault="002C3EE4" w:rsidP="00A76F6F">
      <w:pPr>
        <w:pStyle w:val="ListParagraph"/>
        <w:spacing w:line="360" w:lineRule="auto"/>
      </w:pPr>
    </w:p>
    <w:p w14:paraId="4E04577E" w14:textId="28BB8D3B" w:rsidR="002C3EE4" w:rsidRDefault="004A5F63" w:rsidP="00A76F6F">
      <w:pPr>
        <w:pStyle w:val="ListParagraph"/>
        <w:numPr>
          <w:ilvl w:val="0"/>
          <w:numId w:val="24"/>
        </w:numPr>
        <w:spacing w:line="360" w:lineRule="auto"/>
      </w:pPr>
      <w:r w:rsidRPr="000F0135">
        <w:t xml:space="preserve">Hva er en </w:t>
      </w:r>
      <w:r w:rsidR="002C3EE4">
        <w:t>sterk syre og en svak syre?</w:t>
      </w:r>
    </w:p>
    <w:p w14:paraId="3E25C928" w14:textId="6884C440" w:rsidR="002C3EE4" w:rsidRDefault="002C3EE4" w:rsidP="00A76F6F">
      <w:pPr>
        <w:pStyle w:val="ListParagraph"/>
        <w:spacing w:line="360" w:lineRule="auto"/>
        <w:ind w:left="1416"/>
      </w:pPr>
      <w:r>
        <w:t xml:space="preserve">En sterk syre dissosierer fullstendig mens en svak syre dissosierer bare delvis (ofte en veldig </w:t>
      </w:r>
      <w:r w:rsidR="00AE1200">
        <w:t>liten del av syren som faktisk spalter av H</w:t>
      </w:r>
      <w:r w:rsidR="00AE1200">
        <w:rPr>
          <w:vertAlign w:val="superscript"/>
        </w:rPr>
        <w:t>+</w:t>
      </w:r>
      <w:r w:rsidR="00AE1200">
        <w:t xml:space="preserve"> ioner</w:t>
      </w:r>
      <w:r>
        <w:t>)</w:t>
      </w:r>
    </w:p>
    <w:p w14:paraId="3678012E" w14:textId="77777777" w:rsidR="002C3EE4" w:rsidRPr="000F0135" w:rsidRDefault="002C3EE4" w:rsidP="00A76F6F">
      <w:pPr>
        <w:pStyle w:val="ListParagraph"/>
        <w:spacing w:line="360" w:lineRule="auto"/>
      </w:pPr>
    </w:p>
    <w:p w14:paraId="699330A0" w14:textId="194DCE86" w:rsidR="004A5F63" w:rsidRDefault="007B41F3" w:rsidP="00A76F6F">
      <w:pPr>
        <w:pStyle w:val="ListParagraph"/>
        <w:numPr>
          <w:ilvl w:val="0"/>
          <w:numId w:val="24"/>
        </w:numPr>
        <w:spacing w:line="360" w:lineRule="auto"/>
      </w:pPr>
      <w:r w:rsidRPr="000F0135">
        <w:t xml:space="preserve">Hvilken </w:t>
      </w:r>
      <w:r w:rsidR="00191ED1">
        <w:t>løsning er surest,</w:t>
      </w:r>
      <w:r w:rsidR="004A5F63" w:rsidRPr="000F0135">
        <w:t xml:space="preserve"> 1 M eddiksyre eller 0,01 M svovelsyre? </w:t>
      </w:r>
      <w:r w:rsidR="00191ED1">
        <w:t>Begrunn</w:t>
      </w:r>
      <w:r w:rsidR="004A5F63" w:rsidRPr="000F0135">
        <w:t xml:space="preserve"> svaret.</w:t>
      </w:r>
    </w:p>
    <w:p w14:paraId="58F8B203" w14:textId="352D175E" w:rsidR="00AE1200" w:rsidRDefault="001D68AB" w:rsidP="00A76F6F">
      <w:pPr>
        <w:pStyle w:val="ListParagraph"/>
        <w:spacing w:line="360" w:lineRule="auto"/>
        <w:ind w:left="1416"/>
      </w:pPr>
      <w:r>
        <w:t xml:space="preserve">Hvis vi ser på konsentrasjonen av </w:t>
      </w:r>
      <w:r w:rsidR="009E350C">
        <w:t>H</w:t>
      </w:r>
      <w:r w:rsidR="009E350C">
        <w:rPr>
          <w:vertAlign w:val="superscript"/>
        </w:rPr>
        <w:t>+</w:t>
      </w:r>
      <w:r w:rsidR="009E350C">
        <w:t xml:space="preserve"> ioner i eddiksyreløsningen (</w:t>
      </w:r>
      <m:oMath>
        <m:r>
          <w:rPr>
            <w:rFonts w:ascii="Cambria Math" w:hAnsi="Cambria Math"/>
          </w:rPr>
          <m:t>~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1.8⋅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r>
              <w:rPr>
                <w:rFonts w:ascii="Cambria Math" w:hAnsi="Cambria Math"/>
              </w:rPr>
              <m:t>⋅1</m:t>
            </m:r>
          </m:e>
        </m:rad>
        <m:r>
          <w:rPr>
            <w:rFonts w:ascii="Cambria Math" w:hAnsi="Cambria Math"/>
          </w:rPr>
          <m:t>=4,2⋅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9E350C">
        <w:t>) så ser vi at den er lavere enn konsentrasjonen av svovelsyre i svovelsyreløsningen. Siden svovelsyre er en diprotisk syre som er sterk i første protolyse vil konsentrasjonen av H</w:t>
      </w:r>
      <w:r w:rsidR="009E350C">
        <w:rPr>
          <w:vertAlign w:val="superscript"/>
        </w:rPr>
        <w:t>+</w:t>
      </w:r>
      <w:r w:rsidR="009E350C">
        <w:t xml:space="preserve"> være høyere enn konsentrasjonen av svovelsyre som allerede er er større en konsentrasjonen av H</w:t>
      </w:r>
      <w:r w:rsidR="009E350C">
        <w:rPr>
          <w:vertAlign w:val="superscript"/>
        </w:rPr>
        <w:t>+</w:t>
      </w:r>
      <w:r w:rsidR="009E350C">
        <w:t xml:space="preserve"> i eddiksyreløsningen. Svovelsyreløsningen er da den sureste.</w:t>
      </w:r>
      <w:r w:rsidR="00AE1200">
        <w:t xml:space="preserve"> Det vil likevel ta 50 ganger mer base for å nøytralisere eddiksyreløsningen enn svovelsyren.</w:t>
      </w:r>
    </w:p>
    <w:p w14:paraId="14020FEF" w14:textId="77777777" w:rsidR="00174228" w:rsidRPr="000F0135" w:rsidRDefault="00174228" w:rsidP="00A76F6F">
      <w:pPr>
        <w:pStyle w:val="ListParagraph"/>
        <w:spacing w:line="360" w:lineRule="auto"/>
        <w:ind w:left="1416"/>
      </w:pPr>
    </w:p>
    <w:p w14:paraId="7F91897E" w14:textId="6CF7B820" w:rsidR="004A5F63" w:rsidRDefault="004A5F63" w:rsidP="00A76F6F">
      <w:pPr>
        <w:pStyle w:val="ListParagraph"/>
        <w:numPr>
          <w:ilvl w:val="0"/>
          <w:numId w:val="24"/>
        </w:numPr>
        <w:spacing w:line="360" w:lineRule="auto"/>
      </w:pPr>
      <w:r w:rsidRPr="000F0135">
        <w:t>På laben står det en 6 M HCl-løsning.</w:t>
      </w:r>
      <w:r w:rsidR="005F5DD4">
        <w:t xml:space="preserve"> Forklar hvordan du ville lagd 3</w:t>
      </w:r>
      <w:r w:rsidRPr="000F0135">
        <w:t>00 mL 0,2 M løsning av denne. Vis også utregninger.</w:t>
      </w:r>
    </w:p>
    <w:p w14:paraId="765FA70C" w14:textId="3876495A" w:rsidR="00AE1200" w:rsidRPr="000F0135" w:rsidRDefault="00AE1200" w:rsidP="00A76F6F">
      <w:pPr>
        <w:pStyle w:val="ListParagraph"/>
        <w:spacing w:line="360" w:lineRule="auto"/>
        <w:ind w:left="1416"/>
      </w:pPr>
      <w:r>
        <w:t xml:space="preserve">Jeg ville målt opp 10,00 mL av 6 M HCl-løsningen i en fyllpipette, og fortynnet dette til 300 mL. Siden 300 mL er 30 ganger større enn 10 mL vil da konsentrasjonen være 30 ganger mindre: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=0,2</m:t>
        </m:r>
      </m:oMath>
    </w:p>
    <w:p w14:paraId="0D549599" w14:textId="77777777" w:rsidR="00820C93" w:rsidRPr="002A04EE" w:rsidRDefault="00820C93" w:rsidP="00A76F6F">
      <w:pPr>
        <w:spacing w:line="360" w:lineRule="auto"/>
      </w:pPr>
    </w:p>
    <w:p w14:paraId="3605100F" w14:textId="77777777" w:rsidR="00820C93" w:rsidRPr="002A04EE" w:rsidRDefault="00820C93" w:rsidP="00A76F6F">
      <w:pPr>
        <w:spacing w:line="360" w:lineRule="auto"/>
      </w:pPr>
    </w:p>
    <w:sectPr w:rsidR="00820C93" w:rsidRPr="002A04E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A9146" w14:textId="77777777" w:rsidR="003968B7" w:rsidRDefault="003968B7" w:rsidP="002D26EA">
      <w:r>
        <w:separator/>
      </w:r>
    </w:p>
  </w:endnote>
  <w:endnote w:type="continuationSeparator" w:id="0">
    <w:p w14:paraId="1546B9C4" w14:textId="77777777" w:rsidR="003968B7" w:rsidRDefault="003968B7" w:rsidP="002D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4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36F3F" w14:textId="30CD7655" w:rsidR="00AC085B" w:rsidRDefault="00AC085B" w:rsidP="003F19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9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CF9F26" w14:textId="77777777" w:rsidR="00AC085B" w:rsidRDefault="00AC085B" w:rsidP="002D2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793D" w14:textId="77777777" w:rsidR="003968B7" w:rsidRDefault="003968B7" w:rsidP="002D26EA">
      <w:r>
        <w:separator/>
      </w:r>
    </w:p>
  </w:footnote>
  <w:footnote w:type="continuationSeparator" w:id="0">
    <w:p w14:paraId="7E30877C" w14:textId="77777777" w:rsidR="003968B7" w:rsidRDefault="003968B7" w:rsidP="002D2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757"/>
    <w:multiLevelType w:val="multilevel"/>
    <w:tmpl w:val="431E4336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" w15:restartNumberingAfterBreak="0">
    <w:nsid w:val="13A14546"/>
    <w:multiLevelType w:val="multilevel"/>
    <w:tmpl w:val="9A620AD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BE3BBA"/>
    <w:multiLevelType w:val="multilevel"/>
    <w:tmpl w:val="0F0A713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D06175"/>
    <w:multiLevelType w:val="multilevel"/>
    <w:tmpl w:val="9A620AD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611A10"/>
    <w:multiLevelType w:val="hybridMultilevel"/>
    <w:tmpl w:val="D1A074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74C7C"/>
    <w:multiLevelType w:val="hybridMultilevel"/>
    <w:tmpl w:val="4B76785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277AB"/>
    <w:multiLevelType w:val="multilevel"/>
    <w:tmpl w:val="48460D76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1F47FE3"/>
    <w:multiLevelType w:val="multilevel"/>
    <w:tmpl w:val="1332E9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pStyle w:val="Heading1"/>
      <w:lvlText w:val="%2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3427C46"/>
    <w:multiLevelType w:val="hybridMultilevel"/>
    <w:tmpl w:val="5F76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C3902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0" w15:restartNumberingAfterBreak="0">
    <w:nsid w:val="53D2638B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1" w15:restartNumberingAfterBreak="0">
    <w:nsid w:val="56676BEE"/>
    <w:multiLevelType w:val="hybridMultilevel"/>
    <w:tmpl w:val="D49AC720"/>
    <w:lvl w:ilvl="0" w:tplc="DDEC4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30" w:hanging="360"/>
      </w:pPr>
    </w:lvl>
    <w:lvl w:ilvl="2" w:tplc="0414001B" w:tentative="1">
      <w:start w:val="1"/>
      <w:numFmt w:val="lowerRoman"/>
      <w:lvlText w:val="%3."/>
      <w:lvlJc w:val="right"/>
      <w:pPr>
        <w:ind w:left="2250" w:hanging="180"/>
      </w:pPr>
    </w:lvl>
    <w:lvl w:ilvl="3" w:tplc="0414000F" w:tentative="1">
      <w:start w:val="1"/>
      <w:numFmt w:val="decimal"/>
      <w:lvlText w:val="%4."/>
      <w:lvlJc w:val="left"/>
      <w:pPr>
        <w:ind w:left="2970" w:hanging="360"/>
      </w:pPr>
    </w:lvl>
    <w:lvl w:ilvl="4" w:tplc="04140019" w:tentative="1">
      <w:start w:val="1"/>
      <w:numFmt w:val="lowerLetter"/>
      <w:lvlText w:val="%5."/>
      <w:lvlJc w:val="left"/>
      <w:pPr>
        <w:ind w:left="3690" w:hanging="360"/>
      </w:pPr>
    </w:lvl>
    <w:lvl w:ilvl="5" w:tplc="0414001B" w:tentative="1">
      <w:start w:val="1"/>
      <w:numFmt w:val="lowerRoman"/>
      <w:lvlText w:val="%6."/>
      <w:lvlJc w:val="right"/>
      <w:pPr>
        <w:ind w:left="4410" w:hanging="180"/>
      </w:pPr>
    </w:lvl>
    <w:lvl w:ilvl="6" w:tplc="0414000F" w:tentative="1">
      <w:start w:val="1"/>
      <w:numFmt w:val="decimal"/>
      <w:lvlText w:val="%7."/>
      <w:lvlJc w:val="left"/>
      <w:pPr>
        <w:ind w:left="5130" w:hanging="360"/>
      </w:pPr>
    </w:lvl>
    <w:lvl w:ilvl="7" w:tplc="04140019" w:tentative="1">
      <w:start w:val="1"/>
      <w:numFmt w:val="lowerLetter"/>
      <w:lvlText w:val="%8."/>
      <w:lvlJc w:val="left"/>
      <w:pPr>
        <w:ind w:left="5850" w:hanging="360"/>
      </w:pPr>
    </w:lvl>
    <w:lvl w:ilvl="8" w:tplc="0414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7DE1FAE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3" w15:restartNumberingAfterBreak="0">
    <w:nsid w:val="5F6D1909"/>
    <w:multiLevelType w:val="multilevel"/>
    <w:tmpl w:val="9A620AD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432943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5" w15:restartNumberingAfterBreak="0">
    <w:nsid w:val="671149C8"/>
    <w:multiLevelType w:val="hybridMultilevel"/>
    <w:tmpl w:val="E3409810"/>
    <w:lvl w:ilvl="0" w:tplc="EE3E586E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A4C2D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7" w15:restartNumberingAfterBreak="0">
    <w:nsid w:val="6AAC06EB"/>
    <w:multiLevelType w:val="multilevel"/>
    <w:tmpl w:val="83F0F67E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8" w15:restartNumberingAfterBreak="0">
    <w:nsid w:val="6B2A6F5B"/>
    <w:multiLevelType w:val="multilevel"/>
    <w:tmpl w:val="431E4336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3"/>
      </w:pPr>
      <w:rPr>
        <w:rFonts w:hint="default"/>
      </w:rPr>
    </w:lvl>
  </w:abstractNum>
  <w:abstractNum w:abstractNumId="19" w15:restartNumberingAfterBreak="0">
    <w:nsid w:val="76655D03"/>
    <w:multiLevelType w:val="hybridMultilevel"/>
    <w:tmpl w:val="1F681B5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904C8"/>
    <w:multiLevelType w:val="hybridMultilevel"/>
    <w:tmpl w:val="3556B00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C620F"/>
    <w:multiLevelType w:val="hybridMultilevel"/>
    <w:tmpl w:val="409C05A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11"/>
  </w:num>
  <w:num w:numId="6">
    <w:abstractNumId w:val="15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3"/>
  </w:num>
  <w:num w:numId="14">
    <w:abstractNumId w:val="3"/>
  </w:num>
  <w:num w:numId="15">
    <w:abstractNumId w:val="0"/>
  </w:num>
  <w:num w:numId="16">
    <w:abstractNumId w:val="12"/>
  </w:num>
  <w:num w:numId="17">
    <w:abstractNumId w:val="16"/>
  </w:num>
  <w:num w:numId="18">
    <w:abstractNumId w:val="14"/>
  </w:num>
  <w:num w:numId="19">
    <w:abstractNumId w:val="17"/>
  </w:num>
  <w:num w:numId="20">
    <w:abstractNumId w:val="10"/>
  </w:num>
  <w:num w:numId="21">
    <w:abstractNumId w:val="18"/>
  </w:num>
  <w:num w:numId="2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53"/>
    <w:rsid w:val="00004712"/>
    <w:rsid w:val="000521FA"/>
    <w:rsid w:val="00086887"/>
    <w:rsid w:val="000C69F6"/>
    <w:rsid w:val="000C7513"/>
    <w:rsid w:val="000D0DD0"/>
    <w:rsid w:val="000D131D"/>
    <w:rsid w:val="000D55C7"/>
    <w:rsid w:val="000F0135"/>
    <w:rsid w:val="000F33AF"/>
    <w:rsid w:val="0011713F"/>
    <w:rsid w:val="0012699F"/>
    <w:rsid w:val="00127EDE"/>
    <w:rsid w:val="00137F53"/>
    <w:rsid w:val="00151386"/>
    <w:rsid w:val="00161327"/>
    <w:rsid w:val="00171E20"/>
    <w:rsid w:val="00174228"/>
    <w:rsid w:val="00187E18"/>
    <w:rsid w:val="00190986"/>
    <w:rsid w:val="00191ED1"/>
    <w:rsid w:val="001A615F"/>
    <w:rsid w:val="001D68AB"/>
    <w:rsid w:val="001E62A4"/>
    <w:rsid w:val="001F1A6B"/>
    <w:rsid w:val="001F5454"/>
    <w:rsid w:val="002336A9"/>
    <w:rsid w:val="002A04EE"/>
    <w:rsid w:val="002A3069"/>
    <w:rsid w:val="002A63E5"/>
    <w:rsid w:val="002B5C4B"/>
    <w:rsid w:val="002C3EE4"/>
    <w:rsid w:val="002D26EA"/>
    <w:rsid w:val="003079C3"/>
    <w:rsid w:val="00310F20"/>
    <w:rsid w:val="00315485"/>
    <w:rsid w:val="003241BD"/>
    <w:rsid w:val="00335524"/>
    <w:rsid w:val="00335C5B"/>
    <w:rsid w:val="00343965"/>
    <w:rsid w:val="003526A6"/>
    <w:rsid w:val="003662E2"/>
    <w:rsid w:val="0038570A"/>
    <w:rsid w:val="00386FD1"/>
    <w:rsid w:val="003968B7"/>
    <w:rsid w:val="003C0950"/>
    <w:rsid w:val="003D5FD4"/>
    <w:rsid w:val="003F19C6"/>
    <w:rsid w:val="003F427C"/>
    <w:rsid w:val="00417223"/>
    <w:rsid w:val="00444F2A"/>
    <w:rsid w:val="00460C85"/>
    <w:rsid w:val="00477F2D"/>
    <w:rsid w:val="00495A7D"/>
    <w:rsid w:val="004A4E01"/>
    <w:rsid w:val="004A5F63"/>
    <w:rsid w:val="004A653F"/>
    <w:rsid w:val="004B1172"/>
    <w:rsid w:val="004C4798"/>
    <w:rsid w:val="004D6796"/>
    <w:rsid w:val="004D7DEB"/>
    <w:rsid w:val="004E695C"/>
    <w:rsid w:val="004E77C4"/>
    <w:rsid w:val="00502872"/>
    <w:rsid w:val="0050491B"/>
    <w:rsid w:val="00562EAB"/>
    <w:rsid w:val="00564175"/>
    <w:rsid w:val="00567B72"/>
    <w:rsid w:val="00576A00"/>
    <w:rsid w:val="00576ACE"/>
    <w:rsid w:val="005825D0"/>
    <w:rsid w:val="00597921"/>
    <w:rsid w:val="005B2FF1"/>
    <w:rsid w:val="005F5DD4"/>
    <w:rsid w:val="00620FC6"/>
    <w:rsid w:val="006275AE"/>
    <w:rsid w:val="00663751"/>
    <w:rsid w:val="006705BC"/>
    <w:rsid w:val="00672214"/>
    <w:rsid w:val="006A4299"/>
    <w:rsid w:val="006E576D"/>
    <w:rsid w:val="007022D8"/>
    <w:rsid w:val="00703D4B"/>
    <w:rsid w:val="0071738F"/>
    <w:rsid w:val="00722A40"/>
    <w:rsid w:val="0074251A"/>
    <w:rsid w:val="007524F1"/>
    <w:rsid w:val="007626EC"/>
    <w:rsid w:val="007816DD"/>
    <w:rsid w:val="007A20E1"/>
    <w:rsid w:val="007B41F3"/>
    <w:rsid w:val="007D7BF3"/>
    <w:rsid w:val="007E5F5C"/>
    <w:rsid w:val="008058B6"/>
    <w:rsid w:val="0080694B"/>
    <w:rsid w:val="00807057"/>
    <w:rsid w:val="00814C3B"/>
    <w:rsid w:val="00820C93"/>
    <w:rsid w:val="00840793"/>
    <w:rsid w:val="00842C31"/>
    <w:rsid w:val="0086330E"/>
    <w:rsid w:val="00872D75"/>
    <w:rsid w:val="0089235B"/>
    <w:rsid w:val="00896670"/>
    <w:rsid w:val="008A5490"/>
    <w:rsid w:val="008D6E2C"/>
    <w:rsid w:val="008E4876"/>
    <w:rsid w:val="00902323"/>
    <w:rsid w:val="009607B7"/>
    <w:rsid w:val="00960C65"/>
    <w:rsid w:val="00962778"/>
    <w:rsid w:val="00965065"/>
    <w:rsid w:val="00971658"/>
    <w:rsid w:val="00992E10"/>
    <w:rsid w:val="009C1362"/>
    <w:rsid w:val="009E350C"/>
    <w:rsid w:val="00A001C5"/>
    <w:rsid w:val="00A34C9B"/>
    <w:rsid w:val="00A35F99"/>
    <w:rsid w:val="00A663CE"/>
    <w:rsid w:val="00A76F6F"/>
    <w:rsid w:val="00A93C6A"/>
    <w:rsid w:val="00A97084"/>
    <w:rsid w:val="00AB6E12"/>
    <w:rsid w:val="00AC085B"/>
    <w:rsid w:val="00AE1200"/>
    <w:rsid w:val="00B40F8C"/>
    <w:rsid w:val="00B74023"/>
    <w:rsid w:val="00B97769"/>
    <w:rsid w:val="00BA4705"/>
    <w:rsid w:val="00BB78BC"/>
    <w:rsid w:val="00BC38D8"/>
    <w:rsid w:val="00BF08C4"/>
    <w:rsid w:val="00C0580F"/>
    <w:rsid w:val="00C36523"/>
    <w:rsid w:val="00C81F64"/>
    <w:rsid w:val="00C84691"/>
    <w:rsid w:val="00C91E0C"/>
    <w:rsid w:val="00C978A1"/>
    <w:rsid w:val="00CB4312"/>
    <w:rsid w:val="00CC01D2"/>
    <w:rsid w:val="00CC7DAA"/>
    <w:rsid w:val="00CE7587"/>
    <w:rsid w:val="00CF1370"/>
    <w:rsid w:val="00CF1FF0"/>
    <w:rsid w:val="00CF231A"/>
    <w:rsid w:val="00D2031D"/>
    <w:rsid w:val="00D44AD1"/>
    <w:rsid w:val="00D5014D"/>
    <w:rsid w:val="00D64960"/>
    <w:rsid w:val="00D7417D"/>
    <w:rsid w:val="00D92DCE"/>
    <w:rsid w:val="00DA7C8D"/>
    <w:rsid w:val="00DC2030"/>
    <w:rsid w:val="00DE306E"/>
    <w:rsid w:val="00DF0344"/>
    <w:rsid w:val="00DF59DF"/>
    <w:rsid w:val="00E03047"/>
    <w:rsid w:val="00E0645E"/>
    <w:rsid w:val="00E1661B"/>
    <w:rsid w:val="00E20262"/>
    <w:rsid w:val="00E22618"/>
    <w:rsid w:val="00E51C40"/>
    <w:rsid w:val="00EC6C1A"/>
    <w:rsid w:val="00EE3335"/>
    <w:rsid w:val="00EF008B"/>
    <w:rsid w:val="00F33CED"/>
    <w:rsid w:val="00F619FC"/>
    <w:rsid w:val="00F6607A"/>
    <w:rsid w:val="00F7735C"/>
    <w:rsid w:val="00F8323E"/>
    <w:rsid w:val="00FA49EF"/>
    <w:rsid w:val="00FA5E3C"/>
    <w:rsid w:val="00FA6BA7"/>
    <w:rsid w:val="00FD3619"/>
    <w:rsid w:val="00F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04F73"/>
  <w15:docId w15:val="{D23498E8-3244-4A4C-B488-2A8EDD73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6E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4EE"/>
    <w:pPr>
      <w:keepNext/>
      <w:numPr>
        <w:ilvl w:val="1"/>
        <w:numId w:val="7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4EE"/>
    <w:pPr>
      <w:keepNext/>
      <w:spacing w:before="240" w:after="60"/>
      <w:ind w:firstLine="360"/>
      <w:outlineLvl w:val="1"/>
    </w:pPr>
    <w:rPr>
      <w:rFonts w:eastAsiaTheme="majorEastAsia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4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4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4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4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4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9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94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D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D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69"/>
  </w:style>
  <w:style w:type="paragraph" w:styleId="Footer">
    <w:name w:val="footer"/>
    <w:basedOn w:val="Normal"/>
    <w:link w:val="FooterChar"/>
    <w:uiPriority w:val="99"/>
    <w:unhideWhenUsed/>
    <w:rsid w:val="002A30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69"/>
  </w:style>
  <w:style w:type="character" w:customStyle="1" w:styleId="Heading1Char">
    <w:name w:val="Heading 1 Char"/>
    <w:basedOn w:val="DefaultParagraphFont"/>
    <w:link w:val="Heading1"/>
    <w:uiPriority w:val="9"/>
    <w:rsid w:val="002A04EE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4EE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4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4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4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4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4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4B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4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0694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0694B"/>
    <w:rPr>
      <w:b/>
      <w:bCs/>
    </w:rPr>
  </w:style>
  <w:style w:type="character" w:styleId="Emphasis">
    <w:name w:val="Emphasis"/>
    <w:basedOn w:val="DefaultParagraphFont"/>
    <w:uiPriority w:val="20"/>
    <w:qFormat/>
    <w:rsid w:val="0080694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0694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0694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0694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4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4B"/>
    <w:rPr>
      <w:b/>
      <w:i/>
      <w:sz w:val="24"/>
    </w:rPr>
  </w:style>
  <w:style w:type="character" w:styleId="SubtleEmphasis">
    <w:name w:val="Subtle Emphasis"/>
    <w:uiPriority w:val="19"/>
    <w:qFormat/>
    <w:rsid w:val="0080694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0694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0694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0694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0694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94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A653F"/>
    <w:pPr>
      <w:spacing w:before="100" w:beforeAutospacing="1" w:after="100" w:afterAutospacing="1"/>
    </w:pPr>
    <w:rPr>
      <w:rFonts w:eastAsia="Times New Roman"/>
      <w:lang w:eastAsia="nb-NO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EE3335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Tabell">
    <w:name w:val="Tabell"/>
    <w:basedOn w:val="Caption"/>
    <w:link w:val="TabellChar"/>
    <w:qFormat/>
    <w:rsid w:val="00EE3335"/>
    <w:pPr>
      <w:keepNext/>
      <w:spacing w:after="0"/>
    </w:pPr>
    <w:rPr>
      <w:color w:val="auto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E3335"/>
    <w:rPr>
      <w:b/>
      <w:bCs/>
      <w:color w:val="5B9BD5" w:themeColor="accent1"/>
      <w:sz w:val="18"/>
      <w:szCs w:val="18"/>
    </w:rPr>
  </w:style>
  <w:style w:type="character" w:customStyle="1" w:styleId="TabellChar">
    <w:name w:val="Tabell Char"/>
    <w:basedOn w:val="CaptionChar"/>
    <w:link w:val="Tabell"/>
    <w:rsid w:val="00EE3335"/>
    <w:rPr>
      <w:rFonts w:ascii="Times New Roman" w:hAnsi="Times New Roman"/>
      <w:b/>
      <w:bCs/>
      <w:color w:val="5B9BD5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1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0394-7644-4A14-B4F3-67CC5D3D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8</Pages>
  <Words>1699</Words>
  <Characters>9010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NTNU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Marcus Lexander</cp:lastModifiedBy>
  <cp:revision>16</cp:revision>
  <cp:lastPrinted>2017-09-29T11:50:00Z</cp:lastPrinted>
  <dcterms:created xsi:type="dcterms:W3CDTF">2017-09-23T13:35:00Z</dcterms:created>
  <dcterms:modified xsi:type="dcterms:W3CDTF">2017-10-02T10:07:00Z</dcterms:modified>
</cp:coreProperties>
</file>