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227"/>
        <w:gridCol w:w="425"/>
        <w:gridCol w:w="5956"/>
      </w:tblGrid>
      <w:tr w:rsidR="002528ED" w:rsidRPr="002528ED" w:rsidTr="005A3BDA">
        <w:trPr>
          <w:trHeight w:val="537"/>
        </w:trPr>
        <w:tc>
          <w:tcPr>
            <w:tcW w:w="9608" w:type="dxa"/>
            <w:gridSpan w:val="3"/>
            <w:tcBorders>
              <w:top w:val="single" w:sz="12" w:space="0" w:color="auto"/>
            </w:tcBorders>
          </w:tcPr>
          <w:p w:rsidR="002528ED" w:rsidRPr="004F4F20" w:rsidRDefault="002528ED" w:rsidP="00CD64E5">
            <w:pPr>
              <w:pStyle w:val="Footer"/>
              <w:rPr>
                <w:b/>
              </w:rPr>
            </w:pPr>
            <w:r w:rsidRPr="004F4F20">
              <w:rPr>
                <w:b/>
              </w:rPr>
              <w:t>SJA tittel</w:t>
            </w:r>
            <w:r w:rsidR="005A3BDA" w:rsidRPr="004F4F20">
              <w:rPr>
                <w:b/>
              </w:rPr>
              <w:t>:</w:t>
            </w:r>
          </w:p>
          <w:p w:rsidR="002528ED" w:rsidRPr="002528ED" w:rsidRDefault="00921570" w:rsidP="004B5448">
            <w:pPr>
              <w:pStyle w:val="Footer"/>
            </w:pPr>
            <w:r w:rsidRPr="004F4F20">
              <w:rPr>
                <w:b/>
              </w:rPr>
              <w:t xml:space="preserve">Eksperiment </w:t>
            </w:r>
            <w:r w:rsidR="00487142">
              <w:rPr>
                <w:b/>
              </w:rPr>
              <w:t>5</w:t>
            </w:r>
            <w:r w:rsidRPr="004F4F20">
              <w:rPr>
                <w:b/>
              </w:rPr>
              <w:t xml:space="preserve">: </w:t>
            </w:r>
            <w:r w:rsidR="00487142">
              <w:rPr>
                <w:b/>
              </w:rPr>
              <w:t>Eliminasjonsreaksjoner</w:t>
            </w:r>
            <w:r w:rsidR="00DB3E83" w:rsidRPr="004F4F20">
              <w:rPr>
                <w:b/>
              </w:rPr>
              <w:t>, syntese av sykloheksen.</w:t>
            </w:r>
          </w:p>
        </w:tc>
      </w:tr>
      <w:tr w:rsidR="00F57369" w:rsidRPr="002528ED" w:rsidTr="009A4E13">
        <w:tc>
          <w:tcPr>
            <w:tcW w:w="3652" w:type="dxa"/>
            <w:gridSpan w:val="2"/>
            <w:tcBorders>
              <w:right w:val="single" w:sz="4" w:space="0" w:color="auto"/>
            </w:tcBorders>
          </w:tcPr>
          <w:p w:rsidR="00F57369" w:rsidRPr="002528ED" w:rsidRDefault="00F57369" w:rsidP="00E42C4A">
            <w:pPr>
              <w:pStyle w:val="Footer"/>
            </w:pPr>
            <w:r>
              <w:t xml:space="preserve">Dato: </w:t>
            </w:r>
          </w:p>
        </w:tc>
        <w:tc>
          <w:tcPr>
            <w:tcW w:w="5956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</w:tcPr>
          <w:p w:rsidR="00F57369" w:rsidRDefault="00F57369" w:rsidP="00CD64E5">
            <w:pPr>
              <w:pStyle w:val="Footer"/>
            </w:pPr>
            <w:r>
              <w:t>Sted: Realfagsbygget, NTNU, Trondheim</w:t>
            </w:r>
          </w:p>
          <w:p w:rsidR="00F57369" w:rsidRPr="002528ED" w:rsidRDefault="00F57369" w:rsidP="00CD64E5">
            <w:pPr>
              <w:pStyle w:val="Footer"/>
            </w:pPr>
            <w:r>
              <w:t>B2-145; B2-159; D2-203</w:t>
            </w:r>
          </w:p>
        </w:tc>
      </w:tr>
      <w:tr w:rsidR="00F57369" w:rsidRPr="002528ED" w:rsidTr="009A4E13">
        <w:tc>
          <w:tcPr>
            <w:tcW w:w="3227" w:type="dxa"/>
            <w:tcBorders>
              <w:bottom w:val="single" w:sz="12" w:space="0" w:color="auto"/>
            </w:tcBorders>
          </w:tcPr>
          <w:p w:rsidR="00F57369" w:rsidRDefault="00F57369" w:rsidP="00CD64E5">
            <w:pPr>
              <w:pStyle w:val="Footer"/>
            </w:pPr>
            <w:r w:rsidRPr="005A3BDA">
              <w:t>Kryss av for utfylt sjekkliste:</w:t>
            </w:r>
          </w:p>
        </w:tc>
        <w:tc>
          <w:tcPr>
            <w:tcW w:w="425" w:type="dxa"/>
            <w:tcBorders>
              <w:bottom w:val="single" w:sz="12" w:space="0" w:color="auto"/>
              <w:right w:val="single" w:sz="4" w:space="0" w:color="auto"/>
            </w:tcBorders>
          </w:tcPr>
          <w:p w:rsidR="00F57369" w:rsidRDefault="00F57369" w:rsidP="005A3BDA">
            <w:pPr>
              <w:pStyle w:val="Footer"/>
            </w:pPr>
          </w:p>
        </w:tc>
        <w:tc>
          <w:tcPr>
            <w:tcW w:w="5956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57369" w:rsidRDefault="00F57369" w:rsidP="00CD64E5">
            <w:pPr>
              <w:pStyle w:val="Footer"/>
            </w:pPr>
          </w:p>
        </w:tc>
      </w:tr>
    </w:tbl>
    <w:p w:rsidR="00CD64E5" w:rsidRPr="00CD64E5" w:rsidRDefault="00CD64E5" w:rsidP="00C64817">
      <w:pPr>
        <w:pStyle w:val="Footer"/>
        <w:rPr>
          <w:sz w:val="12"/>
          <w:szCs w:val="1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810"/>
        <w:gridCol w:w="3060"/>
        <w:gridCol w:w="2738"/>
      </w:tblGrid>
      <w:tr w:rsidR="00215DE9" w:rsidRPr="002528ED" w:rsidTr="00215DE9">
        <w:trPr>
          <w:trHeight w:val="225"/>
        </w:trPr>
        <w:tc>
          <w:tcPr>
            <w:tcW w:w="9608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15DE9" w:rsidRPr="002528ED" w:rsidRDefault="00215DE9" w:rsidP="00215DE9">
            <w:pPr>
              <w:pStyle w:val="Footer"/>
            </w:pPr>
            <w:r>
              <w:t>Deltakere:</w:t>
            </w:r>
          </w:p>
        </w:tc>
      </w:tr>
      <w:tr w:rsidR="00215DE9" w:rsidRPr="002528ED" w:rsidTr="00215DE9">
        <w:tc>
          <w:tcPr>
            <w:tcW w:w="381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15DE9" w:rsidRPr="002528ED" w:rsidRDefault="00215DE9" w:rsidP="00E34DCD">
            <w:pPr>
              <w:pStyle w:val="Footer"/>
              <w:spacing w:before="60"/>
            </w:pPr>
            <w:r w:rsidRPr="002528ED">
              <w:t>SJA-ansvarlig</w:t>
            </w:r>
            <w:r>
              <w:t>: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15DE9" w:rsidRPr="002528ED" w:rsidRDefault="00215DE9" w:rsidP="00215DE9">
            <w:pPr>
              <w:pStyle w:val="Footer"/>
              <w:spacing w:before="60"/>
            </w:pPr>
          </w:p>
        </w:tc>
        <w:tc>
          <w:tcPr>
            <w:tcW w:w="273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15DE9" w:rsidRPr="002528ED" w:rsidRDefault="00215DE9" w:rsidP="00DB3E83">
            <w:pPr>
              <w:pStyle w:val="Footer"/>
              <w:spacing w:before="60"/>
            </w:pPr>
          </w:p>
        </w:tc>
      </w:tr>
    </w:tbl>
    <w:p w:rsidR="00E34DCD" w:rsidRPr="00620B03" w:rsidRDefault="00E34DCD" w:rsidP="00C64817">
      <w:pPr>
        <w:pStyle w:val="Footer"/>
        <w:rPr>
          <w:sz w:val="12"/>
          <w:szCs w:val="1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608"/>
      </w:tblGrid>
      <w:tr w:rsidR="00E34DCD" w:rsidRPr="002528ED" w:rsidTr="00E2269F">
        <w:trPr>
          <w:trHeight w:val="1282"/>
        </w:trPr>
        <w:tc>
          <w:tcPr>
            <w:tcW w:w="96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34DCD" w:rsidRDefault="00763458" w:rsidP="00E34DCD">
            <w:pPr>
              <w:pStyle w:val="Footer"/>
            </w:pPr>
            <w:r>
              <w:t>Arbeidsbe</w:t>
            </w:r>
            <w:r w:rsidR="0051693B">
              <w:t>s</w:t>
            </w:r>
            <w:r>
              <w:t>krivelse</w:t>
            </w:r>
            <w:r w:rsidR="0058001A">
              <w:t>:</w:t>
            </w:r>
            <w:r>
              <w:t xml:space="preserve"> (</w:t>
            </w:r>
            <w:r w:rsidR="0058001A">
              <w:t xml:space="preserve">Hva </w:t>
            </w:r>
            <w:r w:rsidR="00215DE9">
              <w:t>og hvordan</w:t>
            </w:r>
            <w:r w:rsidR="0058001A">
              <w:t>?)</w:t>
            </w:r>
          </w:p>
          <w:p w:rsidR="00C04498" w:rsidRDefault="00E2269F" w:rsidP="00091105">
            <w:pPr>
              <w:pStyle w:val="Footer"/>
            </w:pPr>
            <w:r>
              <w:t>Sykloheksen skal fremstilles ved syrekatalysert dehydrering av sykloheksanol. Fosforsyre benyttes som katalysator. Tester på dobbeltbinding og alkoholfunksjon skal også utføres ved hjelp av hhv bromløsning og Jones reagens.</w:t>
            </w:r>
            <w:r w:rsidR="00381AF1">
              <w:t xml:space="preserve"> Forsøket skal utføres i mikroskala.</w:t>
            </w:r>
          </w:p>
          <w:p w:rsidR="00542830" w:rsidRDefault="00542830" w:rsidP="00091105">
            <w:pPr>
              <w:pStyle w:val="Footer"/>
            </w:pPr>
          </w:p>
          <w:p w:rsidR="00542830" w:rsidRDefault="00542830" w:rsidP="00091105">
            <w:pPr>
              <w:pStyle w:val="Footer"/>
            </w:pPr>
          </w:p>
          <w:p w:rsidR="00542830" w:rsidRDefault="00542830" w:rsidP="00542830">
            <w:pPr>
              <w:pStyle w:val="Footer"/>
              <w:jc w:val="center"/>
            </w:pPr>
            <w:r>
              <w:object w:dxaOrig="7394" w:dyaOrig="1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9.75pt;height:68.25pt" o:ole="">
                  <v:imagedata r:id="rId7" o:title=""/>
                </v:shape>
                <o:OLEObject Type="Embed" ProgID="ChemDraw.Document.6.0" ShapeID="_x0000_i1025" DrawAspect="Content" ObjectID="_1532864445" r:id="rId8"/>
              </w:object>
            </w:r>
          </w:p>
          <w:p w:rsidR="00F57369" w:rsidRDefault="00F57369" w:rsidP="00542830">
            <w:pPr>
              <w:pStyle w:val="Footer"/>
              <w:jc w:val="center"/>
            </w:pPr>
          </w:p>
          <w:p w:rsidR="00F57369" w:rsidRPr="00F57369" w:rsidRDefault="00F57369" w:rsidP="00F57369">
            <w:pPr>
              <w:pStyle w:val="Footer"/>
            </w:pPr>
            <w:r w:rsidRPr="00F57369">
              <w:t>– I en veid rundkolbe (50 mL) tilsettes sykloheksanol (10 g), fosforsyre (85%, ca.2</w:t>
            </w:r>
            <w:r>
              <w:t xml:space="preserve"> </w:t>
            </w:r>
            <w:r w:rsidRPr="00F57369">
              <w:t xml:space="preserve">mL) og to kokesteiner. </w:t>
            </w:r>
            <w:r>
              <w:t>E</w:t>
            </w:r>
            <w:r w:rsidRPr="00F57369">
              <w:t xml:space="preserve">n gradert pipette </w:t>
            </w:r>
            <w:r>
              <w:t>b</w:t>
            </w:r>
            <w:r w:rsidRPr="00F57369">
              <w:t>ruk</w:t>
            </w:r>
            <w:r>
              <w:t>es</w:t>
            </w:r>
            <w:r w:rsidRPr="00F57369">
              <w:t xml:space="preserve"> til å måle ut og tilsette fosforsyre. Rundkolben settes opp for fraksjonert destillasjon, dvs. tilkoblet en Vigreux–kolonne,</w:t>
            </w:r>
            <w:r>
              <w:t xml:space="preserve"> </w:t>
            </w:r>
            <w:r w:rsidRPr="00F57369">
              <w:t>et destillasjonshode med termometer og en Liebig–kjøler. Vakuumadapter (med</w:t>
            </w:r>
            <w:r>
              <w:t xml:space="preserve"> </w:t>
            </w:r>
            <w:r w:rsidRPr="00F57369">
              <w:t>sidestuss) festes til enden av Liebig–kjøleren. Destillatet samles opp i en is-avkjølt</w:t>
            </w:r>
            <w:r>
              <w:t xml:space="preserve"> </w:t>
            </w:r>
            <w:r w:rsidRPr="00F57369">
              <w:t>rundkolbe (25 mL). Vigreux–kolonnen og destillasjonshodet isoleres med glassull og</w:t>
            </w:r>
            <w:r>
              <w:t xml:space="preserve"> </w:t>
            </w:r>
            <w:r w:rsidRPr="00F57369">
              <w:t>aluminiumsfolie for å redusere varmetap.</w:t>
            </w:r>
          </w:p>
          <w:p w:rsidR="00F57369" w:rsidRPr="00F57369" w:rsidRDefault="00F57369" w:rsidP="00F57369">
            <w:pPr>
              <w:pStyle w:val="Footer"/>
            </w:pPr>
            <w:r w:rsidRPr="00F57369">
              <w:t>– Rundkolben med reaksjonsblandingen varmes forsiktig til det begynner å koke</w:t>
            </w:r>
            <w:r>
              <w:t xml:space="preserve"> </w:t>
            </w:r>
            <w:r w:rsidRPr="00F57369">
              <w:t>(varmekappe settes på 4 – 5). Etter 10 minutter kan temperaturen justeres opp til</w:t>
            </w:r>
            <w:r>
              <w:t xml:space="preserve"> </w:t>
            </w:r>
            <w:r w:rsidRPr="00F57369">
              <w:t>kondens observeres i Liebig–kjøleren. Destillasjonstemperaturen må ikke overstige</w:t>
            </w:r>
            <w:r>
              <w:t xml:space="preserve"> 80-90°</w:t>
            </w:r>
            <w:r w:rsidRPr="00F57369">
              <w:t xml:space="preserve">C </w:t>
            </w:r>
            <w:r w:rsidRPr="00751BAC">
              <w:rPr>
                <w:color w:val="FF0000"/>
              </w:rPr>
              <w:t>(</w:t>
            </w:r>
            <w:r w:rsidRPr="00751BAC">
              <w:rPr>
                <w:b/>
                <w:color w:val="FF0000"/>
              </w:rPr>
              <w:t>NB! STOPP</w:t>
            </w:r>
            <w:r w:rsidRPr="00751BAC">
              <w:rPr>
                <w:color w:val="FF0000"/>
              </w:rPr>
              <w:t xml:space="preserve"> </w:t>
            </w:r>
            <w:r w:rsidRPr="00F57369">
              <w:t xml:space="preserve">destillasjonen </w:t>
            </w:r>
            <w:r w:rsidRPr="00751BAC">
              <w:rPr>
                <w:b/>
                <w:color w:val="FF0000"/>
              </w:rPr>
              <w:t>FØR</w:t>
            </w:r>
            <w:r w:rsidRPr="00F57369">
              <w:t xml:space="preserve"> all væske er fordampet).</w:t>
            </w:r>
          </w:p>
          <w:p w:rsidR="00F57369" w:rsidRPr="00F57369" w:rsidRDefault="00F57369" w:rsidP="00F57369">
            <w:pPr>
              <w:pStyle w:val="Footer"/>
            </w:pPr>
            <w:r w:rsidRPr="00F57369">
              <w:t>– Når destillasjonen er ferdig tilsettes NaHCO</w:t>
            </w:r>
            <w:r w:rsidRPr="00F57369">
              <w:rPr>
                <w:vertAlign w:val="subscript"/>
              </w:rPr>
              <w:t>3</w:t>
            </w:r>
            <w:r w:rsidRPr="00F57369">
              <w:t xml:space="preserve"> (mettet, 2 mL) til destillatet i rundkolben</w:t>
            </w:r>
            <w:r>
              <w:t xml:space="preserve"> </w:t>
            </w:r>
            <w:r w:rsidRPr="00F57369">
              <w:t>og blandingen overføres til en skilletrakt (100 mL).</w:t>
            </w:r>
            <w:r>
              <w:t xml:space="preserve"> </w:t>
            </w:r>
            <w:r w:rsidRPr="00F57369">
              <w:t>Kaldt vann (5 mL) tilsettes til skilletrakten og den sveives forsiktig rundt for å vaske</w:t>
            </w:r>
            <w:r>
              <w:t xml:space="preserve"> </w:t>
            </w:r>
            <w:r w:rsidRPr="00F57369">
              <w:t>ned vanndråper fra veggen inne i skilletrakten.</w:t>
            </w:r>
          </w:p>
          <w:p w:rsidR="00F57369" w:rsidRPr="00F57369" w:rsidRDefault="00F57369" w:rsidP="00F57369">
            <w:pPr>
              <w:pStyle w:val="Footer"/>
            </w:pPr>
            <w:r w:rsidRPr="00F57369">
              <w:t>– Den organiske fasen overføres til en erlenmeyerkolbe (50 mL), tilsettes vannfri MgSO</w:t>
            </w:r>
            <w:r w:rsidRPr="00F57369">
              <w:rPr>
                <w:vertAlign w:val="subscript"/>
              </w:rPr>
              <w:t>4</w:t>
            </w:r>
          </w:p>
          <w:p w:rsidR="00F57369" w:rsidRPr="00F57369" w:rsidRDefault="00F57369" w:rsidP="00F57369">
            <w:pPr>
              <w:pStyle w:val="Footer"/>
            </w:pPr>
            <w:r w:rsidRPr="00F57369">
              <w:t>(ca 1 teskje) og kolbeåpningen dekkes til med en bit aluminiumsfolie. Løsningen</w:t>
            </w:r>
          </w:p>
          <w:p w:rsidR="00F57369" w:rsidRPr="00F57369" w:rsidRDefault="00F57369" w:rsidP="00F57369">
            <w:pPr>
              <w:pStyle w:val="Footer"/>
            </w:pPr>
            <w:r w:rsidRPr="00F57369">
              <w:t>røres i ca. 5 minutter.</w:t>
            </w:r>
            <w:r>
              <w:t xml:space="preserve"> </w:t>
            </w:r>
            <w:r w:rsidRPr="00F57369">
              <w:t>Produktet pipetteres ut av erlenmeyerkolben. Pipettespissen holdes helt ned mot</w:t>
            </w:r>
            <w:r>
              <w:t xml:space="preserve"> </w:t>
            </w:r>
            <w:r w:rsidRPr="00F57369">
              <w:t>glassbunnen slik at minst mulig tørkemiddel (MgSO</w:t>
            </w:r>
            <w:r w:rsidRPr="00F57369">
              <w:rPr>
                <w:vertAlign w:val="subscript"/>
              </w:rPr>
              <w:t>4</w:t>
            </w:r>
            <w:r w:rsidRPr="00F57369">
              <w:t>) følger med.</w:t>
            </w:r>
            <w:r>
              <w:t xml:space="preserve"> </w:t>
            </w:r>
            <w:r w:rsidRPr="00F57369">
              <w:t>Produktet filtreres gjennom en pipette med glassullplugg over i et veid prøveglass</w:t>
            </w:r>
            <w:r>
              <w:t xml:space="preserve"> </w:t>
            </w:r>
            <w:r w:rsidRPr="00F57369">
              <w:t>med kork.</w:t>
            </w:r>
            <w:r>
              <w:t xml:space="preserve"> </w:t>
            </w:r>
          </w:p>
          <w:p w:rsidR="00F57369" w:rsidRPr="00F57369" w:rsidRDefault="00F57369" w:rsidP="00F57369">
            <w:pPr>
              <w:pStyle w:val="Footer"/>
            </w:pPr>
            <w:r w:rsidRPr="00F57369">
              <w:t>– Produktet testes for alkener: Bromløsning</w:t>
            </w:r>
            <w:r>
              <w:t xml:space="preserve"> i diklormetan</w:t>
            </w:r>
            <w:r w:rsidRPr="00F57369">
              <w:t xml:space="preserve"> (1 M, 3–4 dråper) tilsettes til et reagensrør</w:t>
            </w:r>
            <w:r>
              <w:t xml:space="preserve"> </w:t>
            </w:r>
            <w:r w:rsidRPr="00F57369">
              <w:t xml:space="preserve">og en dråpe av produktet tilsettes etterpå. Reaksjon observeres. </w:t>
            </w:r>
            <w:r w:rsidRPr="00751BAC">
              <w:rPr>
                <w:b/>
                <w:color w:val="FF0000"/>
              </w:rPr>
              <w:t>NB!</w:t>
            </w:r>
            <w:r w:rsidRPr="00F57369">
              <w:t xml:space="preserve"> Br</w:t>
            </w:r>
            <w:r w:rsidRPr="00F57369">
              <w:rPr>
                <w:vertAlign w:val="subscript"/>
              </w:rPr>
              <w:t>2</w:t>
            </w:r>
            <w:r w:rsidRPr="00F57369">
              <w:t xml:space="preserve"> er meget</w:t>
            </w:r>
          </w:p>
          <w:p w:rsidR="00F57369" w:rsidRPr="00F57369" w:rsidRDefault="00F57369" w:rsidP="00F57369">
            <w:pPr>
              <w:pStyle w:val="Footer"/>
            </w:pPr>
            <w:r w:rsidRPr="00F57369">
              <w:t xml:space="preserve">giftig, ha alltid </w:t>
            </w:r>
            <w:r w:rsidR="005C39C1" w:rsidRPr="00F57369">
              <w:t xml:space="preserve">klar </w:t>
            </w:r>
            <w:r w:rsidRPr="00F57369">
              <w:t xml:space="preserve">en løsning med natriumtiosulfat </w:t>
            </w:r>
            <w:r w:rsidR="005C39C1">
              <w:t>(</w:t>
            </w:r>
            <w:r w:rsidR="00751BAC" w:rsidRPr="00F57369">
              <w:t>5%</w:t>
            </w:r>
            <w:r w:rsidR="005C39C1">
              <w:t xml:space="preserve">) </w:t>
            </w:r>
            <w:r w:rsidRPr="00F57369">
              <w:t>til å nøytralisere</w:t>
            </w:r>
            <w:r>
              <w:t xml:space="preserve"> </w:t>
            </w:r>
            <w:r w:rsidRPr="00F57369">
              <w:t>søl på hud og i avtrekk.</w:t>
            </w:r>
          </w:p>
          <w:p w:rsidR="00542830" w:rsidRPr="002528ED" w:rsidRDefault="00F57369" w:rsidP="00F57369">
            <w:pPr>
              <w:pStyle w:val="Footer"/>
            </w:pPr>
            <w:r w:rsidRPr="00F57369">
              <w:t>– Produktet testes for alkoholer: Produkt (1 dråpe) løses i aceton (1 mL) og tilsettes en</w:t>
            </w:r>
            <w:r>
              <w:t xml:space="preserve"> </w:t>
            </w:r>
            <w:r w:rsidRPr="00F57369">
              <w:t>dråpe Jones-reagens. Reaksjon observeres. Tilsvarende test</w:t>
            </w:r>
            <w:r w:rsidR="00810ECC">
              <w:t>er</w:t>
            </w:r>
            <w:r w:rsidRPr="00F57369">
              <w:t xml:space="preserve"> utføres med sykloheksanol</w:t>
            </w:r>
            <w:r>
              <w:t xml:space="preserve"> </w:t>
            </w:r>
            <w:r w:rsidRPr="00F57369">
              <w:t>og en blindtest med bare aceton for å sammenligne.</w:t>
            </w:r>
          </w:p>
        </w:tc>
      </w:tr>
      <w:tr w:rsidR="00763458" w:rsidRPr="002528ED" w:rsidTr="00215DE9">
        <w:trPr>
          <w:trHeight w:val="2205"/>
        </w:trPr>
        <w:tc>
          <w:tcPr>
            <w:tcW w:w="96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1BAC" w:rsidRDefault="00763458" w:rsidP="00572A6E">
            <w:pPr>
              <w:pStyle w:val="Footer"/>
              <w:rPr>
                <w:b/>
              </w:rPr>
            </w:pPr>
            <w:r w:rsidRPr="00751BAC">
              <w:rPr>
                <w:i/>
              </w:rPr>
              <w:lastRenderedPageBreak/>
              <w:t>Risiko</w:t>
            </w:r>
            <w:r w:rsidR="0058001A" w:rsidRPr="00751BAC">
              <w:rPr>
                <w:i/>
              </w:rPr>
              <w:t xml:space="preserve"> forbundet med arbeidet</w:t>
            </w:r>
            <w:r w:rsidRPr="00751BAC">
              <w:rPr>
                <w:i/>
              </w:rPr>
              <w:t>:</w:t>
            </w:r>
            <w:r w:rsidR="0058001A" w:rsidRPr="00751BAC">
              <w:rPr>
                <w:i/>
              </w:rPr>
              <w:t xml:space="preserve"> </w:t>
            </w:r>
          </w:p>
          <w:p w:rsidR="00751BAC" w:rsidRPr="005A77BC" w:rsidRDefault="00751BAC" w:rsidP="00751BA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jc w:val="both"/>
              <w:rPr>
                <w:rFonts w:ascii="Times-Roman" w:hAnsi="Times-Roman" w:cs="Times-Roman"/>
                <w:color w:val="FF0000"/>
                <w:kern w:val="1"/>
                <w:szCs w:val="24"/>
                <w:u w:val="single"/>
              </w:rPr>
            </w:pPr>
            <w:r w:rsidRPr="005A77BC">
              <w:rPr>
                <w:rFonts w:ascii="Times-Roman" w:hAnsi="Times-Roman" w:cs="Times-Roman"/>
                <w:color w:val="FF0000"/>
                <w:szCs w:val="24"/>
                <w:u w:val="single"/>
              </w:rPr>
              <w:t>a) Kjemikalies faremomenter</w:t>
            </w:r>
          </w:p>
          <w:p w:rsidR="00055016" w:rsidRDefault="00091105" w:rsidP="00572A6E">
            <w:pPr>
              <w:pStyle w:val="Footer"/>
            </w:pPr>
            <w:r w:rsidRPr="00572A6E">
              <w:rPr>
                <w:b/>
              </w:rPr>
              <w:t>Sykloheksanol:</w:t>
            </w:r>
            <w:r>
              <w:t xml:space="preserve"> </w:t>
            </w:r>
            <w:r w:rsidR="00572A6E">
              <w:t xml:space="preserve">Farlig ved innånding og svelging, irriterer åndedrettsorganer og huden. </w:t>
            </w:r>
            <w:r w:rsidR="00572A6E" w:rsidRPr="00572A6E">
              <w:t>Oppvarming kan gi damper som kan danne eksplosive blandinger med luft.</w:t>
            </w:r>
            <w:r w:rsidR="00423CF0">
              <w:br/>
            </w:r>
            <w:r w:rsidR="00572A6E" w:rsidRPr="00572A6E">
              <w:rPr>
                <w:b/>
              </w:rPr>
              <w:t>Fosforsyre:</w:t>
            </w:r>
            <w:r w:rsidR="00572A6E">
              <w:rPr>
                <w:b/>
              </w:rPr>
              <w:t xml:space="preserve"> </w:t>
            </w:r>
            <w:r w:rsidR="00572A6E" w:rsidRPr="00572A6E">
              <w:t>Etsende.</w:t>
            </w:r>
            <w:r w:rsidR="00572A6E">
              <w:t xml:space="preserve"> Ved kontakt med metaller dannes hydrogengass som kan danne eksplosiv</w:t>
            </w:r>
            <w:r w:rsidR="00DB3E83">
              <w:t xml:space="preserve"> </w:t>
            </w:r>
            <w:r w:rsidR="00572A6E">
              <w:t>blanding med luft. Irriterer luftveiene ved innånding.</w:t>
            </w:r>
          </w:p>
          <w:p w:rsidR="00572A6E" w:rsidRDefault="00FA7AB0" w:rsidP="00572A6E">
            <w:pPr>
              <w:pStyle w:val="Footer"/>
            </w:pPr>
            <w:r w:rsidRPr="00FA7AB0">
              <w:rPr>
                <w:b/>
              </w:rPr>
              <w:t>Natriumbikarbonat:</w:t>
            </w:r>
            <w:r>
              <w:t xml:space="preserve"> </w:t>
            </w:r>
            <w:r w:rsidR="00572A6E">
              <w:t xml:space="preserve">Kan forårsake lett irritasjon av luftveiene og lett øyeirritasjon. </w:t>
            </w:r>
          </w:p>
          <w:p w:rsidR="00967667" w:rsidRDefault="00FA7AB0" w:rsidP="00572A6E">
            <w:pPr>
              <w:pStyle w:val="Footer"/>
            </w:pPr>
            <w:r w:rsidRPr="00FA7AB0">
              <w:rPr>
                <w:b/>
              </w:rPr>
              <w:t>Sykloheksen:</w:t>
            </w:r>
            <w:r w:rsidR="00FD4EF4">
              <w:rPr>
                <w:b/>
              </w:rPr>
              <w:t xml:space="preserve"> </w:t>
            </w:r>
            <w:r w:rsidR="00FD4EF4">
              <w:t>Meget brannfarlig, farlig ved svelging, giftig for vannlevende organismer, kan forårsake uønskede langtidsvirkninger i vannmiljøet, helseskadelig, kan gi lungeskader ved svelging. Kan danne eksplosive peroksider.</w:t>
            </w:r>
          </w:p>
          <w:p w:rsidR="00F57369" w:rsidRDefault="00F57369" w:rsidP="00F57369">
            <w:pPr>
              <w:pStyle w:val="Footer"/>
            </w:pPr>
            <w:r w:rsidRPr="0043224D">
              <w:rPr>
                <w:b/>
              </w:rPr>
              <w:t>Magnesiumsulfat</w:t>
            </w:r>
            <w:r>
              <w:t>: Ingen data tilgjengelig.</w:t>
            </w:r>
          </w:p>
          <w:p w:rsidR="00572A6E" w:rsidRPr="004041C8" w:rsidRDefault="00967667" w:rsidP="00572A6E">
            <w:pPr>
              <w:pStyle w:val="Footer"/>
            </w:pPr>
            <w:r>
              <w:rPr>
                <w:b/>
              </w:rPr>
              <w:t>Br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-løsning:</w:t>
            </w:r>
            <w:r w:rsidRPr="00967667">
              <w:rPr>
                <w:b/>
              </w:rPr>
              <w:t xml:space="preserve"> </w:t>
            </w:r>
            <w:r w:rsidR="004041C8">
              <w:t>Meget giftig ved svelging av løsning eller inhalering av gass. Etsende i sterke konsentrasjoner</w:t>
            </w:r>
            <w:r w:rsidR="000275B3">
              <w:t>. Meget giftig for vannlevende organismer.</w:t>
            </w:r>
          </w:p>
          <w:p w:rsidR="00572A6E" w:rsidRDefault="007F46A6" w:rsidP="00E34DCD">
            <w:pPr>
              <w:pStyle w:val="Footer"/>
            </w:pPr>
            <w:r>
              <w:rPr>
                <w:b/>
              </w:rPr>
              <w:t>Diklormetan</w:t>
            </w:r>
            <w:r w:rsidR="00967667">
              <w:rPr>
                <w:b/>
              </w:rPr>
              <w:t>:</w:t>
            </w:r>
            <w:r w:rsidR="000275B3">
              <w:rPr>
                <w:b/>
              </w:rPr>
              <w:t xml:space="preserve"> </w:t>
            </w:r>
            <w:r w:rsidR="000275B3">
              <w:t>Mulig fare for kreft. Damp virker bedøvende. Farlig ved innånding, kan føre til bevisstløshet. Danner eksplosiv blanding med salpetersyre.</w:t>
            </w:r>
            <w:r w:rsidR="00B852E8">
              <w:t xml:space="preserve"> Vil i dampform kunne danne eksplosive blandinger med oksygen. Farlig for vannlevende organismer.</w:t>
            </w:r>
          </w:p>
          <w:p w:rsidR="00B852E8" w:rsidRPr="00B852E8" w:rsidRDefault="00B852E8" w:rsidP="00E34DCD">
            <w:pPr>
              <w:pStyle w:val="Footer"/>
            </w:pPr>
            <w:r>
              <w:rPr>
                <w:b/>
              </w:rPr>
              <w:t xml:space="preserve">Jones reagens: </w:t>
            </w:r>
            <w:r>
              <w:t xml:space="preserve">Består av kromtrioksid løst i svovelsyre. </w:t>
            </w:r>
            <w:r w:rsidR="007038B3">
              <w:t xml:space="preserve">Kan forårsake brann eller eksplosjon, sterke oksiedrende. </w:t>
            </w:r>
            <w:r>
              <w:t>Mulig kreftfremkallende</w:t>
            </w:r>
            <w:r w:rsidR="00FC338C">
              <w:t>, kan føre til arvelige genetiske skader. Giftig ved hudkontakt og ved svelging. Meget giftig ved inhalering. Kan føre til nedsatt fertilitet. Giftig for vannlevende organismer, kan forårsake uønskede langtidsvirkninger i vandige miljøer.</w:t>
            </w:r>
          </w:p>
          <w:p w:rsidR="00751BAC" w:rsidRPr="005A77BC" w:rsidRDefault="00751BAC" w:rsidP="00751BA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rPr>
                <w:rFonts w:ascii="Times-Roman" w:hAnsi="Times-Roman" w:cs="Times-Roman"/>
                <w:color w:val="FF0000"/>
                <w:kern w:val="1"/>
                <w:szCs w:val="24"/>
                <w:u w:val="single"/>
              </w:rPr>
            </w:pPr>
            <w:r w:rsidRPr="005A77BC">
              <w:rPr>
                <w:rFonts w:ascii="Times-Roman" w:hAnsi="Times-Roman" w:cs="Times-Roman"/>
                <w:color w:val="FF0000"/>
                <w:kern w:val="1"/>
                <w:szCs w:val="24"/>
                <w:u w:val="single"/>
              </w:rPr>
              <w:t>b) Aktivitets faremomenter</w:t>
            </w:r>
          </w:p>
          <w:p w:rsidR="009F7FB2" w:rsidRDefault="009F7FB2" w:rsidP="00E34DCD">
            <w:pPr>
              <w:pStyle w:val="Footer"/>
            </w:pPr>
            <w:r>
              <w:t xml:space="preserve">Mulighet for å </w:t>
            </w:r>
            <w:r w:rsidR="0081495E">
              <w:t>brenne seg på</w:t>
            </w:r>
            <w:r>
              <w:t xml:space="preserve"> varme gjenstander.</w:t>
            </w:r>
          </w:p>
          <w:p w:rsidR="00AC3407" w:rsidRDefault="00AC3407" w:rsidP="00E34DCD">
            <w:pPr>
              <w:pStyle w:val="Footer"/>
            </w:pPr>
            <w:r>
              <w:t xml:space="preserve">Mulighet for å knuse og skjære seg på glassgjenstander. </w:t>
            </w:r>
          </w:p>
          <w:p w:rsidR="00950340" w:rsidRDefault="00DF3284" w:rsidP="0056766F">
            <w:pPr>
              <w:pStyle w:val="Footer"/>
            </w:pPr>
            <w:r>
              <w:t>Støtkoking kan oppstå.</w:t>
            </w:r>
          </w:p>
          <w:p w:rsidR="00542830" w:rsidRDefault="00542830" w:rsidP="0056766F">
            <w:pPr>
              <w:pStyle w:val="Footer"/>
            </w:pPr>
          </w:p>
        </w:tc>
      </w:tr>
      <w:tr w:rsidR="00055016" w:rsidTr="002C60A8">
        <w:trPr>
          <w:trHeight w:val="2322"/>
        </w:trPr>
        <w:tc>
          <w:tcPr>
            <w:tcW w:w="96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10ECC" w:rsidRDefault="00055016" w:rsidP="008F21D7">
            <w:pPr>
              <w:pStyle w:val="Footer"/>
            </w:pPr>
            <w:r>
              <w:t>Beskyttelse/sikring:</w:t>
            </w:r>
            <w:r w:rsidR="002C60A8">
              <w:t xml:space="preserve"> (tiltaksplan</w:t>
            </w:r>
            <w:r>
              <w:t>)</w:t>
            </w:r>
            <w:r w:rsidR="00FD4EF4">
              <w:t xml:space="preserve"> </w:t>
            </w:r>
            <w:r w:rsidR="00FD4EF4">
              <w:br/>
            </w:r>
            <w:r w:rsidR="007F46A6">
              <w:rPr>
                <w:b/>
              </w:rPr>
              <w:t>Diklormetan</w:t>
            </w:r>
            <w:r w:rsidR="000275B3" w:rsidRPr="000275B3">
              <w:rPr>
                <w:b/>
              </w:rPr>
              <w:t>:</w:t>
            </w:r>
            <w:r w:rsidR="000275B3">
              <w:t xml:space="preserve"> Vask straks hud som er blitt forurenset. Klær som har blitt tilsølt bør raskest mulig fjernes og renses før fortsatt bruk.</w:t>
            </w:r>
            <w:r w:rsidR="00AE77B4">
              <w:t xml:space="preserve"> </w:t>
            </w:r>
          </w:p>
          <w:p w:rsidR="00810ECC" w:rsidRDefault="00AE77B4" w:rsidP="008F21D7">
            <w:pPr>
              <w:pStyle w:val="Footer"/>
            </w:pPr>
            <w:r w:rsidRPr="00AE77B4">
              <w:rPr>
                <w:b/>
              </w:rPr>
              <w:t>Brom:</w:t>
            </w:r>
            <w:r>
              <w:t xml:space="preserve"> Ha alltid en løsning med natriumtiosulfat </w:t>
            </w:r>
            <w:r w:rsidR="00810ECC">
              <w:t xml:space="preserve">(5%) </w:t>
            </w:r>
            <w:r>
              <w:t xml:space="preserve">klar til å nøytralisere søl på hud og i avtrekk. </w:t>
            </w:r>
          </w:p>
          <w:p w:rsidR="00055016" w:rsidRPr="00FD4EF4" w:rsidRDefault="00AE77B4" w:rsidP="008F21D7">
            <w:pPr>
              <w:pStyle w:val="Footer"/>
              <w:rPr>
                <w:b/>
              </w:rPr>
            </w:pPr>
            <w:r w:rsidRPr="00AE77B4">
              <w:rPr>
                <w:b/>
              </w:rPr>
              <w:t>Jones reagens:</w:t>
            </w:r>
            <w:r>
              <w:t xml:space="preserve"> Vis ekstra forsiktighet ettersom dette er en blanding av tungmetaller og sterk syre. </w:t>
            </w:r>
            <w:r w:rsidR="00FD4EF4">
              <w:br/>
            </w:r>
            <w:r w:rsidR="00FD4EF4" w:rsidRPr="00FD4EF4">
              <w:rPr>
                <w:b/>
              </w:rPr>
              <w:t>Generelt:</w:t>
            </w:r>
          </w:p>
          <w:p w:rsidR="00055016" w:rsidRDefault="00055016" w:rsidP="008F21D7">
            <w:pPr>
              <w:pStyle w:val="Footer"/>
            </w:pPr>
            <w:r w:rsidRPr="00810ECC">
              <w:rPr>
                <w:b/>
              </w:rPr>
              <w:t>Alt arbeid</w:t>
            </w:r>
            <w:r>
              <w:t xml:space="preserve"> med kjemikalier skjer i avtrekkskap. </w:t>
            </w:r>
          </w:p>
          <w:p w:rsidR="00055016" w:rsidRDefault="00810ECC" w:rsidP="008F21D7">
            <w:pPr>
              <w:pStyle w:val="Footer"/>
            </w:pPr>
            <w:r w:rsidRPr="00810ECC">
              <w:rPr>
                <w:b/>
              </w:rPr>
              <w:t>Verneutstyr</w:t>
            </w:r>
            <w:r>
              <w:t xml:space="preserve"> (h</w:t>
            </w:r>
            <w:r w:rsidR="00055016">
              <w:t xml:space="preserve">ansker, </w:t>
            </w:r>
            <w:r w:rsidR="00B022C6">
              <w:t>verne</w:t>
            </w:r>
            <w:r w:rsidR="00055016">
              <w:t>briller, egnede sko og vernebekledning</w:t>
            </w:r>
            <w:r>
              <w:t>)</w:t>
            </w:r>
            <w:r w:rsidR="00055016">
              <w:t xml:space="preserve"> skal brukes. </w:t>
            </w:r>
          </w:p>
          <w:p w:rsidR="00810ECC" w:rsidRDefault="00810ECC" w:rsidP="00810ECC">
            <w:pPr>
              <w:pStyle w:val="Footer"/>
              <w:rPr>
                <w:rFonts w:ascii="Times New Roman" w:hAnsi="Times New Roman"/>
                <w:szCs w:val="24"/>
              </w:rPr>
            </w:pPr>
            <w:r w:rsidRPr="00060BA5">
              <w:rPr>
                <w:rFonts w:ascii="Times New Roman" w:hAnsi="Times New Roman"/>
                <w:b/>
                <w:szCs w:val="24"/>
              </w:rPr>
              <w:t>Bruk av han</w:t>
            </w:r>
            <w:r>
              <w:rPr>
                <w:rFonts w:ascii="Times New Roman" w:hAnsi="Times New Roman"/>
                <w:b/>
                <w:szCs w:val="24"/>
              </w:rPr>
              <w:t>sker må vurderes ved håndtering av kjemikalie</w:t>
            </w:r>
            <w:r w:rsidRPr="00060BA5">
              <w:rPr>
                <w:rFonts w:ascii="Times New Roman" w:hAnsi="Times New Roman"/>
                <w:b/>
                <w:szCs w:val="24"/>
              </w:rPr>
              <w:t xml:space="preserve">r og </w:t>
            </w:r>
            <w:r>
              <w:rPr>
                <w:rFonts w:ascii="Times New Roman" w:hAnsi="Times New Roman"/>
                <w:b/>
                <w:szCs w:val="24"/>
              </w:rPr>
              <w:t>kjemikalie</w:t>
            </w:r>
            <w:r w:rsidRPr="00060BA5">
              <w:rPr>
                <w:rFonts w:ascii="Times New Roman" w:hAnsi="Times New Roman"/>
                <w:b/>
                <w:szCs w:val="24"/>
              </w:rPr>
              <w:t>avfall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041C8" w:rsidRDefault="00055016" w:rsidP="008F21D7">
            <w:pPr>
              <w:pStyle w:val="Footer"/>
            </w:pPr>
            <w:r>
              <w:t xml:space="preserve">All bruk av </w:t>
            </w:r>
            <w:r w:rsidRPr="00810ECC">
              <w:rPr>
                <w:b/>
              </w:rPr>
              <w:t>åpen ild er forbudt</w:t>
            </w:r>
            <w:r>
              <w:t xml:space="preserve"> i dette eksperimentet og generelt inne på et organisk laboratorium.</w:t>
            </w:r>
            <w:r w:rsidR="00FD4EF4">
              <w:t xml:space="preserve"> Unngå gnistkilder (statisk elektrisitet).</w:t>
            </w:r>
          </w:p>
          <w:p w:rsidR="00055016" w:rsidRDefault="004041C8" w:rsidP="008F21D7">
            <w:pPr>
              <w:pStyle w:val="Footer"/>
            </w:pPr>
            <w:r>
              <w:t xml:space="preserve">Alle som utfører eksperimentet bør være kjent med </w:t>
            </w:r>
            <w:r w:rsidRPr="00810ECC">
              <w:rPr>
                <w:b/>
              </w:rPr>
              <w:t>plassering av øyedusj</w:t>
            </w:r>
            <w:r>
              <w:t>.</w:t>
            </w:r>
            <w:r w:rsidR="00055016">
              <w:t xml:space="preserve"> </w:t>
            </w:r>
          </w:p>
          <w:p w:rsidR="00055016" w:rsidRDefault="00055016" w:rsidP="008F21D7">
            <w:pPr>
              <w:pStyle w:val="Footer"/>
            </w:pPr>
            <w:r>
              <w:t>Bruk av varmebestandige hansker ved berøring av oppvarmet utstyr.</w:t>
            </w:r>
          </w:p>
          <w:p w:rsidR="00055016" w:rsidRDefault="00055016" w:rsidP="008F21D7">
            <w:pPr>
              <w:pStyle w:val="Footer"/>
            </w:pPr>
            <w:r>
              <w:t xml:space="preserve">Benytt </w:t>
            </w:r>
            <w:r w:rsidRPr="00810ECC">
              <w:rPr>
                <w:b/>
              </w:rPr>
              <w:t xml:space="preserve">kokestein </w:t>
            </w:r>
            <w:r w:rsidR="005B6549" w:rsidRPr="00810ECC">
              <w:rPr>
                <w:b/>
              </w:rPr>
              <w:t>eller magnetrører</w:t>
            </w:r>
            <w:r w:rsidR="005B6549">
              <w:t xml:space="preserve"> </w:t>
            </w:r>
            <w:r>
              <w:t xml:space="preserve">ved oppvarming av løsninger og løsningsmidler. </w:t>
            </w:r>
          </w:p>
          <w:p w:rsidR="00810ECC" w:rsidRDefault="00DA1F97" w:rsidP="00EE45ED">
            <w:pPr>
              <w:pStyle w:val="Footer"/>
            </w:pPr>
            <w:r>
              <w:t>Løst hår skal festes med strikk e.l.</w:t>
            </w:r>
          </w:p>
          <w:p w:rsidR="00950340" w:rsidRDefault="00950340" w:rsidP="00EE45ED">
            <w:pPr>
              <w:pStyle w:val="Footer"/>
            </w:pPr>
            <w:r w:rsidRPr="00810ECC">
              <w:rPr>
                <w:b/>
              </w:rPr>
              <w:t>Kontroller</w:t>
            </w:r>
            <w:r>
              <w:t xml:space="preserve"> sprekkdannelse og evt. skader på glassutstyr.</w:t>
            </w:r>
          </w:p>
          <w:p w:rsidR="00810ECC" w:rsidRPr="00810ECC" w:rsidRDefault="00810ECC" w:rsidP="00EE45ED">
            <w:pPr>
              <w:pStyle w:val="Footer"/>
              <w:rPr>
                <w:rFonts w:ascii="Times New Roman" w:hAnsi="Times New Roman"/>
                <w:szCs w:val="24"/>
              </w:rPr>
            </w:pPr>
          </w:p>
        </w:tc>
      </w:tr>
      <w:tr w:rsidR="00763458" w:rsidRPr="002528ED" w:rsidTr="0088210E">
        <w:trPr>
          <w:trHeight w:val="946"/>
        </w:trPr>
        <w:tc>
          <w:tcPr>
            <w:tcW w:w="96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55016" w:rsidRDefault="00055016" w:rsidP="00055016">
            <w:pPr>
              <w:pStyle w:val="Footer"/>
            </w:pPr>
            <w:r>
              <w:t>Avfallshåndtering: (Se Sikkerhetsdatablad punkt 13 for veiledning)</w:t>
            </w:r>
          </w:p>
          <w:p w:rsidR="005C39C1" w:rsidRDefault="00055016" w:rsidP="00751BAC">
            <w:pPr>
              <w:pStyle w:val="Footer"/>
            </w:pPr>
            <w:r>
              <w:t xml:space="preserve">Alle </w:t>
            </w:r>
            <w:r w:rsidRPr="005C39C1">
              <w:rPr>
                <w:b/>
              </w:rPr>
              <w:t>organiske forbindelser</w:t>
            </w:r>
            <w:r>
              <w:t xml:space="preserve"> som samles opp skal overføres til beholder merket ”organiske løsningsmidler uten halogen”</w:t>
            </w:r>
            <w:r w:rsidR="00B852E8">
              <w:t xml:space="preserve">, </w:t>
            </w:r>
            <w:r w:rsidR="005C39C1" w:rsidRPr="005C39C1">
              <w:rPr>
                <w:b/>
                <w:color w:val="FF0000"/>
              </w:rPr>
              <w:t>(NB!)</w:t>
            </w:r>
            <w:r w:rsidR="005C39C1" w:rsidRPr="005C39C1">
              <w:rPr>
                <w:color w:val="FF0000"/>
              </w:rPr>
              <w:t xml:space="preserve"> </w:t>
            </w:r>
            <w:r w:rsidR="00B852E8" w:rsidRPr="00751BAC">
              <w:rPr>
                <w:b/>
              </w:rPr>
              <w:t>med unntak</w:t>
            </w:r>
            <w:r w:rsidR="00B852E8">
              <w:t xml:space="preserve"> av </w:t>
            </w:r>
            <w:r w:rsidR="00B852E8" w:rsidRPr="00AE77B4">
              <w:rPr>
                <w:b/>
              </w:rPr>
              <w:t>Br</w:t>
            </w:r>
            <w:r w:rsidR="00B852E8" w:rsidRPr="00AE77B4">
              <w:rPr>
                <w:b/>
                <w:vertAlign w:val="subscript"/>
              </w:rPr>
              <w:t>2</w:t>
            </w:r>
            <w:r w:rsidR="00B852E8" w:rsidRPr="00AE77B4">
              <w:rPr>
                <w:b/>
              </w:rPr>
              <w:t xml:space="preserve">-løsning </w:t>
            </w:r>
            <w:r w:rsidR="00751BAC">
              <w:rPr>
                <w:b/>
              </w:rPr>
              <w:t>i</w:t>
            </w:r>
            <w:r w:rsidR="00B852E8" w:rsidRPr="00AE77B4">
              <w:rPr>
                <w:b/>
              </w:rPr>
              <w:t xml:space="preserve"> </w:t>
            </w:r>
            <w:r w:rsidR="00751BAC">
              <w:rPr>
                <w:b/>
              </w:rPr>
              <w:t>d</w:t>
            </w:r>
            <w:r w:rsidR="007F46A6">
              <w:rPr>
                <w:b/>
              </w:rPr>
              <w:t>iklormetan</w:t>
            </w:r>
            <w:r w:rsidR="00B852E8">
              <w:t>, som samles opp og overføres til beholder merket ”</w:t>
            </w:r>
            <w:r w:rsidR="00B852E8" w:rsidRPr="005C39C1">
              <w:rPr>
                <w:b/>
              </w:rPr>
              <w:t>organiske løsningsmidler med halogen</w:t>
            </w:r>
            <w:r w:rsidR="00B852E8">
              <w:t>”.</w:t>
            </w:r>
            <w:r w:rsidR="00AE77B4">
              <w:t xml:space="preserve"> </w:t>
            </w:r>
          </w:p>
          <w:p w:rsidR="00763458" w:rsidRDefault="005C39C1" w:rsidP="00751BAC">
            <w:pPr>
              <w:pStyle w:val="Footer"/>
            </w:pPr>
            <w:r w:rsidRPr="005C39C1">
              <w:rPr>
                <w:b/>
                <w:color w:val="FF0000"/>
              </w:rPr>
              <w:t>NB!</w:t>
            </w:r>
            <w:r>
              <w:t xml:space="preserve"> </w:t>
            </w:r>
            <w:r w:rsidR="00AE77B4" w:rsidRPr="00AE77B4">
              <w:rPr>
                <w:b/>
              </w:rPr>
              <w:t>Jones reagens</w:t>
            </w:r>
            <w:r w:rsidR="00AE77B4">
              <w:t xml:space="preserve"> samles i egen</w:t>
            </w:r>
            <w:r w:rsidR="00E2269F">
              <w:t xml:space="preserve"> beholder</w:t>
            </w:r>
            <w:r w:rsidR="007F46A6">
              <w:t xml:space="preserve"> merket </w:t>
            </w:r>
            <w:r w:rsidR="007F46A6" w:rsidRPr="00751BAC">
              <w:rPr>
                <w:b/>
              </w:rPr>
              <w:t>«Cr-avfall»</w:t>
            </w:r>
            <w:r w:rsidR="00E2269F" w:rsidRPr="00751BAC">
              <w:rPr>
                <w:b/>
              </w:rPr>
              <w:t>.</w:t>
            </w:r>
            <w:r w:rsidR="00E2269F">
              <w:t xml:space="preserve"> </w:t>
            </w:r>
          </w:p>
          <w:p w:rsidR="00A63417" w:rsidRDefault="00A63417" w:rsidP="00A63417">
            <w:pPr>
              <w:pStyle w:val="Foo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Brukte hansker </w:t>
            </w:r>
            <w:r w:rsidRPr="003A7DE2">
              <w:rPr>
                <w:rFonts w:ascii="Times New Roman" w:hAnsi="Times New Roman"/>
                <w:b/>
                <w:szCs w:val="24"/>
              </w:rPr>
              <w:t xml:space="preserve">legges i </w:t>
            </w:r>
            <w:r>
              <w:rPr>
                <w:rFonts w:ascii="Times New Roman" w:hAnsi="Times New Roman"/>
                <w:b/>
                <w:szCs w:val="24"/>
              </w:rPr>
              <w:t xml:space="preserve">egen felles dunk i </w:t>
            </w:r>
            <w:r w:rsidRPr="003A7DE2">
              <w:rPr>
                <w:rFonts w:ascii="Times New Roman" w:hAnsi="Times New Roman"/>
                <w:b/>
                <w:szCs w:val="24"/>
              </w:rPr>
              <w:t>avtrekks</w:t>
            </w:r>
            <w:r>
              <w:rPr>
                <w:rFonts w:ascii="Times New Roman" w:hAnsi="Times New Roman"/>
                <w:b/>
                <w:szCs w:val="24"/>
              </w:rPr>
              <w:t>skap.</w:t>
            </w:r>
          </w:p>
          <w:p w:rsidR="00A63417" w:rsidRDefault="00A63417" w:rsidP="00751BAC">
            <w:pPr>
              <w:pStyle w:val="Footer"/>
            </w:pPr>
            <w:r w:rsidRPr="009048C0">
              <w:rPr>
                <w:b/>
              </w:rPr>
              <w:t>Brukt</w:t>
            </w:r>
            <w:r>
              <w:rPr>
                <w:b/>
              </w:rPr>
              <w:t>e</w:t>
            </w:r>
            <w:r w:rsidRPr="009048C0">
              <w:rPr>
                <w:b/>
              </w:rPr>
              <w:t xml:space="preserve"> </w:t>
            </w:r>
            <w:r>
              <w:rPr>
                <w:b/>
              </w:rPr>
              <w:t>Pasteur-</w:t>
            </w:r>
            <w:r w:rsidRPr="009048C0">
              <w:rPr>
                <w:b/>
              </w:rPr>
              <w:t>pipetter</w:t>
            </w:r>
            <w:r>
              <w:rPr>
                <w:b/>
              </w:rPr>
              <w:t xml:space="preserve"> </w:t>
            </w:r>
            <w:r w:rsidRPr="00542FD2">
              <w:t xml:space="preserve">oppbevares inne </w:t>
            </w:r>
            <w:r>
              <w:t xml:space="preserve">felles </w:t>
            </w:r>
            <w:r w:rsidRPr="00542FD2">
              <w:t xml:space="preserve">avtrekksskap </w:t>
            </w:r>
            <w:r w:rsidRPr="007F3871">
              <w:t xml:space="preserve">i den </w:t>
            </w:r>
            <w:r>
              <w:t xml:space="preserve">henviste </w:t>
            </w:r>
            <w:r w:rsidRPr="007F3871">
              <w:t>avfallsesken</w:t>
            </w:r>
            <w:r>
              <w:t>.</w:t>
            </w:r>
          </w:p>
          <w:p w:rsidR="0003322F" w:rsidRPr="00B852E8" w:rsidRDefault="0003322F" w:rsidP="00751BAC">
            <w:pPr>
              <w:pStyle w:val="Footer"/>
            </w:pPr>
            <w:r w:rsidRPr="00DC37CF">
              <w:rPr>
                <w:b/>
              </w:rPr>
              <w:lastRenderedPageBreak/>
              <w:t>Kokesteiner</w:t>
            </w:r>
            <w:r>
              <w:t xml:space="preserve"> skylles med aceton inne i avtrekksskap og oppbevares der til de er tørre og kan kastes i søppeldunken.</w:t>
            </w:r>
          </w:p>
        </w:tc>
      </w:tr>
      <w:tr w:rsidR="00AF1781" w:rsidRPr="002528ED" w:rsidTr="00950340">
        <w:trPr>
          <w:trHeight w:val="1288"/>
        </w:trPr>
        <w:tc>
          <w:tcPr>
            <w:tcW w:w="96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1781" w:rsidRDefault="00AF1781" w:rsidP="00E34DCD">
            <w:pPr>
              <w:pStyle w:val="Footer"/>
            </w:pPr>
            <w:r>
              <w:lastRenderedPageBreak/>
              <w:t>Konklusjon/kommentar:</w:t>
            </w:r>
          </w:p>
          <w:p w:rsidR="00AF1781" w:rsidRDefault="007B34C8" w:rsidP="005C39C1">
            <w:pPr>
              <w:pStyle w:val="Footer"/>
            </w:pPr>
            <w:r>
              <w:t xml:space="preserve">Den største risikoen </w:t>
            </w:r>
            <w:r w:rsidR="006818E3">
              <w:t xml:space="preserve">ved dette eksperimentet er </w:t>
            </w:r>
            <w:r>
              <w:t>søl av kjemikalier og brannskade</w:t>
            </w:r>
            <w:r w:rsidR="00742A58">
              <w:t>/kuttskader</w:t>
            </w:r>
            <w:r>
              <w:t xml:space="preserve">. </w:t>
            </w:r>
            <w:r w:rsidR="00742A58">
              <w:t>Brann i kjemikalier antas som lite sannsynlig.</w:t>
            </w:r>
            <w:r w:rsidR="00B022C6">
              <w:t xml:space="preserve"> Bruk verneutstyr og avtrekk.</w:t>
            </w:r>
            <w:r w:rsidR="00742A58">
              <w:t xml:space="preserve"> </w:t>
            </w:r>
            <w:r w:rsidR="00381AF1">
              <w:t>Selv om forsøk</w:t>
            </w:r>
            <w:r w:rsidR="00EE45ED">
              <w:t xml:space="preserve">et skal utføres i mikroskala er </w:t>
            </w:r>
            <w:r w:rsidR="00381AF1">
              <w:t xml:space="preserve">det vurdert til </w:t>
            </w:r>
            <w:r w:rsidR="00381AF1" w:rsidRPr="00381AF1">
              <w:rPr>
                <w:b/>
              </w:rPr>
              <w:t>MEDIUM RISIKO</w:t>
            </w:r>
            <w:r w:rsidR="00894128">
              <w:t>, pga arbeid med brom</w:t>
            </w:r>
            <w:r w:rsidR="005C39C1">
              <w:t>,</w:t>
            </w:r>
            <w:r w:rsidR="00894128">
              <w:t xml:space="preserve"> </w:t>
            </w:r>
            <w:r w:rsidR="00810ECC">
              <w:t xml:space="preserve">tungmetall </w:t>
            </w:r>
            <w:r w:rsidR="00894128">
              <w:t>krom</w:t>
            </w:r>
            <w:r w:rsidR="005C39C1">
              <w:t xml:space="preserve"> og </w:t>
            </w:r>
            <w:r w:rsidR="00810ECC">
              <w:t xml:space="preserve">sterk </w:t>
            </w:r>
            <w:r w:rsidR="005C39C1">
              <w:t>svovelsyre</w:t>
            </w:r>
            <w:r w:rsidR="00894128">
              <w:t xml:space="preserve">. </w:t>
            </w:r>
          </w:p>
        </w:tc>
      </w:tr>
    </w:tbl>
    <w:p w:rsidR="0058001A" w:rsidRDefault="0058001A" w:rsidP="00F967CF">
      <w:pPr>
        <w:pStyle w:val="Footer"/>
        <w:rPr>
          <w:sz w:val="12"/>
          <w:szCs w:val="12"/>
        </w:rPr>
      </w:pPr>
    </w:p>
    <w:p w:rsidR="00C34C6E" w:rsidRDefault="00C34C6E" w:rsidP="00F967CF">
      <w:pPr>
        <w:pStyle w:val="Footer"/>
        <w:rPr>
          <w:sz w:val="12"/>
          <w:szCs w:val="12"/>
        </w:rPr>
      </w:pPr>
    </w:p>
    <w:p w:rsidR="00C34C6E" w:rsidRDefault="00C34C6E" w:rsidP="00F967CF">
      <w:pPr>
        <w:pStyle w:val="Footer"/>
        <w:rPr>
          <w:sz w:val="12"/>
          <w:szCs w:val="12"/>
        </w:rPr>
      </w:pPr>
    </w:p>
    <w:p w:rsidR="00C34C6E" w:rsidRDefault="00C34C6E" w:rsidP="00F967CF">
      <w:pPr>
        <w:pStyle w:val="Footer"/>
        <w:rPr>
          <w:sz w:val="12"/>
          <w:szCs w:val="12"/>
        </w:rPr>
      </w:pPr>
    </w:p>
    <w:p w:rsidR="00C34C6E" w:rsidRDefault="00C34C6E" w:rsidP="00F967CF">
      <w:pPr>
        <w:pStyle w:val="Footer"/>
        <w:rPr>
          <w:sz w:val="12"/>
          <w:szCs w:val="12"/>
        </w:rPr>
      </w:pPr>
    </w:p>
    <w:p w:rsidR="00C34C6E" w:rsidRDefault="00C34C6E" w:rsidP="00F967CF">
      <w:pPr>
        <w:pStyle w:val="Footer"/>
        <w:rPr>
          <w:sz w:val="12"/>
          <w:szCs w:val="12"/>
        </w:rPr>
      </w:pPr>
    </w:p>
    <w:tbl>
      <w:tblPr>
        <w:tblStyle w:val="TableGrid"/>
        <w:tblW w:w="9466" w:type="dxa"/>
        <w:tblInd w:w="-55" w:type="dxa"/>
        <w:tblLayout w:type="fixed"/>
        <w:tblLook w:val="01E0" w:firstRow="1" w:lastRow="1" w:firstColumn="1" w:lastColumn="1" w:noHBand="0" w:noVBand="0"/>
      </w:tblPr>
      <w:tblGrid>
        <w:gridCol w:w="2410"/>
        <w:gridCol w:w="1813"/>
        <w:gridCol w:w="2835"/>
        <w:gridCol w:w="2408"/>
      </w:tblGrid>
      <w:tr w:rsidR="00360379" w:rsidTr="00797DED">
        <w:trPr>
          <w:trHeight w:val="554"/>
        </w:trPr>
        <w:tc>
          <w:tcPr>
            <w:tcW w:w="2410" w:type="dxa"/>
            <w:tcMar>
              <w:left w:w="57" w:type="dxa"/>
              <w:right w:w="57" w:type="dxa"/>
            </w:tcMar>
          </w:tcPr>
          <w:p w:rsidR="00360379" w:rsidRPr="0051693B" w:rsidRDefault="00360379" w:rsidP="00797DED">
            <w:pPr>
              <w:pStyle w:val="Footer"/>
              <w:spacing w:before="120" w:after="120"/>
              <w:rPr>
                <w:b/>
                <w:sz w:val="20"/>
              </w:rPr>
            </w:pPr>
            <w:r w:rsidRPr="0051693B">
              <w:rPr>
                <w:b/>
                <w:sz w:val="20"/>
              </w:rPr>
              <w:t>Anbefaling/godkjenning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1813" w:type="dxa"/>
          </w:tcPr>
          <w:p w:rsidR="00360379" w:rsidRPr="0051693B" w:rsidRDefault="00360379" w:rsidP="00797DED">
            <w:pPr>
              <w:pStyle w:val="Footer"/>
              <w:spacing w:before="120" w:after="120"/>
              <w:rPr>
                <w:b/>
                <w:sz w:val="20"/>
              </w:rPr>
            </w:pPr>
            <w:r w:rsidRPr="0051693B">
              <w:rPr>
                <w:b/>
                <w:sz w:val="20"/>
              </w:rPr>
              <w:t>Dato/Signatur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2835" w:type="dxa"/>
          </w:tcPr>
          <w:p w:rsidR="00360379" w:rsidRPr="0051693B" w:rsidRDefault="00360379" w:rsidP="00797DED">
            <w:pPr>
              <w:pStyle w:val="Footer"/>
              <w:spacing w:before="120" w:after="120"/>
              <w:rPr>
                <w:b/>
                <w:sz w:val="20"/>
              </w:rPr>
            </w:pPr>
            <w:r w:rsidRPr="0051693B">
              <w:rPr>
                <w:b/>
                <w:sz w:val="20"/>
              </w:rPr>
              <w:t>Anbefaling/godkjenning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2408" w:type="dxa"/>
            <w:tcMar>
              <w:left w:w="57" w:type="dxa"/>
              <w:right w:w="57" w:type="dxa"/>
            </w:tcMar>
          </w:tcPr>
          <w:p w:rsidR="00360379" w:rsidRPr="0051693B" w:rsidRDefault="00360379" w:rsidP="00797DED">
            <w:pPr>
              <w:pStyle w:val="Footer"/>
              <w:spacing w:before="120" w:after="120"/>
              <w:rPr>
                <w:b/>
                <w:sz w:val="20"/>
              </w:rPr>
            </w:pPr>
            <w:r w:rsidRPr="0051693B">
              <w:rPr>
                <w:b/>
                <w:sz w:val="20"/>
              </w:rPr>
              <w:t>Dato/Signatur</w:t>
            </w:r>
            <w:r>
              <w:rPr>
                <w:b/>
                <w:sz w:val="20"/>
              </w:rPr>
              <w:t>:</w:t>
            </w:r>
          </w:p>
        </w:tc>
      </w:tr>
      <w:tr w:rsidR="00360379" w:rsidTr="00797DED">
        <w:trPr>
          <w:trHeight w:val="195"/>
        </w:trPr>
        <w:tc>
          <w:tcPr>
            <w:tcW w:w="2410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360379" w:rsidRPr="0051693B" w:rsidRDefault="00360379" w:rsidP="00797DED">
            <w:pPr>
              <w:pStyle w:val="Footer"/>
              <w:spacing w:before="120" w:after="120"/>
              <w:rPr>
                <w:sz w:val="20"/>
              </w:rPr>
            </w:pPr>
            <w:r w:rsidRPr="0051693B">
              <w:rPr>
                <w:sz w:val="20"/>
              </w:rPr>
              <w:t>SJA-ansvarlig:</w:t>
            </w:r>
          </w:p>
        </w:tc>
        <w:tc>
          <w:tcPr>
            <w:tcW w:w="1813" w:type="dxa"/>
          </w:tcPr>
          <w:p w:rsidR="00360379" w:rsidRPr="0051693B" w:rsidRDefault="00360379" w:rsidP="00797DED">
            <w:pPr>
              <w:pStyle w:val="Footer"/>
              <w:spacing w:before="120" w:after="120"/>
              <w:rPr>
                <w:sz w:val="20"/>
              </w:rPr>
            </w:pPr>
          </w:p>
        </w:tc>
        <w:tc>
          <w:tcPr>
            <w:tcW w:w="2835" w:type="dxa"/>
          </w:tcPr>
          <w:p w:rsidR="00360379" w:rsidRPr="0051693B" w:rsidRDefault="00360379" w:rsidP="00797DED">
            <w:pPr>
              <w:pStyle w:val="Footer"/>
              <w:spacing w:before="120" w:after="120"/>
              <w:rPr>
                <w:sz w:val="20"/>
              </w:rPr>
            </w:pPr>
            <w:r w:rsidRPr="0051693B">
              <w:rPr>
                <w:sz w:val="20"/>
              </w:rPr>
              <w:t>Områdeansvarlig:</w:t>
            </w:r>
          </w:p>
        </w:tc>
        <w:tc>
          <w:tcPr>
            <w:tcW w:w="2408" w:type="dxa"/>
            <w:tcMar>
              <w:left w:w="57" w:type="dxa"/>
              <w:right w:w="57" w:type="dxa"/>
            </w:tcMar>
          </w:tcPr>
          <w:p w:rsidR="00360379" w:rsidRPr="0051693B" w:rsidRDefault="00360379" w:rsidP="00797DED">
            <w:pPr>
              <w:pStyle w:val="Footer"/>
              <w:spacing w:before="120" w:after="120"/>
              <w:rPr>
                <w:sz w:val="20"/>
              </w:rPr>
            </w:pPr>
          </w:p>
        </w:tc>
      </w:tr>
      <w:tr w:rsidR="00360379" w:rsidTr="00797DED">
        <w:trPr>
          <w:trHeight w:val="550"/>
        </w:trPr>
        <w:tc>
          <w:tcPr>
            <w:tcW w:w="2410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</w:tcPr>
          <w:p w:rsidR="00360379" w:rsidRPr="0051693B" w:rsidRDefault="00360379" w:rsidP="00797DED">
            <w:pPr>
              <w:pStyle w:val="Footer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Ansvarlig for utføring: </w:t>
            </w:r>
          </w:p>
        </w:tc>
        <w:tc>
          <w:tcPr>
            <w:tcW w:w="1813" w:type="dxa"/>
          </w:tcPr>
          <w:p w:rsidR="00360379" w:rsidRPr="0051693B" w:rsidRDefault="00360379" w:rsidP="00797DED">
            <w:pPr>
              <w:pStyle w:val="Footer"/>
              <w:spacing w:before="120" w:after="120"/>
              <w:rPr>
                <w:sz w:val="20"/>
              </w:rPr>
            </w:pPr>
          </w:p>
        </w:tc>
        <w:tc>
          <w:tcPr>
            <w:tcW w:w="2835" w:type="dxa"/>
          </w:tcPr>
          <w:p w:rsidR="00360379" w:rsidRDefault="00360379" w:rsidP="00797DED">
            <w:pPr>
              <w:pStyle w:val="Footer"/>
              <w:spacing w:before="120" w:after="120"/>
              <w:rPr>
                <w:sz w:val="20"/>
              </w:rPr>
            </w:pPr>
            <w:r>
              <w:rPr>
                <w:sz w:val="20"/>
              </w:rPr>
              <w:t>Veileder:</w:t>
            </w:r>
          </w:p>
          <w:p w:rsidR="00360379" w:rsidRPr="0051693B" w:rsidRDefault="00360379" w:rsidP="00797DED">
            <w:pPr>
              <w:pStyle w:val="Footer"/>
              <w:spacing w:before="120" w:after="120"/>
              <w:rPr>
                <w:sz w:val="20"/>
              </w:rPr>
            </w:pPr>
          </w:p>
        </w:tc>
        <w:tc>
          <w:tcPr>
            <w:tcW w:w="2408" w:type="dxa"/>
            <w:tcMar>
              <w:left w:w="57" w:type="dxa"/>
              <w:right w:w="57" w:type="dxa"/>
            </w:tcMar>
          </w:tcPr>
          <w:p w:rsidR="00360379" w:rsidRPr="0051693B" w:rsidRDefault="00360379" w:rsidP="00797DED">
            <w:pPr>
              <w:pStyle w:val="Footer"/>
              <w:spacing w:before="120" w:after="120"/>
              <w:rPr>
                <w:sz w:val="20"/>
              </w:rPr>
            </w:pPr>
          </w:p>
        </w:tc>
      </w:tr>
    </w:tbl>
    <w:tbl>
      <w:tblPr>
        <w:tblW w:w="9449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3"/>
        <w:gridCol w:w="429"/>
        <w:gridCol w:w="430"/>
        <w:gridCol w:w="766"/>
        <w:gridCol w:w="3742"/>
        <w:gridCol w:w="709"/>
      </w:tblGrid>
      <w:tr w:rsidR="00914545" w:rsidRPr="00914545" w:rsidTr="0055588F">
        <w:tc>
          <w:tcPr>
            <w:tcW w:w="3373" w:type="dxa"/>
            <w:shd w:val="clear" w:color="auto" w:fill="D9D9D9"/>
            <w:tcMar>
              <w:left w:w="57" w:type="dxa"/>
              <w:right w:w="57" w:type="dxa"/>
            </w:tcMar>
          </w:tcPr>
          <w:p w:rsidR="004F4516" w:rsidRPr="00914545" w:rsidRDefault="004F4516" w:rsidP="00476B2B">
            <w:pPr>
              <w:rPr>
                <w:b/>
                <w:sz w:val="20"/>
              </w:rPr>
            </w:pPr>
            <w:r w:rsidRPr="00914545">
              <w:rPr>
                <w:b/>
                <w:bCs/>
                <w:sz w:val="20"/>
              </w:rPr>
              <w:t>HMS aspekt</w:t>
            </w:r>
          </w:p>
        </w:tc>
        <w:tc>
          <w:tcPr>
            <w:tcW w:w="429" w:type="dxa"/>
            <w:shd w:val="clear" w:color="auto" w:fill="D9D9D9"/>
            <w:tcMar>
              <w:left w:w="57" w:type="dxa"/>
              <w:right w:w="57" w:type="dxa"/>
            </w:tcMar>
          </w:tcPr>
          <w:p w:rsidR="004F4516" w:rsidRPr="00914545" w:rsidRDefault="004F4516" w:rsidP="00476B2B">
            <w:pPr>
              <w:rPr>
                <w:b/>
                <w:bCs/>
                <w:sz w:val="20"/>
              </w:rPr>
            </w:pPr>
            <w:r w:rsidRPr="00914545">
              <w:rPr>
                <w:b/>
                <w:bCs/>
                <w:sz w:val="20"/>
              </w:rPr>
              <w:t>Ja</w:t>
            </w:r>
          </w:p>
        </w:tc>
        <w:tc>
          <w:tcPr>
            <w:tcW w:w="430" w:type="dxa"/>
            <w:shd w:val="clear" w:color="auto" w:fill="D9D9D9"/>
            <w:tcMar>
              <w:left w:w="57" w:type="dxa"/>
              <w:right w:w="57" w:type="dxa"/>
            </w:tcMar>
          </w:tcPr>
          <w:p w:rsidR="004F4516" w:rsidRPr="00914545" w:rsidRDefault="004F4516" w:rsidP="00476B2B">
            <w:pPr>
              <w:rPr>
                <w:b/>
                <w:bCs/>
                <w:sz w:val="20"/>
              </w:rPr>
            </w:pPr>
            <w:r w:rsidRPr="00914545">
              <w:rPr>
                <w:b/>
                <w:bCs/>
                <w:sz w:val="20"/>
              </w:rPr>
              <w:t>Nei</w:t>
            </w:r>
          </w:p>
        </w:tc>
        <w:tc>
          <w:tcPr>
            <w:tcW w:w="766" w:type="dxa"/>
            <w:shd w:val="clear" w:color="auto" w:fill="D9D9D9"/>
            <w:tcMar>
              <w:left w:w="57" w:type="dxa"/>
              <w:right w:w="57" w:type="dxa"/>
            </w:tcMar>
          </w:tcPr>
          <w:p w:rsidR="004F4516" w:rsidRPr="00914545" w:rsidRDefault="004F4516" w:rsidP="00476B2B">
            <w:pPr>
              <w:rPr>
                <w:b/>
                <w:bCs/>
                <w:sz w:val="20"/>
              </w:rPr>
            </w:pPr>
            <w:r w:rsidRPr="00914545">
              <w:rPr>
                <w:b/>
                <w:bCs/>
                <w:sz w:val="20"/>
              </w:rPr>
              <w:t>Ikke aktuelt</w:t>
            </w:r>
          </w:p>
        </w:tc>
        <w:tc>
          <w:tcPr>
            <w:tcW w:w="3742" w:type="dxa"/>
            <w:shd w:val="clear" w:color="auto" w:fill="D9D9D9"/>
            <w:tcMar>
              <w:left w:w="57" w:type="dxa"/>
              <w:right w:w="57" w:type="dxa"/>
            </w:tcMar>
          </w:tcPr>
          <w:p w:rsidR="004F4516" w:rsidRPr="00914545" w:rsidRDefault="004F4516" w:rsidP="00476B2B">
            <w:pPr>
              <w:rPr>
                <w:b/>
                <w:bCs/>
                <w:sz w:val="20"/>
              </w:rPr>
            </w:pPr>
            <w:r w:rsidRPr="00914545">
              <w:rPr>
                <w:b/>
                <w:bCs/>
                <w:sz w:val="20"/>
              </w:rPr>
              <w:t>Kommentar</w:t>
            </w:r>
            <w:r w:rsidR="00914545" w:rsidRPr="00914545">
              <w:rPr>
                <w:b/>
                <w:bCs/>
                <w:sz w:val="20"/>
              </w:rPr>
              <w:t xml:space="preserve"> </w:t>
            </w:r>
            <w:r w:rsidRPr="00914545">
              <w:rPr>
                <w:b/>
                <w:bCs/>
                <w:sz w:val="20"/>
              </w:rPr>
              <w:t>/</w:t>
            </w:r>
            <w:r w:rsidR="00914545" w:rsidRPr="00914545">
              <w:rPr>
                <w:b/>
                <w:bCs/>
                <w:sz w:val="20"/>
              </w:rPr>
              <w:t xml:space="preserve"> </w:t>
            </w:r>
            <w:r w:rsidRPr="00914545">
              <w:rPr>
                <w:b/>
                <w:bCs/>
                <w:sz w:val="20"/>
              </w:rPr>
              <w:t>tiltak</w:t>
            </w:r>
          </w:p>
        </w:tc>
        <w:tc>
          <w:tcPr>
            <w:tcW w:w="709" w:type="dxa"/>
            <w:shd w:val="clear" w:color="auto" w:fill="D9D9D9"/>
            <w:tcMar>
              <w:left w:w="57" w:type="dxa"/>
              <w:right w:w="57" w:type="dxa"/>
            </w:tcMar>
          </w:tcPr>
          <w:p w:rsidR="004F4516" w:rsidRPr="00914545" w:rsidRDefault="004F4516" w:rsidP="00476B2B">
            <w:pPr>
              <w:rPr>
                <w:b/>
                <w:bCs/>
                <w:sz w:val="20"/>
              </w:rPr>
            </w:pPr>
            <w:r w:rsidRPr="00914545">
              <w:rPr>
                <w:b/>
                <w:bCs/>
                <w:sz w:val="20"/>
              </w:rPr>
              <w:t>Ansv</w:t>
            </w:r>
            <w:r w:rsidR="00914545">
              <w:rPr>
                <w:b/>
                <w:bCs/>
                <w:sz w:val="20"/>
              </w:rPr>
              <w:t>.</w:t>
            </w:r>
          </w:p>
        </w:tc>
      </w:tr>
      <w:tr w:rsidR="0055588F" w:rsidRPr="004F4516" w:rsidTr="0055588F">
        <w:trPr>
          <w:trHeight w:val="284"/>
        </w:trPr>
        <w:tc>
          <w:tcPr>
            <w:tcW w:w="3373" w:type="dxa"/>
            <w:shd w:val="clear" w:color="auto" w:fill="E0E0E0"/>
          </w:tcPr>
          <w:p w:rsidR="0055588F" w:rsidRPr="004F4516" w:rsidRDefault="0055588F" w:rsidP="00E973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Dokumentasjon, </w:t>
            </w:r>
            <w:r w:rsidRPr="004F4516">
              <w:rPr>
                <w:b/>
                <w:sz w:val="20"/>
              </w:rPr>
              <w:t>erfaring</w:t>
            </w:r>
            <w:r>
              <w:rPr>
                <w:b/>
                <w:sz w:val="20"/>
              </w:rPr>
              <w:t>, kompetanse</w:t>
            </w:r>
          </w:p>
        </w:tc>
        <w:tc>
          <w:tcPr>
            <w:tcW w:w="429" w:type="dxa"/>
            <w:shd w:val="clear" w:color="auto" w:fill="E0E0E0"/>
          </w:tcPr>
          <w:p w:rsidR="0055588F" w:rsidRPr="004F4516" w:rsidRDefault="0055588F" w:rsidP="00E97329">
            <w:pPr>
              <w:rPr>
                <w:b/>
                <w:sz w:val="20"/>
              </w:rPr>
            </w:pPr>
          </w:p>
        </w:tc>
        <w:tc>
          <w:tcPr>
            <w:tcW w:w="430" w:type="dxa"/>
            <w:shd w:val="clear" w:color="auto" w:fill="E0E0E0"/>
          </w:tcPr>
          <w:p w:rsidR="0055588F" w:rsidRPr="004F4516" w:rsidRDefault="0055588F" w:rsidP="00E97329">
            <w:pPr>
              <w:rPr>
                <w:b/>
                <w:sz w:val="20"/>
              </w:rPr>
            </w:pPr>
          </w:p>
        </w:tc>
        <w:tc>
          <w:tcPr>
            <w:tcW w:w="766" w:type="dxa"/>
            <w:shd w:val="clear" w:color="auto" w:fill="E0E0E0"/>
          </w:tcPr>
          <w:p w:rsidR="0055588F" w:rsidRPr="004F4516" w:rsidRDefault="0055588F" w:rsidP="00E97329">
            <w:pPr>
              <w:rPr>
                <w:b/>
                <w:sz w:val="20"/>
              </w:rPr>
            </w:pPr>
          </w:p>
        </w:tc>
        <w:tc>
          <w:tcPr>
            <w:tcW w:w="3742" w:type="dxa"/>
            <w:shd w:val="clear" w:color="auto" w:fill="E0E0E0"/>
          </w:tcPr>
          <w:p w:rsidR="0055588F" w:rsidRPr="004F4516" w:rsidRDefault="0055588F" w:rsidP="00E97329">
            <w:pPr>
              <w:rPr>
                <w:b/>
                <w:sz w:val="20"/>
              </w:rPr>
            </w:pPr>
          </w:p>
        </w:tc>
        <w:tc>
          <w:tcPr>
            <w:tcW w:w="709" w:type="dxa"/>
            <w:shd w:val="clear" w:color="auto" w:fill="E0E0E0"/>
          </w:tcPr>
          <w:p w:rsidR="0055588F" w:rsidRPr="004F4516" w:rsidRDefault="0055588F" w:rsidP="00E97329">
            <w:pPr>
              <w:rPr>
                <w:b/>
                <w:sz w:val="20"/>
              </w:rPr>
            </w:pPr>
          </w:p>
        </w:tc>
      </w:tr>
      <w:tr w:rsidR="00B90560" w:rsidTr="0055588F">
        <w:trPr>
          <w:trHeight w:val="284"/>
        </w:trPr>
        <w:tc>
          <w:tcPr>
            <w:tcW w:w="3373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Er det utført en skriftlig risikovurdering av aktivitet/ laben? Noter dato</w:t>
            </w:r>
          </w:p>
        </w:tc>
        <w:tc>
          <w:tcPr>
            <w:tcW w:w="429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Juni 2016</w:t>
            </w:r>
          </w:p>
        </w:tc>
        <w:tc>
          <w:tcPr>
            <w:tcW w:w="709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bookmarkStart w:id="0" w:name="_GoBack"/>
        <w:bookmarkEnd w:id="0"/>
      </w:tr>
      <w:tr w:rsidR="00B90560" w:rsidTr="0055588F">
        <w:trPr>
          <w:trHeight w:val="284"/>
        </w:trPr>
        <w:tc>
          <w:tcPr>
            <w:tcW w:w="3373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Lignende arbeidsoperasjon/oppgave?</w:t>
            </w:r>
          </w:p>
        </w:tc>
        <w:tc>
          <w:tcPr>
            <w:tcW w:w="429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</w:tcPr>
          <w:p w:rsidR="00B90560" w:rsidRDefault="00B90560" w:rsidP="00B90560">
            <w:pPr>
              <w:rPr>
                <w:sz w:val="20"/>
              </w:rPr>
            </w:pPr>
          </w:p>
        </w:tc>
      </w:tr>
      <w:tr w:rsidR="00B90560" w:rsidTr="0055588F">
        <w:trPr>
          <w:trHeight w:val="284"/>
        </w:trPr>
        <w:tc>
          <w:tcPr>
            <w:tcW w:w="3373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Kunnskap om erfaringer/uønskede hendelser fra tilsvarende operasjoner/oppgaver? – spør veileder</w:t>
            </w:r>
          </w:p>
        </w:tc>
        <w:tc>
          <w:tcPr>
            <w:tcW w:w="429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</w:tcPr>
          <w:p w:rsidR="00B90560" w:rsidRDefault="00B90560" w:rsidP="00B90560">
            <w:pPr>
              <w:rPr>
                <w:sz w:val="20"/>
              </w:rPr>
            </w:pPr>
          </w:p>
        </w:tc>
      </w:tr>
      <w:tr w:rsidR="00B90560" w:rsidTr="0055588F">
        <w:trPr>
          <w:trHeight w:val="284"/>
        </w:trPr>
        <w:tc>
          <w:tcPr>
            <w:tcW w:w="3373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Har du mottatt opplæring av apparatur/instrument ansvarlig? Noter dato</w:t>
            </w:r>
          </w:p>
        </w:tc>
        <w:tc>
          <w:tcPr>
            <w:tcW w:w="429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</w:tcPr>
          <w:p w:rsidR="00B90560" w:rsidRDefault="00B90560" w:rsidP="00B90560">
            <w:pPr>
              <w:rPr>
                <w:sz w:val="20"/>
              </w:rPr>
            </w:pPr>
          </w:p>
        </w:tc>
      </w:tr>
      <w:tr w:rsidR="00B90560" w:rsidRPr="006F4BA0" w:rsidTr="0055588F">
        <w:trPr>
          <w:trHeight w:val="284"/>
        </w:trPr>
        <w:tc>
          <w:tcPr>
            <w:tcW w:w="3373" w:type="dxa"/>
            <w:shd w:val="clear" w:color="auto" w:fill="E0E0E0"/>
          </w:tcPr>
          <w:p w:rsidR="00B90560" w:rsidRPr="006F4BA0" w:rsidRDefault="00B90560" w:rsidP="00B90560">
            <w:pPr>
              <w:rPr>
                <w:b/>
                <w:sz w:val="20"/>
              </w:rPr>
            </w:pPr>
            <w:r w:rsidRPr="006F4BA0">
              <w:rPr>
                <w:b/>
                <w:sz w:val="20"/>
              </w:rPr>
              <w:t>Kommunikasjon og koordinering</w:t>
            </w:r>
          </w:p>
        </w:tc>
        <w:tc>
          <w:tcPr>
            <w:tcW w:w="429" w:type="dxa"/>
            <w:shd w:val="clear" w:color="auto" w:fill="E0E0E0"/>
          </w:tcPr>
          <w:p w:rsidR="00B90560" w:rsidRPr="006F4BA0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430" w:type="dxa"/>
            <w:shd w:val="clear" w:color="auto" w:fill="E0E0E0"/>
          </w:tcPr>
          <w:p w:rsidR="00B90560" w:rsidRPr="006F4BA0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766" w:type="dxa"/>
            <w:shd w:val="clear" w:color="auto" w:fill="E0E0E0"/>
          </w:tcPr>
          <w:p w:rsidR="00B90560" w:rsidRPr="006F4BA0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3742" w:type="dxa"/>
            <w:shd w:val="clear" w:color="auto" w:fill="E0E0E0"/>
          </w:tcPr>
          <w:p w:rsidR="00B90560" w:rsidRPr="006F4BA0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709" w:type="dxa"/>
            <w:shd w:val="clear" w:color="auto" w:fill="E0E0E0"/>
          </w:tcPr>
          <w:p w:rsidR="00B90560" w:rsidRPr="006F4BA0" w:rsidRDefault="00B90560" w:rsidP="00B90560">
            <w:pPr>
              <w:rPr>
                <w:b/>
                <w:sz w:val="20"/>
              </w:rPr>
            </w:pPr>
          </w:p>
        </w:tc>
      </w:tr>
      <w:tr w:rsidR="00B90560" w:rsidTr="0055588F">
        <w:trPr>
          <w:trHeight w:val="284"/>
        </w:trPr>
        <w:tc>
          <w:tcPr>
            <w:tcW w:w="3373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Håndtering av en evnt. hendelse (alarm, evakuering)?</w:t>
            </w:r>
          </w:p>
        </w:tc>
        <w:tc>
          <w:tcPr>
            <w:tcW w:w="429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Lab-leder har ansvaret for at alle går til samlingspunkt ved en evakuering fra laboratoriet</w:t>
            </w:r>
          </w:p>
        </w:tc>
        <w:tc>
          <w:tcPr>
            <w:tcW w:w="709" w:type="dxa"/>
          </w:tcPr>
          <w:p w:rsidR="00B90560" w:rsidRDefault="00B90560" w:rsidP="00B90560">
            <w:pPr>
              <w:rPr>
                <w:sz w:val="20"/>
              </w:rPr>
            </w:pPr>
          </w:p>
        </w:tc>
      </w:tr>
      <w:tr w:rsidR="00B90560" w:rsidTr="0055588F">
        <w:trPr>
          <w:trHeight w:val="284"/>
        </w:trPr>
        <w:tc>
          <w:tcPr>
            <w:tcW w:w="3373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Krav til ytterlig veiledning/ Jobb-alene-alarm?</w:t>
            </w:r>
          </w:p>
        </w:tc>
        <w:tc>
          <w:tcPr>
            <w:tcW w:w="429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430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742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</w:tcPr>
          <w:p w:rsidR="00B90560" w:rsidRDefault="00B90560" w:rsidP="00B90560">
            <w:pPr>
              <w:rPr>
                <w:sz w:val="20"/>
              </w:rPr>
            </w:pPr>
          </w:p>
        </w:tc>
      </w:tr>
      <w:tr w:rsidR="00B90560" w:rsidRPr="00F35618" w:rsidTr="0055588F">
        <w:trPr>
          <w:trHeight w:val="284"/>
        </w:trPr>
        <w:tc>
          <w:tcPr>
            <w:tcW w:w="3373" w:type="dxa"/>
            <w:shd w:val="clear" w:color="auto" w:fill="E0E0E0"/>
          </w:tcPr>
          <w:p w:rsidR="00B90560" w:rsidRPr="00F35618" w:rsidRDefault="00B90560" w:rsidP="00B90560">
            <w:pPr>
              <w:rPr>
                <w:b/>
                <w:sz w:val="20"/>
              </w:rPr>
            </w:pPr>
            <w:r w:rsidRPr="00F35618">
              <w:rPr>
                <w:b/>
                <w:sz w:val="20"/>
              </w:rPr>
              <w:t>Arbeidsstedet</w:t>
            </w:r>
          </w:p>
        </w:tc>
        <w:tc>
          <w:tcPr>
            <w:tcW w:w="429" w:type="dxa"/>
            <w:shd w:val="clear" w:color="auto" w:fill="E0E0E0"/>
          </w:tcPr>
          <w:p w:rsidR="00B90560" w:rsidRPr="00F35618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430" w:type="dxa"/>
            <w:shd w:val="clear" w:color="auto" w:fill="E0E0E0"/>
          </w:tcPr>
          <w:p w:rsidR="00B90560" w:rsidRPr="00F35618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766" w:type="dxa"/>
            <w:shd w:val="clear" w:color="auto" w:fill="E0E0E0"/>
          </w:tcPr>
          <w:p w:rsidR="00B90560" w:rsidRPr="00F35618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3742" w:type="dxa"/>
            <w:shd w:val="clear" w:color="auto" w:fill="E0E0E0"/>
          </w:tcPr>
          <w:p w:rsidR="00B90560" w:rsidRPr="00F35618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709" w:type="dxa"/>
            <w:shd w:val="clear" w:color="auto" w:fill="E0E0E0"/>
          </w:tcPr>
          <w:p w:rsidR="00B90560" w:rsidRPr="00F35618" w:rsidRDefault="00B90560" w:rsidP="00B90560">
            <w:pPr>
              <w:rPr>
                <w:b/>
                <w:sz w:val="20"/>
              </w:rPr>
            </w:pPr>
          </w:p>
        </w:tc>
      </w:tr>
      <w:tr w:rsidR="00B90560" w:rsidTr="0055588F">
        <w:trPr>
          <w:trHeight w:val="284"/>
        </w:trPr>
        <w:tc>
          <w:tcPr>
            <w:tcW w:w="3373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Er arbeidsplassen ryddig og velordnet?</w:t>
            </w:r>
          </w:p>
        </w:tc>
        <w:tc>
          <w:tcPr>
            <w:tcW w:w="429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</w:tcPr>
          <w:p w:rsidR="00B90560" w:rsidRDefault="00B90560" w:rsidP="00B90560">
            <w:pPr>
              <w:rPr>
                <w:sz w:val="20"/>
              </w:rPr>
            </w:pPr>
          </w:p>
        </w:tc>
      </w:tr>
      <w:tr w:rsidR="00B90560" w:rsidTr="0055588F">
        <w:trPr>
          <w:trHeight w:val="284"/>
        </w:trPr>
        <w:tc>
          <w:tcPr>
            <w:tcW w:w="3373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Verneutstyr i henhold til NTNU’s Lab- og verksted håndbok?</w:t>
            </w:r>
          </w:p>
        </w:tc>
        <w:tc>
          <w:tcPr>
            <w:tcW w:w="429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</w:tcPr>
          <w:p w:rsidR="00B90560" w:rsidRDefault="00B90560" w:rsidP="00B90560">
            <w:pPr>
              <w:rPr>
                <w:sz w:val="20"/>
              </w:rPr>
            </w:pPr>
          </w:p>
        </w:tc>
      </w:tr>
      <w:tr w:rsidR="00B90560" w:rsidTr="0055588F">
        <w:trPr>
          <w:trHeight w:val="284"/>
        </w:trPr>
        <w:tc>
          <w:tcPr>
            <w:tcW w:w="3373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Belysning, ventilasjon/avtrekk?</w:t>
            </w:r>
          </w:p>
        </w:tc>
        <w:tc>
          <w:tcPr>
            <w:tcW w:w="429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</w:tcPr>
          <w:p w:rsidR="00B90560" w:rsidRDefault="00B90560" w:rsidP="00B90560">
            <w:pPr>
              <w:rPr>
                <w:sz w:val="20"/>
              </w:rPr>
            </w:pPr>
          </w:p>
        </w:tc>
      </w:tr>
      <w:tr w:rsidR="00B90560" w:rsidRPr="00547EC5" w:rsidTr="0055588F">
        <w:trPr>
          <w:trHeight w:val="284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Bruk av heis/seler/stropper?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</w:tr>
      <w:tr w:rsidR="00B90560" w:rsidRPr="0058001A" w:rsidTr="0055588F">
        <w:trPr>
          <w:trHeight w:val="284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Ioniserende stråling?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</w:tr>
      <w:tr w:rsidR="00B90560" w:rsidRPr="00F35618" w:rsidTr="0055588F">
        <w:trPr>
          <w:trHeight w:val="284"/>
        </w:trPr>
        <w:tc>
          <w:tcPr>
            <w:tcW w:w="3373" w:type="dxa"/>
            <w:shd w:val="clear" w:color="auto" w:fill="auto"/>
          </w:tcPr>
          <w:p w:rsidR="00B90560" w:rsidRPr="00F35618" w:rsidRDefault="00B90560" w:rsidP="00B90560">
            <w:pPr>
              <w:rPr>
                <w:sz w:val="20"/>
              </w:rPr>
            </w:pPr>
            <w:r w:rsidRPr="00F35618">
              <w:rPr>
                <w:sz w:val="20"/>
              </w:rPr>
              <w:t>Rømningsveier</w:t>
            </w:r>
            <w:r>
              <w:rPr>
                <w:sz w:val="20"/>
              </w:rPr>
              <w:t xml:space="preserve"> OK?</w:t>
            </w:r>
          </w:p>
        </w:tc>
        <w:tc>
          <w:tcPr>
            <w:tcW w:w="429" w:type="dxa"/>
            <w:shd w:val="clear" w:color="auto" w:fill="auto"/>
          </w:tcPr>
          <w:p w:rsidR="00B90560" w:rsidRPr="00F35618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  <w:shd w:val="clear" w:color="auto" w:fill="auto"/>
          </w:tcPr>
          <w:p w:rsidR="00B90560" w:rsidRPr="00F35618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shd w:val="clear" w:color="auto" w:fill="auto"/>
          </w:tcPr>
          <w:p w:rsidR="00B90560" w:rsidRPr="00F35618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  <w:shd w:val="clear" w:color="auto" w:fill="auto"/>
          </w:tcPr>
          <w:p w:rsidR="00B90560" w:rsidRPr="00F35618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:rsidR="00B90560" w:rsidRPr="00F35618" w:rsidRDefault="00B90560" w:rsidP="00B90560">
            <w:pPr>
              <w:rPr>
                <w:sz w:val="20"/>
              </w:rPr>
            </w:pPr>
          </w:p>
        </w:tc>
      </w:tr>
      <w:tr w:rsidR="00B90560" w:rsidRPr="00547EC5" w:rsidTr="0055588F">
        <w:trPr>
          <w:trHeight w:val="284"/>
        </w:trPr>
        <w:tc>
          <w:tcPr>
            <w:tcW w:w="3373" w:type="dxa"/>
            <w:shd w:val="clear" w:color="auto" w:fill="E6E6E6"/>
          </w:tcPr>
          <w:p w:rsidR="00B90560" w:rsidRPr="00547EC5" w:rsidRDefault="00B90560" w:rsidP="00B905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Kjemiske farer</w:t>
            </w:r>
          </w:p>
        </w:tc>
        <w:tc>
          <w:tcPr>
            <w:tcW w:w="429" w:type="dxa"/>
            <w:shd w:val="clear" w:color="auto" w:fill="E6E6E6"/>
          </w:tcPr>
          <w:p w:rsidR="00B90560" w:rsidRPr="00547EC5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430" w:type="dxa"/>
            <w:shd w:val="clear" w:color="auto" w:fill="E6E6E6"/>
          </w:tcPr>
          <w:p w:rsidR="00B90560" w:rsidRPr="00547EC5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766" w:type="dxa"/>
            <w:shd w:val="clear" w:color="auto" w:fill="E6E6E6"/>
          </w:tcPr>
          <w:p w:rsidR="00B90560" w:rsidRPr="00547EC5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3742" w:type="dxa"/>
            <w:shd w:val="clear" w:color="auto" w:fill="E6E6E6"/>
          </w:tcPr>
          <w:p w:rsidR="00B90560" w:rsidRPr="00547EC5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709" w:type="dxa"/>
            <w:shd w:val="clear" w:color="auto" w:fill="E6E6E6"/>
          </w:tcPr>
          <w:p w:rsidR="00B90560" w:rsidRPr="00547EC5" w:rsidRDefault="00B90560" w:rsidP="00B90560">
            <w:pPr>
              <w:rPr>
                <w:b/>
                <w:sz w:val="20"/>
              </w:rPr>
            </w:pPr>
          </w:p>
        </w:tc>
      </w:tr>
      <w:tr w:rsidR="00B90560" w:rsidRPr="00547EC5" w:rsidTr="0055588F">
        <w:trPr>
          <w:trHeight w:val="284"/>
        </w:trPr>
        <w:tc>
          <w:tcPr>
            <w:tcW w:w="3373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Bruk av helseskadelige/giftige/etsende kjemikalier/gasser?</w:t>
            </w:r>
          </w:p>
        </w:tc>
        <w:tc>
          <w:tcPr>
            <w:tcW w:w="429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</w:tr>
      <w:tr w:rsidR="00B90560" w:rsidRPr="0058001A" w:rsidTr="0055588F">
        <w:trPr>
          <w:trHeight w:val="284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Bruk av brannfarlige eller eksplosjonsfarlige kjemikalier/ gasser?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</w:tr>
      <w:tr w:rsidR="00B90560" w:rsidRPr="0058001A" w:rsidTr="0055588F">
        <w:trPr>
          <w:trHeight w:val="284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Pr="0055588F" w:rsidRDefault="00B90560" w:rsidP="00B90560">
            <w:pPr>
              <w:rPr>
                <w:sz w:val="20"/>
                <w:lang w:val="nn-NO"/>
              </w:rPr>
            </w:pPr>
            <w:r w:rsidRPr="0055588F">
              <w:rPr>
                <w:sz w:val="20"/>
                <w:lang w:val="nn-NO"/>
              </w:rPr>
              <w:t>Er substitusjon av kjemikaliet vurdert?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</w:tr>
      <w:tr w:rsidR="00B90560" w:rsidRPr="0058001A" w:rsidTr="0055588F">
        <w:trPr>
          <w:trHeight w:val="284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Kjemikaliet/ gass registrert i EcoOnline?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</w:tr>
      <w:tr w:rsidR="00B90560" w:rsidRPr="0058001A" w:rsidTr="0055588F">
        <w:trPr>
          <w:trHeight w:val="284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Biologisk materiale?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560" w:rsidRDefault="00B90560" w:rsidP="00B90560">
            <w:pPr>
              <w:rPr>
                <w:sz w:val="20"/>
              </w:rPr>
            </w:pPr>
          </w:p>
        </w:tc>
      </w:tr>
      <w:tr w:rsidR="00B90560" w:rsidRPr="00547EC5" w:rsidTr="0055588F">
        <w:trPr>
          <w:trHeight w:val="284"/>
        </w:trPr>
        <w:tc>
          <w:tcPr>
            <w:tcW w:w="3373" w:type="dxa"/>
            <w:shd w:val="clear" w:color="auto" w:fill="auto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Støv/asbest?</w:t>
            </w:r>
          </w:p>
        </w:tc>
        <w:tc>
          <w:tcPr>
            <w:tcW w:w="429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430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742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</w:tr>
      <w:tr w:rsidR="00B90560" w:rsidRPr="00547EC5" w:rsidTr="0055588F">
        <w:trPr>
          <w:trHeight w:val="284"/>
        </w:trPr>
        <w:tc>
          <w:tcPr>
            <w:tcW w:w="3373" w:type="dxa"/>
            <w:shd w:val="clear" w:color="auto" w:fill="E0E0E0"/>
          </w:tcPr>
          <w:p w:rsidR="00B90560" w:rsidRPr="00476B2B" w:rsidRDefault="00B90560" w:rsidP="00B90560">
            <w:pPr>
              <w:rPr>
                <w:b/>
                <w:sz w:val="20"/>
              </w:rPr>
            </w:pPr>
            <w:r w:rsidRPr="00476B2B">
              <w:rPr>
                <w:b/>
                <w:sz w:val="20"/>
              </w:rPr>
              <w:t>Mekaniske farer</w:t>
            </w:r>
          </w:p>
        </w:tc>
        <w:tc>
          <w:tcPr>
            <w:tcW w:w="429" w:type="dxa"/>
            <w:shd w:val="clear" w:color="auto" w:fill="E0E0E0"/>
          </w:tcPr>
          <w:p w:rsidR="00B90560" w:rsidRPr="00476B2B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430" w:type="dxa"/>
            <w:shd w:val="clear" w:color="auto" w:fill="E0E0E0"/>
          </w:tcPr>
          <w:p w:rsidR="00B90560" w:rsidRPr="00476B2B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766" w:type="dxa"/>
            <w:shd w:val="clear" w:color="auto" w:fill="E0E0E0"/>
          </w:tcPr>
          <w:p w:rsidR="00B90560" w:rsidRPr="00476B2B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3742" w:type="dxa"/>
            <w:shd w:val="clear" w:color="auto" w:fill="E0E0E0"/>
          </w:tcPr>
          <w:p w:rsidR="00B90560" w:rsidRPr="00476B2B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709" w:type="dxa"/>
            <w:shd w:val="clear" w:color="auto" w:fill="E0E0E0"/>
          </w:tcPr>
          <w:p w:rsidR="00B90560" w:rsidRPr="00476B2B" w:rsidRDefault="00B90560" w:rsidP="00B90560">
            <w:pPr>
              <w:rPr>
                <w:b/>
                <w:sz w:val="20"/>
              </w:rPr>
            </w:pPr>
          </w:p>
        </w:tc>
      </w:tr>
      <w:tr w:rsidR="00B90560" w:rsidRPr="00547EC5" w:rsidTr="0055588F">
        <w:trPr>
          <w:trHeight w:val="284"/>
        </w:trPr>
        <w:tc>
          <w:tcPr>
            <w:tcW w:w="3373" w:type="dxa"/>
            <w:shd w:val="clear" w:color="auto" w:fill="auto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Stabilitet/styrke/spenning?</w:t>
            </w:r>
          </w:p>
        </w:tc>
        <w:tc>
          <w:tcPr>
            <w:tcW w:w="429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430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742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</w:tr>
      <w:tr w:rsidR="00B90560" w:rsidRPr="00547EC5" w:rsidTr="0055588F">
        <w:trPr>
          <w:trHeight w:val="284"/>
        </w:trPr>
        <w:tc>
          <w:tcPr>
            <w:tcW w:w="3373" w:type="dxa"/>
            <w:shd w:val="clear" w:color="auto" w:fill="auto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Klem/kutt/slag?</w:t>
            </w:r>
          </w:p>
        </w:tc>
        <w:tc>
          <w:tcPr>
            <w:tcW w:w="429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</w:tr>
      <w:tr w:rsidR="00B90560" w:rsidRPr="00547EC5" w:rsidTr="0055588F">
        <w:trPr>
          <w:trHeight w:val="284"/>
        </w:trPr>
        <w:tc>
          <w:tcPr>
            <w:tcW w:w="3373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Støy/trykk/temperatur?</w:t>
            </w:r>
          </w:p>
        </w:tc>
        <w:tc>
          <w:tcPr>
            <w:tcW w:w="429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</w:tr>
      <w:tr w:rsidR="00B90560" w:rsidRPr="0051693B" w:rsidTr="0055588F">
        <w:trPr>
          <w:trHeight w:val="284"/>
        </w:trPr>
        <w:tc>
          <w:tcPr>
            <w:tcW w:w="3373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  <w:r w:rsidRPr="0051693B">
              <w:rPr>
                <w:sz w:val="20"/>
              </w:rPr>
              <w:t>Behov for spesialverktøy?</w:t>
            </w:r>
          </w:p>
        </w:tc>
        <w:tc>
          <w:tcPr>
            <w:tcW w:w="429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  <w:tc>
          <w:tcPr>
            <w:tcW w:w="430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742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</w:tr>
      <w:tr w:rsidR="00B90560" w:rsidRPr="00476B2B" w:rsidTr="0055588F">
        <w:trPr>
          <w:trHeight w:val="284"/>
        </w:trPr>
        <w:tc>
          <w:tcPr>
            <w:tcW w:w="3373" w:type="dxa"/>
            <w:shd w:val="clear" w:color="auto" w:fill="E0E0E0"/>
          </w:tcPr>
          <w:p w:rsidR="00B90560" w:rsidRPr="00476B2B" w:rsidRDefault="00B90560" w:rsidP="00B90560">
            <w:pPr>
              <w:rPr>
                <w:b/>
                <w:sz w:val="20"/>
              </w:rPr>
            </w:pPr>
            <w:r w:rsidRPr="00476B2B">
              <w:rPr>
                <w:b/>
                <w:sz w:val="20"/>
              </w:rPr>
              <w:t>Elektriske farer</w:t>
            </w:r>
          </w:p>
        </w:tc>
        <w:tc>
          <w:tcPr>
            <w:tcW w:w="429" w:type="dxa"/>
            <w:shd w:val="clear" w:color="auto" w:fill="E0E0E0"/>
          </w:tcPr>
          <w:p w:rsidR="00B90560" w:rsidRPr="00476B2B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430" w:type="dxa"/>
            <w:shd w:val="clear" w:color="auto" w:fill="E0E0E0"/>
          </w:tcPr>
          <w:p w:rsidR="00B90560" w:rsidRPr="00476B2B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766" w:type="dxa"/>
            <w:shd w:val="clear" w:color="auto" w:fill="E0E0E0"/>
          </w:tcPr>
          <w:p w:rsidR="00B90560" w:rsidRPr="00476B2B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3742" w:type="dxa"/>
            <w:shd w:val="clear" w:color="auto" w:fill="E0E0E0"/>
          </w:tcPr>
          <w:p w:rsidR="00B90560" w:rsidRPr="00476B2B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709" w:type="dxa"/>
            <w:shd w:val="clear" w:color="auto" w:fill="E0E0E0"/>
          </w:tcPr>
          <w:p w:rsidR="00B90560" w:rsidRPr="00476B2B" w:rsidRDefault="00B90560" w:rsidP="00B90560">
            <w:pPr>
              <w:rPr>
                <w:b/>
                <w:sz w:val="20"/>
              </w:rPr>
            </w:pPr>
          </w:p>
        </w:tc>
      </w:tr>
      <w:tr w:rsidR="00B90560" w:rsidRPr="00547EC5" w:rsidTr="0055588F">
        <w:trPr>
          <w:trHeight w:val="284"/>
        </w:trPr>
        <w:tc>
          <w:tcPr>
            <w:tcW w:w="3373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Strøm/spenning/over 1000V?</w:t>
            </w:r>
          </w:p>
        </w:tc>
        <w:tc>
          <w:tcPr>
            <w:tcW w:w="429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430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742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:rsidR="00B90560" w:rsidRPr="00547EC5" w:rsidRDefault="00B90560" w:rsidP="00B90560">
            <w:pPr>
              <w:rPr>
                <w:sz w:val="20"/>
              </w:rPr>
            </w:pPr>
          </w:p>
        </w:tc>
      </w:tr>
      <w:tr w:rsidR="00B90560" w:rsidRPr="0051693B" w:rsidTr="0055588F">
        <w:trPr>
          <w:trHeight w:val="284"/>
        </w:trPr>
        <w:tc>
          <w:tcPr>
            <w:tcW w:w="3373" w:type="dxa"/>
            <w:shd w:val="clear" w:color="auto" w:fill="auto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Støt/krypstrøm?</w:t>
            </w:r>
          </w:p>
        </w:tc>
        <w:tc>
          <w:tcPr>
            <w:tcW w:w="429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  <w:tc>
          <w:tcPr>
            <w:tcW w:w="430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742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</w:tr>
      <w:tr w:rsidR="00B90560" w:rsidRPr="0051693B" w:rsidTr="0055588F">
        <w:trPr>
          <w:trHeight w:val="284"/>
        </w:trPr>
        <w:tc>
          <w:tcPr>
            <w:tcW w:w="3373" w:type="dxa"/>
            <w:shd w:val="clear" w:color="auto" w:fill="auto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Tap av strømtilførsel?</w:t>
            </w:r>
          </w:p>
        </w:tc>
        <w:tc>
          <w:tcPr>
            <w:tcW w:w="429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  <w:tc>
          <w:tcPr>
            <w:tcW w:w="430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66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</w:tr>
      <w:tr w:rsidR="00B90560" w:rsidRPr="00F35618" w:rsidTr="0055588F">
        <w:trPr>
          <w:trHeight w:val="284"/>
        </w:trPr>
        <w:tc>
          <w:tcPr>
            <w:tcW w:w="3373" w:type="dxa"/>
            <w:shd w:val="clear" w:color="auto" w:fill="E0E0E0"/>
          </w:tcPr>
          <w:p w:rsidR="00B90560" w:rsidRPr="00F35618" w:rsidRDefault="00B90560" w:rsidP="00B905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Området</w:t>
            </w:r>
          </w:p>
        </w:tc>
        <w:tc>
          <w:tcPr>
            <w:tcW w:w="429" w:type="dxa"/>
            <w:shd w:val="clear" w:color="auto" w:fill="E0E0E0"/>
          </w:tcPr>
          <w:p w:rsidR="00B90560" w:rsidRPr="00F35618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430" w:type="dxa"/>
            <w:shd w:val="clear" w:color="auto" w:fill="E0E0E0"/>
          </w:tcPr>
          <w:p w:rsidR="00B90560" w:rsidRPr="00F35618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766" w:type="dxa"/>
            <w:shd w:val="clear" w:color="auto" w:fill="E0E0E0"/>
          </w:tcPr>
          <w:p w:rsidR="00B90560" w:rsidRPr="00F35618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3742" w:type="dxa"/>
            <w:shd w:val="clear" w:color="auto" w:fill="E0E0E0"/>
          </w:tcPr>
          <w:p w:rsidR="00B90560" w:rsidRPr="00F35618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709" w:type="dxa"/>
            <w:shd w:val="clear" w:color="auto" w:fill="E0E0E0"/>
          </w:tcPr>
          <w:p w:rsidR="00B90560" w:rsidRPr="00F35618" w:rsidRDefault="00B90560" w:rsidP="00B90560">
            <w:pPr>
              <w:rPr>
                <w:b/>
                <w:sz w:val="20"/>
              </w:rPr>
            </w:pPr>
          </w:p>
        </w:tc>
      </w:tr>
      <w:tr w:rsidR="00B90560" w:rsidRPr="00F35618" w:rsidTr="0055588F">
        <w:trPr>
          <w:trHeight w:val="284"/>
        </w:trPr>
        <w:tc>
          <w:tcPr>
            <w:tcW w:w="3373" w:type="dxa"/>
            <w:shd w:val="clear" w:color="auto" w:fill="auto"/>
          </w:tcPr>
          <w:p w:rsidR="00B90560" w:rsidRPr="00F35618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Behov for befaring?</w:t>
            </w:r>
          </w:p>
        </w:tc>
        <w:tc>
          <w:tcPr>
            <w:tcW w:w="429" w:type="dxa"/>
            <w:shd w:val="clear" w:color="auto" w:fill="auto"/>
          </w:tcPr>
          <w:p w:rsidR="00B90560" w:rsidRPr="00F35618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  <w:shd w:val="clear" w:color="auto" w:fill="auto"/>
          </w:tcPr>
          <w:p w:rsidR="00B90560" w:rsidRPr="00F35618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shd w:val="clear" w:color="auto" w:fill="auto"/>
          </w:tcPr>
          <w:p w:rsidR="00B90560" w:rsidRPr="00F35618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  <w:shd w:val="clear" w:color="auto" w:fill="auto"/>
          </w:tcPr>
          <w:p w:rsidR="00B90560" w:rsidRPr="00F35618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:rsidR="00B90560" w:rsidRPr="00F35618" w:rsidRDefault="00B90560" w:rsidP="00B90560">
            <w:pPr>
              <w:rPr>
                <w:sz w:val="20"/>
              </w:rPr>
            </w:pPr>
          </w:p>
        </w:tc>
      </w:tr>
      <w:tr w:rsidR="00B90560" w:rsidTr="0055588F">
        <w:trPr>
          <w:trHeight w:val="284"/>
        </w:trPr>
        <w:tc>
          <w:tcPr>
            <w:tcW w:w="3373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Merking/skilting/avsperring?</w:t>
            </w:r>
          </w:p>
        </w:tc>
        <w:tc>
          <w:tcPr>
            <w:tcW w:w="429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B90560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</w:tcPr>
          <w:p w:rsidR="00B90560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Ved uhell</w:t>
            </w:r>
          </w:p>
        </w:tc>
        <w:tc>
          <w:tcPr>
            <w:tcW w:w="709" w:type="dxa"/>
          </w:tcPr>
          <w:p w:rsidR="00B90560" w:rsidRDefault="00B90560" w:rsidP="00B90560">
            <w:pPr>
              <w:rPr>
                <w:sz w:val="20"/>
              </w:rPr>
            </w:pPr>
          </w:p>
        </w:tc>
      </w:tr>
      <w:tr w:rsidR="00B90560" w:rsidRPr="0051693B" w:rsidTr="0055588F">
        <w:trPr>
          <w:trHeight w:val="284"/>
        </w:trPr>
        <w:tc>
          <w:tcPr>
            <w:tcW w:w="3373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Miljømessige konsekvenser?</w:t>
            </w:r>
          </w:p>
        </w:tc>
        <w:tc>
          <w:tcPr>
            <w:tcW w:w="429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0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  <w:tc>
          <w:tcPr>
            <w:tcW w:w="766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  <w:tc>
          <w:tcPr>
            <w:tcW w:w="3742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  <w:tc>
          <w:tcPr>
            <w:tcW w:w="709" w:type="dxa"/>
            <w:shd w:val="clear" w:color="auto" w:fill="auto"/>
          </w:tcPr>
          <w:p w:rsidR="00B90560" w:rsidRPr="0051693B" w:rsidRDefault="00B90560" w:rsidP="00B90560">
            <w:pPr>
              <w:rPr>
                <w:sz w:val="20"/>
              </w:rPr>
            </w:pPr>
          </w:p>
        </w:tc>
      </w:tr>
      <w:tr w:rsidR="00B90560" w:rsidRPr="0058001A" w:rsidTr="0055588F">
        <w:trPr>
          <w:trHeight w:val="284"/>
        </w:trPr>
        <w:tc>
          <w:tcPr>
            <w:tcW w:w="3373" w:type="dxa"/>
            <w:shd w:val="clear" w:color="auto" w:fill="E0E0E0"/>
          </w:tcPr>
          <w:p w:rsidR="00B90560" w:rsidRPr="0058001A" w:rsidRDefault="00B90560" w:rsidP="00B905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Annet</w:t>
            </w:r>
          </w:p>
        </w:tc>
        <w:tc>
          <w:tcPr>
            <w:tcW w:w="429" w:type="dxa"/>
            <w:shd w:val="clear" w:color="auto" w:fill="E0E0E0"/>
          </w:tcPr>
          <w:p w:rsidR="00B90560" w:rsidRPr="0058001A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430" w:type="dxa"/>
            <w:shd w:val="clear" w:color="auto" w:fill="E0E0E0"/>
          </w:tcPr>
          <w:p w:rsidR="00B90560" w:rsidRPr="0058001A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766" w:type="dxa"/>
            <w:shd w:val="clear" w:color="auto" w:fill="E0E0E0"/>
          </w:tcPr>
          <w:p w:rsidR="00B90560" w:rsidRPr="0058001A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3742" w:type="dxa"/>
            <w:shd w:val="clear" w:color="auto" w:fill="E0E0E0"/>
          </w:tcPr>
          <w:p w:rsidR="00B90560" w:rsidRPr="0058001A" w:rsidRDefault="00B90560" w:rsidP="00B90560">
            <w:pPr>
              <w:rPr>
                <w:b/>
                <w:sz w:val="20"/>
              </w:rPr>
            </w:pPr>
          </w:p>
        </w:tc>
        <w:tc>
          <w:tcPr>
            <w:tcW w:w="709" w:type="dxa"/>
            <w:shd w:val="clear" w:color="auto" w:fill="E0E0E0"/>
          </w:tcPr>
          <w:p w:rsidR="00B90560" w:rsidRPr="0058001A" w:rsidRDefault="00B90560" w:rsidP="00B90560">
            <w:pPr>
              <w:rPr>
                <w:b/>
                <w:sz w:val="20"/>
              </w:rPr>
            </w:pPr>
          </w:p>
        </w:tc>
      </w:tr>
    </w:tbl>
    <w:p w:rsidR="0055588F" w:rsidRDefault="0055588F" w:rsidP="0055588F"/>
    <w:p w:rsidR="00C50130" w:rsidRDefault="00C50130" w:rsidP="00C50130"/>
    <w:sectPr w:rsidR="00C50130" w:rsidSect="00C34C6E">
      <w:headerReference w:type="default" r:id="rId9"/>
      <w:type w:val="continuous"/>
      <w:pgSz w:w="11907" w:h="16840" w:code="9"/>
      <w:pgMar w:top="1985" w:right="851" w:bottom="567" w:left="1588" w:header="340" w:footer="680" w:gutter="0"/>
      <w:cols w:sep="1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278" w:rsidRDefault="003C3278">
      <w:r>
        <w:separator/>
      </w:r>
    </w:p>
  </w:endnote>
  <w:endnote w:type="continuationSeparator" w:id="0">
    <w:p w:rsidR="003C3278" w:rsidRDefault="003C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278" w:rsidRDefault="003C3278">
      <w:r>
        <w:separator/>
      </w:r>
    </w:p>
  </w:footnote>
  <w:footnote w:type="continuationSeparator" w:id="0">
    <w:p w:rsidR="003C3278" w:rsidRDefault="003C3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93"/>
      <w:gridCol w:w="3402"/>
      <w:gridCol w:w="1134"/>
      <w:gridCol w:w="1134"/>
      <w:gridCol w:w="1275"/>
      <w:gridCol w:w="1134"/>
    </w:tblGrid>
    <w:tr w:rsidR="00180F8A" w:rsidTr="00B32426">
      <w:trPr>
        <w:cantSplit/>
        <w:trHeight w:val="225"/>
      </w:trPr>
      <w:tc>
        <w:tcPr>
          <w:tcW w:w="993" w:type="dxa"/>
          <w:vAlign w:val="center"/>
        </w:tcPr>
        <w:p w:rsidR="00180F8A" w:rsidRDefault="00180F8A" w:rsidP="00B32426">
          <w:pPr>
            <w:pStyle w:val="Header"/>
            <w:jc w:val="center"/>
          </w:pPr>
          <w:r>
            <w:t>NTNU</w:t>
          </w:r>
        </w:p>
      </w:tc>
      <w:tc>
        <w:tcPr>
          <w:tcW w:w="3402" w:type="dxa"/>
          <w:vMerge w:val="restart"/>
          <w:vAlign w:val="center"/>
        </w:tcPr>
        <w:p w:rsidR="00180F8A" w:rsidRDefault="00180F8A" w:rsidP="00B32426">
          <w:pPr>
            <w:pStyle w:val="Header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>Sikker jobb-analyse (SJA)</w:t>
          </w:r>
        </w:p>
        <w:p w:rsidR="00065CBE" w:rsidRPr="0079558B" w:rsidRDefault="00065CBE" w:rsidP="00B32426">
          <w:pPr>
            <w:pStyle w:val="Header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>- generell</w:t>
          </w:r>
        </w:p>
      </w:tc>
      <w:tc>
        <w:tcPr>
          <w:tcW w:w="1134" w:type="dxa"/>
          <w:vAlign w:val="center"/>
        </w:tcPr>
        <w:p w:rsidR="00180F8A" w:rsidRPr="0079558B" w:rsidRDefault="00180F8A" w:rsidP="00B32426">
          <w:pPr>
            <w:pStyle w:val="Header"/>
            <w:rPr>
              <w:rFonts w:ascii="Arial" w:hAnsi="Arial" w:cs="Arial"/>
              <w:sz w:val="16"/>
            </w:rPr>
          </w:pPr>
          <w:r w:rsidRPr="0079558B">
            <w:rPr>
              <w:rFonts w:ascii="Arial" w:hAnsi="Arial" w:cs="Arial"/>
              <w:sz w:val="16"/>
            </w:rPr>
            <w:t>utarbeidet av</w:t>
          </w:r>
        </w:p>
      </w:tc>
      <w:tc>
        <w:tcPr>
          <w:tcW w:w="1134" w:type="dxa"/>
          <w:vAlign w:val="center"/>
        </w:tcPr>
        <w:p w:rsidR="00180F8A" w:rsidRPr="0079558B" w:rsidRDefault="00180F8A" w:rsidP="00B32426">
          <w:pPr>
            <w:pStyle w:val="Header"/>
            <w:rPr>
              <w:rFonts w:ascii="Arial" w:hAnsi="Arial" w:cs="Arial"/>
              <w:sz w:val="16"/>
            </w:rPr>
          </w:pPr>
          <w:r w:rsidRPr="0079558B">
            <w:rPr>
              <w:rFonts w:ascii="Arial" w:hAnsi="Arial" w:cs="Arial"/>
              <w:sz w:val="16"/>
            </w:rPr>
            <w:t>Nummer</w:t>
          </w:r>
        </w:p>
      </w:tc>
      <w:tc>
        <w:tcPr>
          <w:tcW w:w="1275" w:type="dxa"/>
          <w:vAlign w:val="center"/>
        </w:tcPr>
        <w:p w:rsidR="00180F8A" w:rsidRPr="0079558B" w:rsidRDefault="00180F8A" w:rsidP="00B32426">
          <w:pPr>
            <w:pStyle w:val="Head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D</w:t>
          </w:r>
          <w:r w:rsidRPr="0079558B">
            <w:rPr>
              <w:rFonts w:ascii="Arial" w:hAnsi="Arial" w:cs="Arial"/>
              <w:sz w:val="16"/>
            </w:rPr>
            <w:t>ato</w:t>
          </w:r>
        </w:p>
      </w:tc>
      <w:tc>
        <w:tcPr>
          <w:tcW w:w="1134" w:type="dxa"/>
          <w:vMerge w:val="restart"/>
          <w:vAlign w:val="center"/>
        </w:tcPr>
        <w:p w:rsidR="00180F8A" w:rsidRDefault="00180F8A" w:rsidP="00B32426">
          <w:pPr>
            <w:pStyle w:val="Header"/>
            <w:jc w:val="center"/>
          </w:pPr>
          <w:r>
            <w:object w:dxaOrig="331" w:dyaOrig="7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6.5pt;height:36pt" o:ole="" fillcolor="window">
                <v:imagedata r:id="rId1" o:title=""/>
              </v:shape>
              <o:OLEObject Type="Embed" ProgID="Word.Picture.8" ShapeID="_x0000_i1026" DrawAspect="Content" ObjectID="_1532864446" r:id="rId2"/>
            </w:object>
          </w:r>
        </w:p>
      </w:tc>
    </w:tr>
    <w:tr w:rsidR="00180F8A" w:rsidTr="00B32426">
      <w:trPr>
        <w:cantSplit/>
        <w:trHeight w:val="225"/>
      </w:trPr>
      <w:tc>
        <w:tcPr>
          <w:tcW w:w="993" w:type="dxa"/>
          <w:vMerge w:val="restart"/>
          <w:vAlign w:val="center"/>
        </w:tcPr>
        <w:p w:rsidR="00180F8A" w:rsidRDefault="00180F8A" w:rsidP="00B32426">
          <w:pPr>
            <w:pStyle w:val="Header"/>
            <w:jc w:val="center"/>
          </w:pPr>
          <w:r>
            <w:object w:dxaOrig="586" w:dyaOrig="586">
              <v:shape id="_x0000_i1027" type="#_x0000_t75" style="width:20.25pt;height:20.25pt" fillcolor="window">
                <v:imagedata r:id="rId3" o:title=""/>
              </v:shape>
              <o:OLEObject Type="Embed" ProgID="Word.Picture.8" ShapeID="_x0000_i1027" DrawAspect="Content" ObjectID="_1532864447" r:id="rId4"/>
            </w:object>
          </w:r>
        </w:p>
      </w:tc>
      <w:tc>
        <w:tcPr>
          <w:tcW w:w="3402" w:type="dxa"/>
          <w:vMerge/>
        </w:tcPr>
        <w:p w:rsidR="00180F8A" w:rsidRDefault="00180F8A" w:rsidP="00B32426">
          <w:pPr>
            <w:pStyle w:val="Header"/>
          </w:pPr>
        </w:p>
      </w:tc>
      <w:tc>
        <w:tcPr>
          <w:tcW w:w="1134" w:type="dxa"/>
          <w:vAlign w:val="center"/>
        </w:tcPr>
        <w:p w:rsidR="00180F8A" w:rsidRPr="0079558B" w:rsidRDefault="00180F8A" w:rsidP="00B32426">
          <w:pPr>
            <w:pStyle w:val="Header"/>
            <w:rPr>
              <w:rFonts w:ascii="Arial" w:hAnsi="Arial" w:cs="Arial"/>
              <w:sz w:val="16"/>
            </w:rPr>
          </w:pPr>
          <w:r w:rsidRPr="0079558B">
            <w:rPr>
              <w:rFonts w:ascii="Arial" w:hAnsi="Arial" w:cs="Arial"/>
              <w:sz w:val="16"/>
            </w:rPr>
            <w:t>HMS-</w:t>
          </w:r>
          <w:r>
            <w:rPr>
              <w:rFonts w:ascii="Arial" w:hAnsi="Arial" w:cs="Arial"/>
              <w:sz w:val="16"/>
            </w:rPr>
            <w:t>avd.</w:t>
          </w:r>
        </w:p>
      </w:tc>
      <w:tc>
        <w:tcPr>
          <w:tcW w:w="1134" w:type="dxa"/>
          <w:vAlign w:val="center"/>
        </w:tcPr>
        <w:p w:rsidR="00180F8A" w:rsidRPr="0079558B" w:rsidRDefault="00180F8A" w:rsidP="00B32426">
          <w:pPr>
            <w:pStyle w:val="Head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HMSRV2606</w:t>
          </w:r>
        </w:p>
      </w:tc>
      <w:tc>
        <w:tcPr>
          <w:tcW w:w="1275" w:type="dxa"/>
          <w:vAlign w:val="center"/>
        </w:tcPr>
        <w:p w:rsidR="00180F8A" w:rsidRPr="0079558B" w:rsidRDefault="00AB7F42" w:rsidP="00B32426">
          <w:pPr>
            <w:pStyle w:val="Head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29</w:t>
          </w:r>
          <w:r w:rsidR="00180F8A">
            <w:rPr>
              <w:rFonts w:ascii="Arial" w:hAnsi="Arial" w:cs="Arial"/>
              <w:sz w:val="16"/>
            </w:rPr>
            <w:t>.03.11</w:t>
          </w:r>
        </w:p>
      </w:tc>
      <w:tc>
        <w:tcPr>
          <w:tcW w:w="1134" w:type="dxa"/>
          <w:vMerge/>
        </w:tcPr>
        <w:p w:rsidR="00180F8A" w:rsidRDefault="00180F8A" w:rsidP="00B32426">
          <w:pPr>
            <w:pStyle w:val="Header"/>
          </w:pPr>
        </w:p>
      </w:tc>
    </w:tr>
    <w:tr w:rsidR="00180F8A" w:rsidTr="00B32426">
      <w:trPr>
        <w:cantSplit/>
        <w:trHeight w:val="225"/>
      </w:trPr>
      <w:tc>
        <w:tcPr>
          <w:tcW w:w="993" w:type="dxa"/>
          <w:vMerge/>
        </w:tcPr>
        <w:p w:rsidR="00180F8A" w:rsidRDefault="00180F8A" w:rsidP="00B32426">
          <w:pPr>
            <w:pStyle w:val="Header"/>
          </w:pPr>
        </w:p>
      </w:tc>
      <w:tc>
        <w:tcPr>
          <w:tcW w:w="3402" w:type="dxa"/>
          <w:vMerge/>
        </w:tcPr>
        <w:p w:rsidR="00180F8A" w:rsidRDefault="00180F8A" w:rsidP="00B32426">
          <w:pPr>
            <w:pStyle w:val="Header"/>
          </w:pPr>
        </w:p>
      </w:tc>
      <w:tc>
        <w:tcPr>
          <w:tcW w:w="1134" w:type="dxa"/>
          <w:vAlign w:val="center"/>
        </w:tcPr>
        <w:p w:rsidR="00180F8A" w:rsidRPr="0079558B" w:rsidRDefault="00180F8A" w:rsidP="00B32426">
          <w:pPr>
            <w:pStyle w:val="Header"/>
            <w:rPr>
              <w:rFonts w:ascii="Arial" w:hAnsi="Arial" w:cs="Arial"/>
              <w:sz w:val="16"/>
            </w:rPr>
          </w:pPr>
          <w:r w:rsidRPr="0079558B">
            <w:rPr>
              <w:rFonts w:ascii="Arial" w:hAnsi="Arial" w:cs="Arial"/>
              <w:sz w:val="16"/>
            </w:rPr>
            <w:t>Godkjent av</w:t>
          </w:r>
        </w:p>
      </w:tc>
      <w:tc>
        <w:tcPr>
          <w:tcW w:w="1134" w:type="dxa"/>
          <w:vAlign w:val="center"/>
        </w:tcPr>
        <w:p w:rsidR="00180F8A" w:rsidRPr="0079558B" w:rsidRDefault="00180F8A" w:rsidP="00B32426">
          <w:pPr>
            <w:pStyle w:val="Header"/>
            <w:rPr>
              <w:rFonts w:ascii="Arial" w:hAnsi="Arial" w:cs="Arial"/>
              <w:sz w:val="16"/>
            </w:rPr>
          </w:pPr>
          <w:r w:rsidRPr="0079558B">
            <w:rPr>
              <w:rFonts w:ascii="Arial" w:hAnsi="Arial" w:cs="Arial"/>
              <w:sz w:val="16"/>
            </w:rPr>
            <w:t>side</w:t>
          </w:r>
        </w:p>
      </w:tc>
      <w:tc>
        <w:tcPr>
          <w:tcW w:w="1275" w:type="dxa"/>
          <w:vAlign w:val="center"/>
        </w:tcPr>
        <w:p w:rsidR="00180F8A" w:rsidRPr="0079558B" w:rsidRDefault="00180F8A" w:rsidP="00B32426">
          <w:pPr>
            <w:pStyle w:val="Head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E</w:t>
          </w:r>
          <w:r w:rsidRPr="0079558B">
            <w:rPr>
              <w:rFonts w:ascii="Arial" w:hAnsi="Arial" w:cs="Arial"/>
              <w:sz w:val="16"/>
            </w:rPr>
            <w:t>rstatter</w:t>
          </w:r>
        </w:p>
      </w:tc>
      <w:tc>
        <w:tcPr>
          <w:tcW w:w="1134" w:type="dxa"/>
          <w:vMerge/>
        </w:tcPr>
        <w:p w:rsidR="00180F8A" w:rsidRDefault="00180F8A" w:rsidP="00B32426">
          <w:pPr>
            <w:pStyle w:val="Header"/>
          </w:pPr>
        </w:p>
      </w:tc>
    </w:tr>
    <w:tr w:rsidR="00180F8A" w:rsidTr="00B32426">
      <w:trPr>
        <w:cantSplit/>
        <w:trHeight w:val="225"/>
      </w:trPr>
      <w:tc>
        <w:tcPr>
          <w:tcW w:w="993" w:type="dxa"/>
          <w:vAlign w:val="center"/>
        </w:tcPr>
        <w:p w:rsidR="00180F8A" w:rsidRDefault="00180F8A" w:rsidP="00B32426">
          <w:pPr>
            <w:pStyle w:val="Header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HMS</w:t>
          </w:r>
        </w:p>
      </w:tc>
      <w:tc>
        <w:tcPr>
          <w:tcW w:w="3402" w:type="dxa"/>
          <w:vMerge/>
        </w:tcPr>
        <w:p w:rsidR="00180F8A" w:rsidRDefault="00180F8A" w:rsidP="00B32426">
          <w:pPr>
            <w:pStyle w:val="Header"/>
          </w:pPr>
        </w:p>
      </w:tc>
      <w:tc>
        <w:tcPr>
          <w:tcW w:w="1134" w:type="dxa"/>
        </w:tcPr>
        <w:p w:rsidR="00180F8A" w:rsidRPr="0079558B" w:rsidRDefault="00180F8A" w:rsidP="00B32426">
          <w:pPr>
            <w:pStyle w:val="Header"/>
            <w:rPr>
              <w:rFonts w:ascii="Arial" w:hAnsi="Arial" w:cs="Arial"/>
              <w:sz w:val="16"/>
            </w:rPr>
          </w:pPr>
          <w:r w:rsidRPr="0079558B">
            <w:rPr>
              <w:rFonts w:ascii="Arial" w:hAnsi="Arial" w:cs="Arial"/>
              <w:sz w:val="16"/>
            </w:rPr>
            <w:t>Rektor</w:t>
          </w:r>
        </w:p>
      </w:tc>
      <w:tc>
        <w:tcPr>
          <w:tcW w:w="1134" w:type="dxa"/>
          <w:vAlign w:val="center"/>
        </w:tcPr>
        <w:p w:rsidR="00180F8A" w:rsidRPr="00614929" w:rsidRDefault="00E71A43" w:rsidP="00B32426">
          <w:pPr>
            <w:pStyle w:val="Header"/>
            <w:jc w:val="both"/>
            <w:rPr>
              <w:rStyle w:val="PageNumber"/>
              <w:rFonts w:ascii="Arial" w:hAnsi="Arial" w:cs="Arial"/>
              <w:sz w:val="16"/>
            </w:rPr>
          </w:pPr>
          <w:r w:rsidRPr="0079558B">
            <w:rPr>
              <w:rStyle w:val="PageNumber"/>
              <w:rFonts w:ascii="Arial" w:hAnsi="Arial" w:cs="Arial"/>
              <w:sz w:val="16"/>
            </w:rPr>
            <w:fldChar w:fldCharType="begin"/>
          </w:r>
          <w:r w:rsidR="00180F8A" w:rsidRPr="0079558B"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 w:rsidRPr="0079558B"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B90560">
            <w:rPr>
              <w:rStyle w:val="PageNumber"/>
              <w:rFonts w:ascii="Arial" w:hAnsi="Arial" w:cs="Arial"/>
              <w:noProof/>
              <w:sz w:val="16"/>
            </w:rPr>
            <w:t>1</w:t>
          </w:r>
          <w:r w:rsidRPr="0079558B">
            <w:rPr>
              <w:rStyle w:val="PageNumber"/>
              <w:rFonts w:ascii="Arial" w:hAnsi="Arial" w:cs="Arial"/>
              <w:sz w:val="16"/>
            </w:rPr>
            <w:fldChar w:fldCharType="end"/>
          </w:r>
          <w:r w:rsidR="00180F8A" w:rsidRPr="0079558B">
            <w:rPr>
              <w:rStyle w:val="PageNumber"/>
              <w:rFonts w:ascii="Arial" w:hAnsi="Arial" w:cs="Arial"/>
              <w:sz w:val="16"/>
            </w:rPr>
            <w:t xml:space="preserve"> av </w:t>
          </w:r>
          <w:r w:rsidR="00576B57">
            <w:rPr>
              <w:rStyle w:val="PageNumber"/>
              <w:rFonts w:ascii="Arial" w:hAnsi="Arial" w:cs="Arial"/>
              <w:sz w:val="16"/>
            </w:rPr>
            <w:t>3</w:t>
          </w:r>
        </w:p>
      </w:tc>
      <w:tc>
        <w:tcPr>
          <w:tcW w:w="1275" w:type="dxa"/>
        </w:tcPr>
        <w:p w:rsidR="00180F8A" w:rsidRPr="0079558B" w:rsidRDefault="00180F8A" w:rsidP="00B32426">
          <w:pPr>
            <w:pStyle w:val="Header"/>
            <w:rPr>
              <w:rFonts w:ascii="Arial" w:hAnsi="Arial" w:cs="Arial"/>
              <w:sz w:val="16"/>
            </w:rPr>
          </w:pPr>
        </w:p>
      </w:tc>
      <w:tc>
        <w:tcPr>
          <w:tcW w:w="1134" w:type="dxa"/>
          <w:vMerge/>
        </w:tcPr>
        <w:p w:rsidR="00180F8A" w:rsidRDefault="00180F8A" w:rsidP="00B32426">
          <w:pPr>
            <w:pStyle w:val="Header"/>
          </w:pPr>
        </w:p>
      </w:tc>
    </w:tr>
  </w:tbl>
  <w:p w:rsidR="00180F8A" w:rsidRDefault="00180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C14BB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8608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0A21D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B4B13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8AB1B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E65C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C5BE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6657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2C95C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000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7BAE4D2A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454" w:hanging="45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454" w:hanging="45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454" w:hanging="45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6C146BD"/>
    <w:multiLevelType w:val="singleLevel"/>
    <w:tmpl w:val="293ADD38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2D941D5"/>
    <w:multiLevelType w:val="singleLevel"/>
    <w:tmpl w:val="7CFEB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8"/>
      </w:rPr>
    </w:lvl>
  </w:abstractNum>
  <w:abstractNum w:abstractNumId="13" w15:restartNumberingAfterBreak="0">
    <w:nsid w:val="314D2339"/>
    <w:multiLevelType w:val="hybridMultilevel"/>
    <w:tmpl w:val="D6B44C8C"/>
    <w:lvl w:ilvl="0" w:tplc="5A0C04E8">
      <w:start w:val="1"/>
      <w:numFmt w:val="bullet"/>
      <w:lvlText w:val=""/>
      <w:lvlJc w:val="left"/>
      <w:pPr>
        <w:tabs>
          <w:tab w:val="num" w:pos="227"/>
        </w:tabs>
        <w:ind w:left="227" w:hanging="17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8507D"/>
    <w:multiLevelType w:val="singleLevel"/>
    <w:tmpl w:val="AC82A9E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8"/>
      </w:rPr>
    </w:lvl>
  </w:abstractNum>
  <w:abstractNum w:abstractNumId="15" w15:restartNumberingAfterBreak="0">
    <w:nsid w:val="7DFB4D85"/>
    <w:multiLevelType w:val="singleLevel"/>
    <w:tmpl w:val="7CFEB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8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8"/>
  </w:num>
  <w:num w:numId="22">
    <w:abstractNumId w:val="3"/>
  </w:num>
  <w:num w:numId="23">
    <w:abstractNumId w:val="3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1"/>
  </w:num>
  <w:num w:numId="31">
    <w:abstractNumId w:val="15"/>
  </w:num>
  <w:num w:numId="32">
    <w:abstractNumId w:val="12"/>
  </w:num>
  <w:num w:numId="33">
    <w:abstractNumId w:val="14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8" w:dllVersion="513" w:checkStyle="1"/>
  <w:activeWritingStyle w:appName="MSWord" w:lang="nb-NO" w:vendorID="666" w:dllVersion="513" w:checkStyle="1"/>
  <w:activeWritingStyle w:appName="MSWord" w:lang="nb-NO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017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6EF"/>
    <w:rsid w:val="000275B3"/>
    <w:rsid w:val="0003322F"/>
    <w:rsid w:val="000400CF"/>
    <w:rsid w:val="00047045"/>
    <w:rsid w:val="00055016"/>
    <w:rsid w:val="00065CBE"/>
    <w:rsid w:val="00091105"/>
    <w:rsid w:val="000976D6"/>
    <w:rsid w:val="000B5A03"/>
    <w:rsid w:val="000C3332"/>
    <w:rsid w:val="000D7E76"/>
    <w:rsid w:val="00112BD5"/>
    <w:rsid w:val="001247A6"/>
    <w:rsid w:val="0012573A"/>
    <w:rsid w:val="00162409"/>
    <w:rsid w:val="001659FA"/>
    <w:rsid w:val="00167500"/>
    <w:rsid w:val="00180F8A"/>
    <w:rsid w:val="001C7898"/>
    <w:rsid w:val="001E4517"/>
    <w:rsid w:val="00215DE9"/>
    <w:rsid w:val="00223139"/>
    <w:rsid w:val="002329A0"/>
    <w:rsid w:val="002528ED"/>
    <w:rsid w:val="00263CC5"/>
    <w:rsid w:val="00267E04"/>
    <w:rsid w:val="002701A6"/>
    <w:rsid w:val="002C0EFC"/>
    <w:rsid w:val="002C60A8"/>
    <w:rsid w:val="00303139"/>
    <w:rsid w:val="00360379"/>
    <w:rsid w:val="00381AF1"/>
    <w:rsid w:val="00394035"/>
    <w:rsid w:val="003945F2"/>
    <w:rsid w:val="003C3278"/>
    <w:rsid w:val="003C3ADE"/>
    <w:rsid w:val="003C695F"/>
    <w:rsid w:val="003F1C7E"/>
    <w:rsid w:val="003F45D2"/>
    <w:rsid w:val="003F644C"/>
    <w:rsid w:val="00402A98"/>
    <w:rsid w:val="004041C8"/>
    <w:rsid w:val="00407535"/>
    <w:rsid w:val="00412E25"/>
    <w:rsid w:val="004144A9"/>
    <w:rsid w:val="0041566D"/>
    <w:rsid w:val="00422EFF"/>
    <w:rsid w:val="00423CF0"/>
    <w:rsid w:val="0045185D"/>
    <w:rsid w:val="00462BD8"/>
    <w:rsid w:val="0047539D"/>
    <w:rsid w:val="00476B2B"/>
    <w:rsid w:val="00487142"/>
    <w:rsid w:val="004B5448"/>
    <w:rsid w:val="004B5B47"/>
    <w:rsid w:val="004D793E"/>
    <w:rsid w:val="004F4516"/>
    <w:rsid w:val="004F4881"/>
    <w:rsid w:val="004F4F20"/>
    <w:rsid w:val="005060C1"/>
    <w:rsid w:val="0051693B"/>
    <w:rsid w:val="00542830"/>
    <w:rsid w:val="005440E6"/>
    <w:rsid w:val="00547EC5"/>
    <w:rsid w:val="0055588F"/>
    <w:rsid w:val="00562BCE"/>
    <w:rsid w:val="0056512E"/>
    <w:rsid w:val="0056766F"/>
    <w:rsid w:val="00572A6E"/>
    <w:rsid w:val="00576B57"/>
    <w:rsid w:val="0058001A"/>
    <w:rsid w:val="005973E6"/>
    <w:rsid w:val="005A3BDA"/>
    <w:rsid w:val="005A735C"/>
    <w:rsid w:val="005B6549"/>
    <w:rsid w:val="005C39C1"/>
    <w:rsid w:val="00620B03"/>
    <w:rsid w:val="0063364D"/>
    <w:rsid w:val="0063424E"/>
    <w:rsid w:val="00654D82"/>
    <w:rsid w:val="006818E3"/>
    <w:rsid w:val="00695BD0"/>
    <w:rsid w:val="006F4BA0"/>
    <w:rsid w:val="007038B3"/>
    <w:rsid w:val="00732EDC"/>
    <w:rsid w:val="00742A58"/>
    <w:rsid w:val="00751BAC"/>
    <w:rsid w:val="00763458"/>
    <w:rsid w:val="007A0AC5"/>
    <w:rsid w:val="007A7904"/>
    <w:rsid w:val="007B34C8"/>
    <w:rsid w:val="007B3D48"/>
    <w:rsid w:val="007C1E9F"/>
    <w:rsid w:val="007C72C9"/>
    <w:rsid w:val="007F46A6"/>
    <w:rsid w:val="00804FF6"/>
    <w:rsid w:val="00810ECC"/>
    <w:rsid w:val="00814452"/>
    <w:rsid w:val="0081495E"/>
    <w:rsid w:val="00823D57"/>
    <w:rsid w:val="00840A27"/>
    <w:rsid w:val="008607DE"/>
    <w:rsid w:val="0088210E"/>
    <w:rsid w:val="00894128"/>
    <w:rsid w:val="008A009E"/>
    <w:rsid w:val="008A2CBA"/>
    <w:rsid w:val="008A360F"/>
    <w:rsid w:val="008D6E9F"/>
    <w:rsid w:val="008F44F7"/>
    <w:rsid w:val="008F6004"/>
    <w:rsid w:val="00914545"/>
    <w:rsid w:val="00921570"/>
    <w:rsid w:val="00950340"/>
    <w:rsid w:val="00967667"/>
    <w:rsid w:val="00967752"/>
    <w:rsid w:val="00972061"/>
    <w:rsid w:val="00975CA9"/>
    <w:rsid w:val="009842DB"/>
    <w:rsid w:val="009B49A2"/>
    <w:rsid w:val="009D3BB6"/>
    <w:rsid w:val="009F7FB2"/>
    <w:rsid w:val="00A21A3B"/>
    <w:rsid w:val="00A239F5"/>
    <w:rsid w:val="00A36B34"/>
    <w:rsid w:val="00A63417"/>
    <w:rsid w:val="00A77563"/>
    <w:rsid w:val="00AB7F42"/>
    <w:rsid w:val="00AC3407"/>
    <w:rsid w:val="00AE77B4"/>
    <w:rsid w:val="00AF1781"/>
    <w:rsid w:val="00B022C6"/>
    <w:rsid w:val="00B3118D"/>
    <w:rsid w:val="00B32426"/>
    <w:rsid w:val="00B52753"/>
    <w:rsid w:val="00B75CF9"/>
    <w:rsid w:val="00B773C6"/>
    <w:rsid w:val="00B852E8"/>
    <w:rsid w:val="00B90560"/>
    <w:rsid w:val="00B924FD"/>
    <w:rsid w:val="00BA3698"/>
    <w:rsid w:val="00BF6324"/>
    <w:rsid w:val="00C04498"/>
    <w:rsid w:val="00C04A67"/>
    <w:rsid w:val="00C1283A"/>
    <w:rsid w:val="00C34C6E"/>
    <w:rsid w:val="00C50130"/>
    <w:rsid w:val="00C60E53"/>
    <w:rsid w:val="00C64817"/>
    <w:rsid w:val="00C82CE0"/>
    <w:rsid w:val="00CB543E"/>
    <w:rsid w:val="00CD64E5"/>
    <w:rsid w:val="00D217E7"/>
    <w:rsid w:val="00D41750"/>
    <w:rsid w:val="00D548DD"/>
    <w:rsid w:val="00D6024E"/>
    <w:rsid w:val="00DA1F97"/>
    <w:rsid w:val="00DA2FE9"/>
    <w:rsid w:val="00DA5D9B"/>
    <w:rsid w:val="00DB3E83"/>
    <w:rsid w:val="00DB550F"/>
    <w:rsid w:val="00DB661E"/>
    <w:rsid w:val="00DC62CC"/>
    <w:rsid w:val="00DD07A6"/>
    <w:rsid w:val="00DD1DDF"/>
    <w:rsid w:val="00DD36AC"/>
    <w:rsid w:val="00DE0B40"/>
    <w:rsid w:val="00DE6721"/>
    <w:rsid w:val="00DF3284"/>
    <w:rsid w:val="00E06100"/>
    <w:rsid w:val="00E16DE5"/>
    <w:rsid w:val="00E200F0"/>
    <w:rsid w:val="00E2269F"/>
    <w:rsid w:val="00E34DCD"/>
    <w:rsid w:val="00E42C4A"/>
    <w:rsid w:val="00E43551"/>
    <w:rsid w:val="00E71A43"/>
    <w:rsid w:val="00E7391A"/>
    <w:rsid w:val="00EA040A"/>
    <w:rsid w:val="00EA69D8"/>
    <w:rsid w:val="00EE45ED"/>
    <w:rsid w:val="00EE5749"/>
    <w:rsid w:val="00EE6720"/>
    <w:rsid w:val="00EF3EC6"/>
    <w:rsid w:val="00F16278"/>
    <w:rsid w:val="00F35618"/>
    <w:rsid w:val="00F5533B"/>
    <w:rsid w:val="00F57369"/>
    <w:rsid w:val="00F666EF"/>
    <w:rsid w:val="00F667FB"/>
    <w:rsid w:val="00F92BC0"/>
    <w:rsid w:val="00F967CF"/>
    <w:rsid w:val="00FA4008"/>
    <w:rsid w:val="00FA7AB0"/>
    <w:rsid w:val="00FC338C"/>
    <w:rsid w:val="00FD0FD2"/>
    <w:rsid w:val="00FD3963"/>
    <w:rsid w:val="00FD48B2"/>
    <w:rsid w:val="00FD4EF4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9"/>
    <o:shapelayout v:ext="edit">
      <o:idmap v:ext="edit" data="1"/>
    </o:shapelayout>
  </w:shapeDefaults>
  <w:decimalSymbol w:val=","/>
  <w:listSeparator w:val=";"/>
  <w15:docId w15:val="{85DEB835-1904-4FC4-AF16-2C16068B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7CF"/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rsid w:val="00FD48B2"/>
    <w:pPr>
      <w:keepNext/>
      <w:keepLines/>
      <w:numPr>
        <w:numId w:val="1"/>
      </w:numPr>
      <w:tabs>
        <w:tab w:val="left" w:pos="907"/>
        <w:tab w:val="left" w:pos="1361"/>
        <w:tab w:val="left" w:pos="1814"/>
      </w:tabs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FD48B2"/>
    <w:pPr>
      <w:keepNext/>
      <w:keepLines/>
      <w:numPr>
        <w:ilvl w:val="1"/>
        <w:numId w:val="2"/>
      </w:numPr>
      <w:tabs>
        <w:tab w:val="left" w:pos="907"/>
        <w:tab w:val="left" w:pos="1361"/>
        <w:tab w:val="left" w:pos="1814"/>
      </w:tabs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D48B2"/>
    <w:pPr>
      <w:keepNext/>
      <w:keepLines/>
      <w:numPr>
        <w:ilvl w:val="2"/>
        <w:numId w:val="3"/>
      </w:numPr>
      <w:tabs>
        <w:tab w:val="clear" w:pos="720"/>
        <w:tab w:val="left" w:pos="454"/>
        <w:tab w:val="left" w:pos="907"/>
        <w:tab w:val="left" w:pos="1361"/>
        <w:tab w:val="left" w:pos="1814"/>
      </w:tabs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FD48B2"/>
    <w:pPr>
      <w:keepNext/>
      <w:numPr>
        <w:ilvl w:val="3"/>
        <w:numId w:val="4"/>
      </w:numPr>
      <w:tabs>
        <w:tab w:val="clear" w:pos="1080"/>
        <w:tab w:val="left" w:pos="454"/>
        <w:tab w:val="left" w:pos="907"/>
        <w:tab w:val="left" w:pos="1361"/>
        <w:tab w:val="left" w:pos="1814"/>
      </w:tabs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FD48B2"/>
    <w:pPr>
      <w:numPr>
        <w:ilvl w:val="4"/>
        <w:numId w:val="5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FD48B2"/>
    <w:pPr>
      <w:numPr>
        <w:ilvl w:val="5"/>
        <w:numId w:val="6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D48B2"/>
    <w:pPr>
      <w:numPr>
        <w:ilvl w:val="6"/>
        <w:numId w:val="7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FD48B2"/>
    <w:pPr>
      <w:numPr>
        <w:ilvl w:val="7"/>
        <w:numId w:val="8"/>
      </w:numPr>
      <w:spacing w:before="240" w:after="60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FD48B2"/>
    <w:pPr>
      <w:numPr>
        <w:ilvl w:val="8"/>
        <w:numId w:val="9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D48B2"/>
    <w:pPr>
      <w:tabs>
        <w:tab w:val="center" w:pos="4593"/>
        <w:tab w:val="right" w:pos="9185"/>
      </w:tabs>
    </w:pPr>
  </w:style>
  <w:style w:type="paragraph" w:styleId="Header">
    <w:name w:val="header"/>
    <w:basedOn w:val="Normal"/>
    <w:rsid w:val="00FD48B2"/>
    <w:pPr>
      <w:tabs>
        <w:tab w:val="center" w:pos="4593"/>
        <w:tab w:val="right" w:pos="9185"/>
      </w:tabs>
    </w:pPr>
  </w:style>
  <w:style w:type="paragraph" w:styleId="CommentText">
    <w:name w:val="annotation text"/>
    <w:basedOn w:val="Normal"/>
    <w:semiHidden/>
    <w:rsid w:val="00FD48B2"/>
    <w:rPr>
      <w:sz w:val="20"/>
    </w:rPr>
  </w:style>
  <w:style w:type="paragraph" w:styleId="BlockText">
    <w:name w:val="Block Text"/>
    <w:basedOn w:val="Normal"/>
    <w:rsid w:val="00FD48B2"/>
    <w:pPr>
      <w:spacing w:after="120"/>
      <w:ind w:left="1440" w:right="1440"/>
    </w:pPr>
  </w:style>
  <w:style w:type="paragraph" w:styleId="BodyText">
    <w:name w:val="Body Text"/>
    <w:basedOn w:val="Normal"/>
    <w:rsid w:val="00FD48B2"/>
    <w:pPr>
      <w:spacing w:after="120"/>
    </w:pPr>
  </w:style>
  <w:style w:type="paragraph" w:styleId="BodyText2">
    <w:name w:val="Body Text 2"/>
    <w:basedOn w:val="Normal"/>
    <w:rsid w:val="00FD48B2"/>
    <w:pPr>
      <w:spacing w:after="120" w:line="480" w:lineRule="auto"/>
    </w:pPr>
  </w:style>
  <w:style w:type="paragraph" w:styleId="BodyText3">
    <w:name w:val="Body Text 3"/>
    <w:basedOn w:val="Normal"/>
    <w:rsid w:val="00FD48B2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FD48B2"/>
    <w:pPr>
      <w:ind w:firstLine="210"/>
    </w:pPr>
  </w:style>
  <w:style w:type="paragraph" w:styleId="BodyTextIndent">
    <w:name w:val="Body Text Indent"/>
    <w:basedOn w:val="Normal"/>
    <w:rsid w:val="00FD48B2"/>
    <w:pPr>
      <w:spacing w:after="120"/>
      <w:ind w:left="283"/>
    </w:pPr>
  </w:style>
  <w:style w:type="paragraph" w:styleId="BodyTextFirstIndent2">
    <w:name w:val="Body Text First Indent 2"/>
    <w:basedOn w:val="BodyTextIndent"/>
    <w:rsid w:val="00FD48B2"/>
    <w:pPr>
      <w:ind w:firstLine="210"/>
    </w:pPr>
  </w:style>
  <w:style w:type="paragraph" w:styleId="BodyTextIndent2">
    <w:name w:val="Body Text Indent 2"/>
    <w:basedOn w:val="Normal"/>
    <w:rsid w:val="00FD48B2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D48B2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rsid w:val="00FD48B2"/>
    <w:pPr>
      <w:spacing w:before="120" w:after="120"/>
    </w:pPr>
    <w:rPr>
      <w:b/>
    </w:rPr>
  </w:style>
  <w:style w:type="paragraph" w:styleId="Closing">
    <w:name w:val="Closing"/>
    <w:basedOn w:val="Normal"/>
    <w:rsid w:val="00FD48B2"/>
    <w:pPr>
      <w:ind w:left="4252"/>
    </w:pPr>
  </w:style>
  <w:style w:type="character" w:styleId="CommentReference">
    <w:name w:val="annotation reference"/>
    <w:basedOn w:val="DefaultParagraphFont"/>
    <w:semiHidden/>
    <w:rsid w:val="00FD48B2"/>
    <w:rPr>
      <w:sz w:val="16"/>
    </w:rPr>
  </w:style>
  <w:style w:type="paragraph" w:styleId="Date">
    <w:name w:val="Date"/>
    <w:basedOn w:val="Normal"/>
    <w:next w:val="Normal"/>
    <w:rsid w:val="00FD48B2"/>
  </w:style>
  <w:style w:type="paragraph" w:styleId="DocumentMap">
    <w:name w:val="Document Map"/>
    <w:basedOn w:val="Normal"/>
    <w:semiHidden/>
    <w:rsid w:val="00FD48B2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FD48B2"/>
    <w:rPr>
      <w:i/>
    </w:rPr>
  </w:style>
  <w:style w:type="character" w:styleId="EndnoteReference">
    <w:name w:val="endnote reference"/>
    <w:basedOn w:val="DefaultParagraphFont"/>
    <w:semiHidden/>
    <w:rsid w:val="00FD48B2"/>
    <w:rPr>
      <w:vertAlign w:val="superscript"/>
    </w:rPr>
  </w:style>
  <w:style w:type="paragraph" w:styleId="EndnoteText">
    <w:name w:val="endnote text"/>
    <w:basedOn w:val="Normal"/>
    <w:semiHidden/>
    <w:rsid w:val="00FD48B2"/>
    <w:rPr>
      <w:sz w:val="20"/>
    </w:rPr>
  </w:style>
  <w:style w:type="paragraph" w:styleId="EnvelopeAddress">
    <w:name w:val="envelope address"/>
    <w:basedOn w:val="Normal"/>
    <w:rsid w:val="00FD48B2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FD48B2"/>
    <w:rPr>
      <w:rFonts w:ascii="Arial" w:hAnsi="Arial"/>
      <w:sz w:val="20"/>
    </w:rPr>
  </w:style>
  <w:style w:type="character" w:styleId="FollowedHyperlink">
    <w:name w:val="FollowedHyperlink"/>
    <w:basedOn w:val="DefaultParagraphFont"/>
    <w:rsid w:val="00FD48B2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FD48B2"/>
    <w:rPr>
      <w:vertAlign w:val="superscript"/>
    </w:rPr>
  </w:style>
  <w:style w:type="paragraph" w:styleId="FootnoteText">
    <w:name w:val="footnote text"/>
    <w:basedOn w:val="Normal"/>
    <w:semiHidden/>
    <w:rsid w:val="00FD48B2"/>
    <w:rPr>
      <w:sz w:val="20"/>
    </w:rPr>
  </w:style>
  <w:style w:type="character" w:styleId="Hyperlink">
    <w:name w:val="Hyperlink"/>
    <w:basedOn w:val="DefaultParagraphFont"/>
    <w:rsid w:val="00FD48B2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FD48B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FD48B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FD48B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D48B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D48B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D48B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D48B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D48B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D48B2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FD48B2"/>
    <w:rPr>
      <w:b/>
    </w:rPr>
  </w:style>
  <w:style w:type="character" w:styleId="LineNumber">
    <w:name w:val="line number"/>
    <w:basedOn w:val="DefaultParagraphFont"/>
    <w:rsid w:val="00FD48B2"/>
  </w:style>
  <w:style w:type="paragraph" w:styleId="List">
    <w:name w:val="List"/>
    <w:basedOn w:val="Normal"/>
    <w:rsid w:val="00FD48B2"/>
    <w:pPr>
      <w:ind w:left="283" w:hanging="283"/>
    </w:pPr>
  </w:style>
  <w:style w:type="paragraph" w:styleId="List2">
    <w:name w:val="List 2"/>
    <w:basedOn w:val="Normal"/>
    <w:rsid w:val="00FD48B2"/>
    <w:pPr>
      <w:ind w:left="566" w:hanging="283"/>
    </w:pPr>
  </w:style>
  <w:style w:type="paragraph" w:styleId="List3">
    <w:name w:val="List 3"/>
    <w:basedOn w:val="Normal"/>
    <w:rsid w:val="00FD48B2"/>
    <w:pPr>
      <w:ind w:left="849" w:hanging="283"/>
    </w:pPr>
  </w:style>
  <w:style w:type="paragraph" w:styleId="List4">
    <w:name w:val="List 4"/>
    <w:basedOn w:val="Normal"/>
    <w:rsid w:val="00FD48B2"/>
    <w:pPr>
      <w:ind w:left="1132" w:hanging="283"/>
    </w:pPr>
  </w:style>
  <w:style w:type="paragraph" w:styleId="List5">
    <w:name w:val="List 5"/>
    <w:basedOn w:val="Normal"/>
    <w:rsid w:val="00FD48B2"/>
    <w:pPr>
      <w:ind w:left="1415" w:hanging="283"/>
    </w:pPr>
  </w:style>
  <w:style w:type="paragraph" w:styleId="ListBullet">
    <w:name w:val="List Bullet"/>
    <w:basedOn w:val="Normal"/>
    <w:autoRedefine/>
    <w:rsid w:val="00FD48B2"/>
    <w:pPr>
      <w:numPr>
        <w:numId w:val="11"/>
      </w:numPr>
    </w:pPr>
  </w:style>
  <w:style w:type="paragraph" w:styleId="ListBullet2">
    <w:name w:val="List Bullet 2"/>
    <w:basedOn w:val="Normal"/>
    <w:autoRedefine/>
    <w:rsid w:val="00FD48B2"/>
    <w:pPr>
      <w:numPr>
        <w:numId w:val="13"/>
      </w:numPr>
    </w:pPr>
  </w:style>
  <w:style w:type="paragraph" w:styleId="ListBullet3">
    <w:name w:val="List Bullet 3"/>
    <w:basedOn w:val="Normal"/>
    <w:autoRedefine/>
    <w:rsid w:val="00FD48B2"/>
    <w:pPr>
      <w:numPr>
        <w:numId w:val="15"/>
      </w:numPr>
    </w:pPr>
  </w:style>
  <w:style w:type="paragraph" w:styleId="ListBullet4">
    <w:name w:val="List Bullet 4"/>
    <w:basedOn w:val="Normal"/>
    <w:autoRedefine/>
    <w:rsid w:val="00FD48B2"/>
    <w:pPr>
      <w:numPr>
        <w:numId w:val="17"/>
      </w:numPr>
    </w:pPr>
  </w:style>
  <w:style w:type="paragraph" w:styleId="ListBullet5">
    <w:name w:val="List Bullet 5"/>
    <w:basedOn w:val="Normal"/>
    <w:autoRedefine/>
    <w:rsid w:val="00FD48B2"/>
    <w:pPr>
      <w:numPr>
        <w:numId w:val="19"/>
      </w:numPr>
    </w:pPr>
  </w:style>
  <w:style w:type="paragraph" w:styleId="ListContinue">
    <w:name w:val="List Continue"/>
    <w:basedOn w:val="Normal"/>
    <w:rsid w:val="00FD48B2"/>
    <w:pPr>
      <w:spacing w:after="120"/>
      <w:ind w:left="283"/>
    </w:pPr>
  </w:style>
  <w:style w:type="paragraph" w:styleId="ListContinue2">
    <w:name w:val="List Continue 2"/>
    <w:basedOn w:val="Normal"/>
    <w:rsid w:val="00FD48B2"/>
    <w:pPr>
      <w:spacing w:after="120"/>
      <w:ind w:left="566"/>
    </w:pPr>
  </w:style>
  <w:style w:type="paragraph" w:styleId="ListContinue3">
    <w:name w:val="List Continue 3"/>
    <w:basedOn w:val="Normal"/>
    <w:rsid w:val="00FD48B2"/>
    <w:pPr>
      <w:spacing w:after="120"/>
      <w:ind w:left="849"/>
    </w:pPr>
  </w:style>
  <w:style w:type="paragraph" w:styleId="ListContinue4">
    <w:name w:val="List Continue 4"/>
    <w:basedOn w:val="Normal"/>
    <w:rsid w:val="00FD48B2"/>
    <w:pPr>
      <w:spacing w:after="120"/>
      <w:ind w:left="1132"/>
    </w:pPr>
  </w:style>
  <w:style w:type="paragraph" w:styleId="ListContinue5">
    <w:name w:val="List Continue 5"/>
    <w:basedOn w:val="Normal"/>
    <w:rsid w:val="00FD48B2"/>
    <w:pPr>
      <w:spacing w:after="120"/>
      <w:ind w:left="1415"/>
    </w:pPr>
  </w:style>
  <w:style w:type="paragraph" w:styleId="ListNumber">
    <w:name w:val="List Number"/>
    <w:basedOn w:val="Normal"/>
    <w:rsid w:val="00FD48B2"/>
    <w:pPr>
      <w:numPr>
        <w:numId w:val="21"/>
      </w:numPr>
    </w:pPr>
  </w:style>
  <w:style w:type="paragraph" w:styleId="ListNumber2">
    <w:name w:val="List Number 2"/>
    <w:basedOn w:val="Normal"/>
    <w:rsid w:val="00FD48B2"/>
    <w:pPr>
      <w:numPr>
        <w:numId w:val="23"/>
      </w:numPr>
    </w:pPr>
  </w:style>
  <w:style w:type="paragraph" w:styleId="ListNumber3">
    <w:name w:val="List Number 3"/>
    <w:basedOn w:val="Normal"/>
    <w:rsid w:val="00FD48B2"/>
    <w:pPr>
      <w:numPr>
        <w:numId w:val="25"/>
      </w:numPr>
    </w:pPr>
  </w:style>
  <w:style w:type="paragraph" w:styleId="ListNumber4">
    <w:name w:val="List Number 4"/>
    <w:basedOn w:val="Normal"/>
    <w:rsid w:val="00FD48B2"/>
    <w:pPr>
      <w:numPr>
        <w:numId w:val="27"/>
      </w:numPr>
    </w:pPr>
  </w:style>
  <w:style w:type="paragraph" w:styleId="ListNumber5">
    <w:name w:val="List Number 5"/>
    <w:basedOn w:val="Normal"/>
    <w:rsid w:val="00FD48B2"/>
    <w:pPr>
      <w:numPr>
        <w:numId w:val="29"/>
      </w:numPr>
    </w:pPr>
  </w:style>
  <w:style w:type="paragraph" w:styleId="MacroText">
    <w:name w:val="macro"/>
    <w:semiHidden/>
    <w:rsid w:val="00FD48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noProof/>
      <w:lang w:val="en-GB" w:eastAsia="en-US"/>
    </w:rPr>
  </w:style>
  <w:style w:type="paragraph" w:styleId="MessageHeader">
    <w:name w:val="Message Header"/>
    <w:basedOn w:val="Normal"/>
    <w:rsid w:val="00FD48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customStyle="1" w:styleId="NormalBold">
    <w:name w:val="Normal Bold"/>
    <w:basedOn w:val="Normal"/>
    <w:rsid w:val="00FD48B2"/>
    <w:rPr>
      <w:b/>
    </w:rPr>
  </w:style>
  <w:style w:type="paragraph" w:styleId="NormalIndent">
    <w:name w:val="Normal Indent"/>
    <w:basedOn w:val="Normal"/>
    <w:rsid w:val="00FD48B2"/>
    <w:pPr>
      <w:ind w:left="708"/>
    </w:pPr>
  </w:style>
  <w:style w:type="paragraph" w:styleId="NoteHeading">
    <w:name w:val="Note Heading"/>
    <w:basedOn w:val="Normal"/>
    <w:next w:val="Normal"/>
    <w:rsid w:val="00FD48B2"/>
  </w:style>
  <w:style w:type="character" w:styleId="PageNumber">
    <w:name w:val="page number"/>
    <w:basedOn w:val="DefaultParagraphFont"/>
    <w:rsid w:val="00FD48B2"/>
  </w:style>
  <w:style w:type="paragraph" w:styleId="PlainText">
    <w:name w:val="Plain Text"/>
    <w:basedOn w:val="Normal"/>
    <w:rsid w:val="00FD48B2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FD48B2"/>
  </w:style>
  <w:style w:type="paragraph" w:styleId="Signature">
    <w:name w:val="Signature"/>
    <w:basedOn w:val="Normal"/>
    <w:rsid w:val="00FD48B2"/>
    <w:pPr>
      <w:ind w:left="4252"/>
    </w:pPr>
  </w:style>
  <w:style w:type="character" w:styleId="Strong">
    <w:name w:val="Strong"/>
    <w:basedOn w:val="DefaultParagraphFont"/>
    <w:qFormat/>
    <w:rsid w:val="00FD48B2"/>
    <w:rPr>
      <w:b/>
    </w:rPr>
  </w:style>
  <w:style w:type="paragraph" w:styleId="Subtitle">
    <w:name w:val="Subtitle"/>
    <w:basedOn w:val="Normal"/>
    <w:qFormat/>
    <w:rsid w:val="00FD48B2"/>
    <w:pPr>
      <w:spacing w:after="60"/>
      <w:jc w:val="center"/>
      <w:outlineLvl w:val="1"/>
    </w:pPr>
  </w:style>
  <w:style w:type="paragraph" w:styleId="TableofAuthorities">
    <w:name w:val="table of authorities"/>
    <w:basedOn w:val="Normal"/>
    <w:next w:val="Normal"/>
    <w:semiHidden/>
    <w:rsid w:val="00FD48B2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FD48B2"/>
    <w:pPr>
      <w:ind w:left="480" w:hanging="480"/>
    </w:pPr>
  </w:style>
  <w:style w:type="paragraph" w:styleId="Title">
    <w:name w:val="Title"/>
    <w:basedOn w:val="Normal"/>
    <w:qFormat/>
    <w:rsid w:val="00FD48B2"/>
    <w:pPr>
      <w:spacing w:before="240" w:after="60"/>
      <w:jc w:val="center"/>
      <w:outlineLvl w:val="0"/>
    </w:pPr>
    <w:rPr>
      <w:b/>
      <w:kern w:val="28"/>
      <w:sz w:val="28"/>
    </w:rPr>
  </w:style>
  <w:style w:type="paragraph" w:styleId="TOAHeading">
    <w:name w:val="toa heading"/>
    <w:basedOn w:val="Normal"/>
    <w:next w:val="Normal"/>
    <w:semiHidden/>
    <w:rsid w:val="00FD48B2"/>
    <w:pPr>
      <w:spacing w:before="120"/>
    </w:pPr>
    <w:rPr>
      <w:b/>
    </w:rPr>
  </w:style>
  <w:style w:type="paragraph" w:styleId="TOC1">
    <w:name w:val="toc 1"/>
    <w:basedOn w:val="Normal"/>
    <w:next w:val="Normal"/>
    <w:autoRedefine/>
    <w:semiHidden/>
    <w:rsid w:val="00FD48B2"/>
    <w:pPr>
      <w:tabs>
        <w:tab w:val="left" w:pos="454"/>
        <w:tab w:val="left" w:pos="907"/>
        <w:tab w:val="left" w:pos="1361"/>
        <w:tab w:val="left" w:pos="1814"/>
        <w:tab w:val="right" w:leader="dot" w:pos="9356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FD48B2"/>
    <w:pPr>
      <w:tabs>
        <w:tab w:val="left" w:pos="907"/>
        <w:tab w:val="left" w:pos="1361"/>
        <w:tab w:val="left" w:pos="1814"/>
        <w:tab w:val="right" w:leader="dot" w:pos="9356"/>
      </w:tabs>
      <w:ind w:left="454"/>
    </w:pPr>
    <w:rPr>
      <w:noProof/>
    </w:rPr>
  </w:style>
  <w:style w:type="paragraph" w:styleId="TOC3">
    <w:name w:val="toc 3"/>
    <w:basedOn w:val="Normal"/>
    <w:next w:val="Normal"/>
    <w:autoRedefine/>
    <w:semiHidden/>
    <w:rsid w:val="00FD48B2"/>
    <w:pPr>
      <w:tabs>
        <w:tab w:val="left" w:pos="1361"/>
        <w:tab w:val="left" w:pos="1814"/>
        <w:tab w:val="right" w:leader="dot" w:pos="9356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rsid w:val="00FD48B2"/>
    <w:pPr>
      <w:ind w:left="720"/>
    </w:pPr>
  </w:style>
  <w:style w:type="paragraph" w:styleId="TOC5">
    <w:name w:val="toc 5"/>
    <w:basedOn w:val="Normal"/>
    <w:next w:val="Normal"/>
    <w:autoRedefine/>
    <w:semiHidden/>
    <w:rsid w:val="00FD48B2"/>
    <w:pPr>
      <w:ind w:left="960"/>
    </w:pPr>
  </w:style>
  <w:style w:type="paragraph" w:styleId="TOC6">
    <w:name w:val="toc 6"/>
    <w:basedOn w:val="Normal"/>
    <w:next w:val="Normal"/>
    <w:autoRedefine/>
    <w:semiHidden/>
    <w:rsid w:val="00FD48B2"/>
    <w:pPr>
      <w:ind w:left="1200"/>
    </w:pPr>
  </w:style>
  <w:style w:type="paragraph" w:styleId="TOC7">
    <w:name w:val="toc 7"/>
    <w:basedOn w:val="Normal"/>
    <w:next w:val="Normal"/>
    <w:autoRedefine/>
    <w:semiHidden/>
    <w:rsid w:val="00FD48B2"/>
    <w:pPr>
      <w:ind w:left="1440"/>
    </w:pPr>
  </w:style>
  <w:style w:type="paragraph" w:styleId="TOC8">
    <w:name w:val="toc 8"/>
    <w:basedOn w:val="Normal"/>
    <w:next w:val="Normal"/>
    <w:autoRedefine/>
    <w:semiHidden/>
    <w:rsid w:val="00FD48B2"/>
    <w:pPr>
      <w:ind w:left="1680"/>
    </w:pPr>
  </w:style>
  <w:style w:type="paragraph" w:styleId="TOC9">
    <w:name w:val="toc 9"/>
    <w:basedOn w:val="Normal"/>
    <w:next w:val="Normal"/>
    <w:autoRedefine/>
    <w:semiHidden/>
    <w:rsid w:val="00FD48B2"/>
    <w:pPr>
      <w:ind w:left="1920"/>
    </w:pPr>
  </w:style>
  <w:style w:type="table" w:styleId="TableGrid">
    <w:name w:val="Table Grid"/>
    <w:basedOn w:val="TableNormal"/>
    <w:rsid w:val="00252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B66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semiHidden/>
    <w:rsid w:val="002C0EF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F57369"/>
    <w:rPr>
      <w:rFonts w:ascii="Times" w:hAnsi="Times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2.bin"/><Relationship Id="rId1" Type="http://schemas.openxmlformats.org/officeDocument/2006/relationships/image" Target="media/image2.png"/><Relationship Id="rId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1282</Words>
  <Characters>6796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MT-02-206 Vedlegg 1 AVVIKSMELDING</vt:lpstr>
      <vt:lpstr>MT-02-206 Vedlegg 1 AVVIKSMELDING</vt:lpstr>
    </vt:vector>
  </TitlesOfParts>
  <Company>MARINTEK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MT-02-206 Vedlegg 1 AVVIKSMELDING</dc:title>
  <dc:subject>MT-02-206 Vedlegg 1 AVVIKSMELDING</dc:subject>
  <dc:creator>Natalie</dc:creator>
  <cp:lastModifiedBy>Jon Erik Aaseng</cp:lastModifiedBy>
  <cp:revision>7</cp:revision>
  <cp:lastPrinted>2015-01-16T14:25:00Z</cp:lastPrinted>
  <dcterms:created xsi:type="dcterms:W3CDTF">2015-08-14T08:34:00Z</dcterms:created>
  <dcterms:modified xsi:type="dcterms:W3CDTF">2016-08-16T12:53:00Z</dcterms:modified>
  <cp:category>RAPP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Type">
    <vt:lpwstr>Avviksbeh.</vt:lpwstr>
  </property>
  <property fmtid="{D5CDD505-2E9C-101B-9397-08002B2CF9AE}" pid="3" name="Prosjektnr" linkTarget="dlPnr">
    <vt:lpwstr/>
  </property>
  <property fmtid="{D5CDD505-2E9C-101B-9397-08002B2CF9AE}" pid="4" name="Tittel" linkTarget="dlTittel">
    <vt:lpwstr>AVVIKSMELDING</vt:lpwstr>
  </property>
  <property fmtid="{D5CDD505-2E9C-101B-9397-08002B2CF9AE}" pid="5" name="Arkiv" linkTarget="dlArkiv">
    <vt:lpwstr/>
  </property>
  <property fmtid="{D5CDD505-2E9C-101B-9397-08002B2CF9AE}" pid="6" name="Referanse" linkTarget="dlRef">
    <vt:lpwstr/>
  </property>
  <property fmtid="{D5CDD505-2E9C-101B-9397-08002B2CF9AE}" pid="7" name="Avd." linkTarget="avd">
    <vt:lpwstr/>
  </property>
  <property fmtid="{D5CDD505-2E9C-101B-9397-08002B2CF9AE}" pid="8" name="ArkivKode" linkTarget="dlArkiv">
    <vt:lpwstr/>
  </property>
  <property fmtid="{D5CDD505-2E9C-101B-9397-08002B2CF9AE}" pid="9" name="_NewReviewCycle">
    <vt:lpwstr/>
  </property>
</Properties>
</file>