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t>Universal Parser Synthetic Document</w:t>
      </w:r>
    </w:p>
    <w:p>
      <w:r>
        <w:rPr>
          <w:b/>
        </w:rPr>
        <w:t xml:space="preserve">Purpose </w:t>
      </w:r>
      <w:r>
        <w:t>This file exercises structure-preserving DOCX extraction for headings, rich text, links, lists, tables, sections, page breaks, headers, footers, and images.</w:t>
      </w:r>
    </w:p>
    <w:p>
      <w:pPr>
        <w:pStyle w:val="Heading1"/>
      </w:pPr>
      <w:r>
        <w:t>Formatted content</w:t>
      </w:r>
    </w:p>
    <w:p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</w:t>
      </w:r>
      <w:r>
        <w:rPr>
          <w:u w:val="single"/>
        </w:rPr>
        <w:t>underlined text</w:t>
      </w:r>
      <w:r>
        <w:t xml:space="preserve">, and </w:t>
      </w:r>
      <w:r>
        <w:rPr>
          <w:strike/>
        </w:rPr>
        <w:t>struck text</w:t>
      </w:r>
      <w:r>
        <w:t xml:space="preserve"> are stored as separate spans. </w:t>
      </w:r>
      <w:hyperlink r:id="rId11">
        <w:r>
          <w:rPr>
            <w:color w:val="0563C1"/>
            <w:u w:val="single"/>
          </w:rPr>
          <w:t>OpenAI documentation</w:t>
        </w:r>
      </w:hyperlink>
    </w:p>
    <w:p>
      <w:r>
        <w:rPr>
          <w:vanish/>
        </w:rPr>
        <w:t>This sentence is hidden and should follow the hidden-text option.</w:t>
      </w:r>
    </w:p>
    <w:p>
      <w:pPr>
        <w:pStyle w:val="Heading2"/>
      </w:pPr>
      <w:r>
        <w:t>Nested list</w:t>
      </w:r>
    </w:p>
    <w:p>
      <w:pPr>
        <w:pStyle w:val="ListBullet"/>
      </w:pPr>
      <w:r>
        <w:t>First unordered item</w:t>
      </w:r>
    </w:p>
    <w:p>
      <w:pPr>
        <w:pStyle w:val="ListBullet2"/>
      </w:pPr>
      <w:r>
        <w:t>Nested unordered item</w:t>
      </w:r>
    </w:p>
    <w:p>
      <w:pPr>
        <w:pStyle w:val="ListBullet"/>
      </w:pPr>
      <w:r>
        <w:t>Second unordered item</w:t>
      </w:r>
    </w:p>
    <w:p>
      <w:pPr>
        <w:pStyle w:val="ListNumber"/>
      </w:pPr>
      <w:r>
        <w:t>First ordered item</w:t>
      </w:r>
    </w:p>
    <w:p>
      <w:pPr>
        <w:pStyle w:val="ListNumber2"/>
      </w:pPr>
      <w:r>
        <w:t>Nested ordered item</w:t>
      </w:r>
    </w:p>
    <w:p>
      <w:pPr>
        <w:pStyle w:val="Heading2"/>
      </w:pPr>
      <w:r>
        <w:t>Merged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vAlign w:val="center"/>
            <w:shd w:fill="1F4E7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vAlign w:val="center"/>
            <w:shd w:fill="1F4E78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3600"/>
            <w:vAlign w:val="center"/>
            <w:shd w:fill="1F4E78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  <w:vAlign w:val="center"/>
          </w:tcPr>
          <w:p>
            <w:r>
              <w:t>Alpha</w:t>
            </w:r>
          </w:p>
        </w:tc>
        <w:tc>
          <w:tcPr>
            <w:tcW w:type="dxa" w:w="2160"/>
            <w:vAlign w:val="center"/>
          </w:tcPr>
          <w:p>
            <w:r>
              <w:t>10</w:t>
            </w:r>
          </w:p>
        </w:tc>
        <w:tc>
          <w:tcPr>
            <w:tcW w:type="dxa" w:w="3600"/>
            <w:vAlign w:val="center"/>
          </w:tcPr>
          <w:p>
            <w:r>
              <w:t>Normal row</w:t>
            </w:r>
          </w:p>
        </w:tc>
      </w:tr>
      <w:tr>
        <w:tc>
          <w:tcPr>
            <w:tcW w:type="dxa" w:w="3600"/>
            <w:vMerge w:val="restart"/>
            <w:vAlign w:val="center"/>
          </w:tcPr>
          <w:p>
            <w:r>
              <w:t>Grouped</w:t>
            </w:r>
          </w:p>
          <w:p>
            <w:r>
              <w:t>Grouped</w:t>
            </w:r>
          </w:p>
        </w:tc>
        <w:tc>
          <w:tcPr>
            <w:tcW w:type="dxa" w:w="2160"/>
            <w:vAlign w:val="center"/>
          </w:tcPr>
          <w:p>
            <w:r>
              <w:t>20</w:t>
            </w:r>
          </w:p>
        </w:tc>
        <w:tc>
          <w:tcPr>
            <w:tcW w:type="dxa" w:w="3600"/>
            <w:vAlign w:val="center"/>
          </w:tcPr>
          <w:p>
            <w:r>
              <w:t>Vertical merge</w:t>
            </w:r>
          </w:p>
        </w:tc>
      </w:tr>
      <w:tr>
        <w:tc>
          <w:tcPr>
            <w:tcW w:type="dxa" w:w="3600"/>
            <w:vMerge/>
            <w:vAlign w:val="center"/>
          </w:tcPr>
          <w:p/>
        </w:tc>
        <w:tc>
          <w:tcPr>
            <w:tcW w:type="dxa" w:w="5760"/>
            <w:gridSpan w:val="2"/>
            <w:vAlign w:val="center"/>
          </w:tcPr>
          <w:p>
            <w:r>
              <w:t>Horizontal merge</w:t>
            </w:r>
          </w:p>
        </w:tc>
      </w:tr>
    </w:tbl>
    <w:p>
      <w:pPr>
        <w:pStyle w:val="Heading2"/>
      </w:pPr>
      <w:r>
        <w:t>Embedded 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975360"/>
            <wp:docPr id="1" name="Picture 1" descr="Document Parser synthetic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 Document Parser synthetic logo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Second section</w:t>
      </w:r>
    </w:p>
    <w:p>
      <w:pPr>
        <w:pStyle w:val="Heading3"/>
      </w:pPr>
      <w:r>
        <w:t>Heading level jump</w:t>
      </w:r>
    </w:p>
    <w:p>
      <w:r>
        <w:t>The normalization stage should conservatively repair the visible heading level jump and preserve the original level in provenance attributes.</w:t>
      </w:r>
    </w:p>
    <w:sectPr w:rsidR="00FC693F" w:rsidRPr="0006063C" w:rsidSect="00034616">
      <w:pgSz w:w="15840" w:h="12240" w:orient="landscape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DOCX regression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8"/>
      </w:rPr>
      <w:t>Universal Parser Synthetic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latform.openai.com/docs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Universal Parser Synthetic Document</dc:title>
  <dc:subject>DOCX adapter regression fixture</dc:subject>
  <dc:creator>document-parser</dc:creator>
  <cp:keywords>docx, parser, synthetic, regression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