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2"/>
        </w:rPr>
        <w:t>INTEGRATED IMAGING AND GENOMIC ANALYSIS REPORT</w:t>
      </w:r>
    </w:p>
    <w:p>
      <w:pPr>
        <w:jc w:val="center"/>
      </w:pPr>
      <w:r>
        <w:rPr>
          <w:i/>
          <w:sz w:val="20"/>
        </w:rPr>
        <w:t>CT Abdomen/Pelvis · Abdominal Ultrasound · Whole Genome Sequencing</w:t>
        <w:br/>
        <w:t>Cross-Referential Analysis — XX/XY Tetragametic Chimera (OT-DSD)</w:t>
      </w:r>
    </w:p>
    <w:p/>
    <w:tbl>
      <w:tblPr>
        <w:tblStyle w:val="TableGrid"/>
        <w:tblW w:type="auto" w:w="0"/>
        <w:tblLook w:firstColumn="1" w:firstRow="1" w:lastColumn="0" w:lastRow="0" w:noHBand="0" w:noVBand="1" w:val="04A0"/>
      </w:tblPr>
      <w:tblGrid>
        <w:gridCol w:w="4703"/>
        <w:gridCol w:w="4703"/>
      </w:tblGrid>
      <w:tr>
        <w:tc>
          <w:tcPr>
            <w:tcW w:type="dxa" w:w="4703"/>
            <w:shd w:val="clear" w:color="auto" w:fill="D6E4F0"/>
          </w:tcPr>
          <w:p>
            <w:r>
              <w:rPr>
                <w:sz w:val="18"/>
              </w:rPr>
              <w:t>Patient</w:t>
            </w:r>
          </w:p>
        </w:tc>
        <w:tc>
          <w:tcPr>
            <w:tcW w:type="dxa" w:w="4703"/>
          </w:tcPr>
          <w:p>
            <w:r>
              <w:rPr>
                <w:sz w:val="18"/>
              </w:rPr>
              <w:t>AYLESWORTH, JAYME A</w:t>
            </w:r>
          </w:p>
        </w:tc>
      </w:tr>
      <w:tr>
        <w:tc>
          <w:tcPr>
            <w:tcW w:type="dxa" w:w="4703"/>
            <w:shd w:val="clear" w:color="auto" w:fill="D6E4F0"/>
          </w:tcPr>
          <w:p>
            <w:r>
              <w:rPr>
                <w:sz w:val="18"/>
              </w:rPr>
              <w:t>Biological sex</w:t>
            </w:r>
          </w:p>
        </w:tc>
        <w:tc>
          <w:tcPr>
            <w:tcW w:type="dxa" w:w="4703"/>
          </w:tcPr>
          <w:p>
            <w:r>
              <w:rPr>
                <w:sz w:val="18"/>
              </w:rPr>
              <w:t>XX/XY Tetragametic Chimera; Ovotesticular DSD (OT-DSD)</w:t>
            </w:r>
          </w:p>
        </w:tc>
      </w:tr>
      <w:tr>
        <w:tc>
          <w:tcPr>
            <w:tcW w:type="dxa" w:w="4703"/>
            <w:shd w:val="clear" w:color="auto" w:fill="D6E4F0"/>
          </w:tcPr>
          <w:p>
            <w:r>
              <w:rPr>
                <w:sz w:val="18"/>
              </w:rPr>
              <w:t>Surgical history</w:t>
            </w:r>
          </w:p>
        </w:tc>
        <w:tc>
          <w:tcPr>
            <w:tcW w:type="dxa" w:w="4703"/>
          </w:tcPr>
          <w:p>
            <w:r>
              <w:rPr>
                <w:sz w:val="18"/>
              </w:rPr>
              <w:t>Bilateral orchiectomy prior to CT and US acquisition</w:t>
            </w:r>
          </w:p>
        </w:tc>
      </w:tr>
      <w:tr>
        <w:tc>
          <w:tcPr>
            <w:tcW w:type="dxa" w:w="4703"/>
            <w:shd w:val="clear" w:color="auto" w:fill="D6E4F0"/>
          </w:tcPr>
          <w:p>
            <w:r>
              <w:rPr>
                <w:sz w:val="18"/>
              </w:rPr>
              <w:t>CT study date</w:t>
            </w:r>
          </w:p>
        </w:tc>
        <w:tc>
          <w:tcPr>
            <w:tcW w:type="dxa" w:w="4703"/>
          </w:tcPr>
          <w:p>
            <w:r>
              <w:rPr>
                <w:sz w:val="18"/>
              </w:rPr>
              <w:t>2010 (non-contrast, abdomen/pelvis)</w:t>
            </w:r>
          </w:p>
        </w:tc>
      </w:tr>
      <w:tr>
        <w:tc>
          <w:tcPr>
            <w:tcW w:type="dxa" w:w="4703"/>
            <w:shd w:val="clear" w:color="auto" w:fill="D6E4F0"/>
          </w:tcPr>
          <w:p>
            <w:r>
              <w:rPr>
                <w:sz w:val="18"/>
              </w:rPr>
              <w:t>US study date</w:t>
            </w:r>
          </w:p>
        </w:tc>
        <w:tc>
          <w:tcPr>
            <w:tcW w:type="dxa" w:w="4703"/>
          </w:tcPr>
          <w:p>
            <w:r>
              <w:rPr>
                <w:sz w:val="18"/>
              </w:rPr>
              <w:t>2010-07-01 (abdominal)</w:t>
            </w:r>
          </w:p>
        </w:tc>
      </w:tr>
      <w:tr>
        <w:tc>
          <w:tcPr>
            <w:tcW w:type="dxa" w:w="4703"/>
            <w:shd w:val="clear" w:color="auto" w:fill="D6E4F0"/>
          </w:tcPr>
          <w:p>
            <w:r>
              <w:rPr>
                <w:sz w:val="18"/>
              </w:rPr>
              <w:t>Genomic data</w:t>
            </w:r>
          </w:p>
        </w:tc>
        <w:tc>
          <w:tcPr>
            <w:tcW w:type="dxa" w:w="4703"/>
          </w:tcPr>
          <w:p>
            <w:r>
              <w:rPr>
                <w:sz w:val="18"/>
              </w:rPr>
              <w:t>WGS Report — GRCh37/GRCh38 dual-aligned</w:t>
            </w:r>
          </w:p>
        </w:tc>
      </w:tr>
      <w:tr>
        <w:tc>
          <w:tcPr>
            <w:tcW w:type="dxa" w:w="4703"/>
            <w:shd w:val="clear" w:color="auto" w:fill="D6E4F0"/>
          </w:tcPr>
          <w:p>
            <w:r>
              <w:rPr>
                <w:sz w:val="18"/>
              </w:rPr>
              <w:t>Report prepared</w:t>
            </w:r>
          </w:p>
        </w:tc>
        <w:tc>
          <w:tcPr>
            <w:tcW w:type="dxa" w:w="4703"/>
          </w:tcPr>
          <w:p>
            <w:r>
              <w:rPr>
                <w:sz w:val="18"/>
              </w:rPr>
              <w:t>Based on manual visual review of DICOM data + genomic cross-reference</w:t>
            </w:r>
          </w:p>
        </w:tc>
      </w:tr>
    </w:tbl>
    <w:p/>
    <w:p>
      <w:pPr>
        <w:jc w:val="both"/>
      </w:pPr>
      <w:r>
        <w:rPr>
          <w:i/>
          <w:sz w:val="17"/>
        </w:rPr>
        <w:t>DISCLAIMER: This document represents analysis of available DICOM imaging and patient-provided genomic data. This is not a clinical radiology report and does not constitute a clinical diagnosis. All findings described herein reflect manual visual review of the available non-contrast CT, ultrasound, fluoroscopy, and plain film imaging. Where algorithmic measurements were used (adrenal gland area profile, HU quantification), these are noted explicitly. Findings for which there was insufficient visual evidence have been removed or corrected from prior versions of this report. CRITICAL LIMITATION: No MRI and no contrast-enhanced CT are present in this dataset. Pelvic soft tissue characterization on non-contrast CT is inherently limited.</w:t>
      </w:r>
    </w:p>
    <w:p>
      <w:r>
        <w:br w:type="page"/>
      </w:r>
    </w:p>
    <w:p>
      <w:pPr>
        <w:jc w:val="left"/>
        <w:pBdr>
          <w:bottom w:val="single" w:sz="6" w:space="1" w:color="1F3864"/>
        </w:pBdr>
      </w:pPr>
      <w:r>
        <w:rPr>
          <w:b/>
          <w:color w:val="1F3864"/>
          <w:sz w:val="26"/>
        </w:rPr>
        <w:t>SECTION 1 — STUDY INVENTORY AND TECHNICAL PARAMETERS</w:t>
      </w:r>
    </w:p>
    <w:p>
      <w:pPr>
        <w:jc w:val="both"/>
      </w:pPr>
      <w:r>
        <w:rPr>
          <w:b w:val="0"/>
          <w:i w:val="0"/>
          <w:sz w:val="19"/>
        </w:rPr>
        <w:t>Five imaging modalities are present in this DICOM repository. The primary dataset for anatomical CT assessment is the non-contrast CT abdomen/pelvis (SER00003, 365 axial slices, 1.25 mm slice thickness). Reformatted coronal (SER00007, 71 files) and sagittal (SER00006, 125 files) series were manually reviewed in their entirety. No contrast-enhanced CT and no MRI are present.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Pr>
                <w:b/>
                <w:color w:val="FFFFFF"/>
                <w:sz w:val="17"/>
              </w:rPr>
              <w:t>Series</w:t>
            </w:r>
          </w:p>
        </w:tc>
        <w:tc>
          <w:tcPr>
            <w:tcW w:type="dxa" w:w="2351"/>
            <w:shd w:val="clear" w:color="auto" w:fill="1F3864"/>
          </w:tcPr>
          <w:p>
            <w:r>
              <w:rPr>
                <w:b/>
                <w:color w:val="FFFFFF"/>
                <w:sz w:val="17"/>
              </w:rPr>
              <w:t>Modality</w:t>
            </w:r>
          </w:p>
        </w:tc>
        <w:tc>
          <w:tcPr>
            <w:tcW w:type="dxa" w:w="2351"/>
            <w:shd w:val="clear" w:color="auto" w:fill="1F3864"/>
          </w:tcPr>
          <w:p>
            <w:r>
              <w:rPr>
                <w:b/>
                <w:color w:val="FFFFFF"/>
                <w:sz w:val="17"/>
              </w:rPr>
              <w:t>Files</w:t>
            </w:r>
          </w:p>
        </w:tc>
        <w:tc>
          <w:tcPr>
            <w:tcW w:type="dxa" w:w="2351"/>
            <w:shd w:val="clear" w:color="auto" w:fill="1F3864"/>
          </w:tcPr>
          <w:p>
            <w:r>
              <w:rPr>
                <w:b/>
                <w:color w:val="FFFFFF"/>
                <w:sz w:val="17"/>
              </w:rPr>
              <w:t>Description</w:t>
            </w:r>
          </w:p>
        </w:tc>
      </w:tr>
      <w:tr>
        <w:tc>
          <w:tcPr>
            <w:tcW w:type="dxa" w:w="2351"/>
            <w:shd w:val="clear" w:color="auto" w:fill="F0F4FA"/>
          </w:tcPr>
          <w:p>
            <w:r>
              <w:rPr>
                <w:sz w:val="17"/>
              </w:rPr>
              <w:t>S00001/SER00001</w:t>
            </w:r>
          </w:p>
        </w:tc>
        <w:tc>
          <w:tcPr>
            <w:tcW w:type="dxa" w:w="2351"/>
            <w:shd w:val="clear" w:color="auto" w:fill="F0F4FA"/>
          </w:tcPr>
          <w:p>
            <w:r>
              <w:rPr>
                <w:sz w:val="17"/>
              </w:rPr>
              <w:t>DX</w:t>
            </w:r>
          </w:p>
        </w:tc>
        <w:tc>
          <w:tcPr>
            <w:tcW w:type="dxa" w:w="2351"/>
            <w:shd w:val="clear" w:color="auto" w:fill="F0F4FA"/>
          </w:tcPr>
          <w:p>
            <w:r>
              <w:rPr>
                <w:sz w:val="17"/>
              </w:rPr>
              <w:t>3</w:t>
            </w:r>
          </w:p>
        </w:tc>
        <w:tc>
          <w:tcPr>
            <w:tcW w:type="dxa" w:w="2351"/>
            <w:shd w:val="clear" w:color="auto" w:fill="F0F4FA"/>
          </w:tcPr>
          <w:p>
            <w:r>
              <w:rPr>
                <w:sz w:val="17"/>
              </w:rPr>
              <w:t>Foot X-ray (20101215)</w:t>
            </w:r>
          </w:p>
        </w:tc>
      </w:tr>
      <w:tr>
        <w:tc>
          <w:tcPr>
            <w:tcW w:type="dxa" w:w="2351"/>
          </w:tcPr>
          <w:p>
            <w:r>
              <w:rPr>
                <w:sz w:val="17"/>
              </w:rPr>
              <w:t>S00002/SER00001–48</w:t>
            </w:r>
          </w:p>
        </w:tc>
        <w:tc>
          <w:tcPr>
            <w:tcW w:type="dxa" w:w="2351"/>
          </w:tcPr>
          <w:p>
            <w:r>
              <w:rPr>
                <w:sz w:val="17"/>
              </w:rPr>
              <w:t>RF</w:t>
            </w:r>
          </w:p>
        </w:tc>
        <w:tc>
          <w:tcPr>
            <w:tcW w:type="dxa" w:w="2351"/>
          </w:tcPr>
          <w:p>
            <w:r>
              <w:rPr>
                <w:sz w:val="17"/>
              </w:rPr>
              <w:t>48</w:t>
            </w:r>
          </w:p>
        </w:tc>
        <w:tc>
          <w:tcPr>
            <w:tcW w:type="dxa" w:w="2351"/>
          </w:tcPr>
          <w:p>
            <w:r>
              <w:rPr>
                <w:sz w:val="17"/>
              </w:rPr>
              <w:t>Stomach fluoroscopy (20100707)</w:t>
            </w:r>
          </w:p>
        </w:tc>
      </w:tr>
      <w:tr>
        <w:tc>
          <w:tcPr>
            <w:tcW w:type="dxa" w:w="2351"/>
            <w:shd w:val="clear" w:color="auto" w:fill="F0F4FA"/>
          </w:tcPr>
          <w:p>
            <w:r>
              <w:rPr>
                <w:sz w:val="17"/>
              </w:rPr>
              <w:t>S00002/SER00049–51</w:t>
            </w:r>
          </w:p>
        </w:tc>
        <w:tc>
          <w:tcPr>
            <w:tcW w:type="dxa" w:w="2351"/>
            <w:shd w:val="clear" w:color="auto" w:fill="F0F4FA"/>
          </w:tcPr>
          <w:p>
            <w:r>
              <w:rPr>
                <w:sz w:val="17"/>
              </w:rPr>
              <w:t>CR</w:t>
            </w:r>
          </w:p>
        </w:tc>
        <w:tc>
          <w:tcPr>
            <w:tcW w:type="dxa" w:w="2351"/>
            <w:shd w:val="clear" w:color="auto" w:fill="F0F4FA"/>
          </w:tcPr>
          <w:p>
            <w:r>
              <w:rPr>
                <w:sz w:val="17"/>
              </w:rPr>
              <w:t>3</w:t>
            </w:r>
          </w:p>
        </w:tc>
        <w:tc>
          <w:tcPr>
            <w:tcW w:type="dxa" w:w="2351"/>
            <w:shd w:val="clear" w:color="auto" w:fill="F0F4FA"/>
          </w:tcPr>
          <w:p>
            <w:r>
              <w:rPr>
                <w:sz w:val="17"/>
              </w:rPr>
              <w:t>Stomach plain films</w:t>
            </w:r>
          </w:p>
        </w:tc>
      </w:tr>
      <w:tr>
        <w:tc>
          <w:tcPr>
            <w:tcW w:type="dxa" w:w="2351"/>
          </w:tcPr>
          <w:p>
            <w:r>
              <w:rPr>
                <w:sz w:val="17"/>
              </w:rPr>
              <w:t>S00003/SER00001</w:t>
            </w:r>
          </w:p>
        </w:tc>
        <w:tc>
          <w:tcPr>
            <w:tcW w:type="dxa" w:w="2351"/>
          </w:tcPr>
          <w:p>
            <w:r>
              <w:rPr>
                <w:sz w:val="17"/>
              </w:rPr>
              <w:t>US</w:t>
            </w:r>
          </w:p>
        </w:tc>
        <w:tc>
          <w:tcPr>
            <w:tcW w:type="dxa" w:w="2351"/>
          </w:tcPr>
          <w:p>
            <w:r>
              <w:rPr>
                <w:sz w:val="17"/>
              </w:rPr>
              <w:t>82</w:t>
            </w:r>
          </w:p>
        </w:tc>
        <w:tc>
          <w:tcPr>
            <w:tcW w:type="dxa" w:w="2351"/>
          </w:tcPr>
          <w:p>
            <w:r>
              <w:rPr>
                <w:sz w:val="17"/>
              </w:rPr>
              <w:t>Abdominal ultrasound (20100701)</w:t>
            </w:r>
          </w:p>
        </w:tc>
      </w:tr>
      <w:tr>
        <w:tc>
          <w:tcPr>
            <w:tcW w:type="dxa" w:w="2351"/>
            <w:shd w:val="clear" w:color="auto" w:fill="F0F4FA"/>
          </w:tcPr>
          <w:p>
            <w:r>
              <w:rPr>
                <w:sz w:val="17"/>
              </w:rPr>
              <w:t>S00004/SER00002</w:t>
            </w:r>
          </w:p>
        </w:tc>
        <w:tc>
          <w:tcPr>
            <w:tcW w:type="dxa" w:w="2351"/>
            <w:shd w:val="clear" w:color="auto" w:fill="F0F4FA"/>
          </w:tcPr>
          <w:p>
            <w:r>
              <w:rPr>
                <w:sz w:val="17"/>
              </w:rPr>
              <w:t>CT</w:t>
            </w:r>
          </w:p>
        </w:tc>
        <w:tc>
          <w:tcPr>
            <w:tcW w:type="dxa" w:w="2351"/>
            <w:shd w:val="clear" w:color="auto" w:fill="F0F4FA"/>
          </w:tcPr>
          <w:p>
            <w:r>
              <w:rPr>
                <w:sz w:val="17"/>
              </w:rPr>
              <w:t>92</w:t>
            </w:r>
          </w:p>
        </w:tc>
        <w:tc>
          <w:tcPr>
            <w:tcW w:type="dxa" w:w="2351"/>
            <w:shd w:val="clear" w:color="auto" w:fill="F0F4FA"/>
          </w:tcPr>
          <w:p>
            <w:r>
              <w:rPr>
                <w:sz w:val="17"/>
              </w:rPr>
              <w:t>Non-contrast ureteral CT</w:t>
            </w:r>
          </w:p>
        </w:tc>
      </w:tr>
      <w:tr>
        <w:tc>
          <w:tcPr>
            <w:tcW w:type="dxa" w:w="2351"/>
          </w:tcPr>
          <w:p>
            <w:r>
              <w:rPr>
                <w:sz w:val="17"/>
              </w:rPr>
              <w:t>S00004/SER00003</w:t>
            </w:r>
          </w:p>
        </w:tc>
        <w:tc>
          <w:tcPr>
            <w:tcW w:type="dxa" w:w="2351"/>
          </w:tcPr>
          <w:p>
            <w:r>
              <w:rPr>
                <w:sz w:val="17"/>
              </w:rPr>
              <w:t>CT</w:t>
            </w:r>
          </w:p>
        </w:tc>
        <w:tc>
          <w:tcPr>
            <w:tcW w:type="dxa" w:w="2351"/>
          </w:tcPr>
          <w:p>
            <w:r>
              <w:rPr>
                <w:sz w:val="17"/>
              </w:rPr>
              <w:t>365</w:t>
            </w:r>
          </w:p>
        </w:tc>
        <w:tc>
          <w:tcPr>
            <w:tcW w:type="dxa" w:w="2351"/>
          </w:tcPr>
          <w:p>
            <w:r>
              <w:rPr>
                <w:sz w:val="17"/>
              </w:rPr>
              <w:t>1.25 mm axial sections — primary analysis series</w:t>
            </w:r>
          </w:p>
        </w:tc>
      </w:tr>
      <w:tr>
        <w:tc>
          <w:tcPr>
            <w:tcW w:type="dxa" w:w="2351"/>
            <w:shd w:val="clear" w:color="auto" w:fill="F0F4FA"/>
          </w:tcPr>
          <w:p>
            <w:r>
              <w:rPr>
                <w:sz w:val="17"/>
              </w:rPr>
              <w:t>S00004/SER00004</w:t>
            </w:r>
          </w:p>
        </w:tc>
        <w:tc>
          <w:tcPr>
            <w:tcW w:type="dxa" w:w="2351"/>
            <w:shd w:val="clear" w:color="auto" w:fill="F0F4FA"/>
          </w:tcPr>
          <w:p>
            <w:r>
              <w:rPr>
                <w:sz w:val="17"/>
              </w:rPr>
              <w:t>CT</w:t>
            </w:r>
          </w:p>
        </w:tc>
        <w:tc>
          <w:tcPr>
            <w:tcW w:type="dxa" w:w="2351"/>
            <w:shd w:val="clear" w:color="auto" w:fill="F0F4FA"/>
          </w:tcPr>
          <w:p>
            <w:r>
              <w:rPr>
                <w:sz w:val="17"/>
              </w:rPr>
              <w:t>23</w:t>
            </w:r>
          </w:p>
        </w:tc>
        <w:tc>
          <w:tcPr>
            <w:tcW w:type="dxa" w:w="2351"/>
            <w:shd w:val="clear" w:color="auto" w:fill="F0F4FA"/>
          </w:tcPr>
          <w:p>
            <w:r>
              <w:rPr>
                <w:sz w:val="17"/>
              </w:rPr>
              <w:t>Lung windows</w:t>
            </w:r>
          </w:p>
        </w:tc>
      </w:tr>
      <w:tr>
        <w:tc>
          <w:tcPr>
            <w:tcW w:type="dxa" w:w="2351"/>
          </w:tcPr>
          <w:p>
            <w:r>
              <w:rPr>
                <w:sz w:val="17"/>
              </w:rPr>
              <w:t>S00004/SER00006</w:t>
            </w:r>
          </w:p>
        </w:tc>
        <w:tc>
          <w:tcPr>
            <w:tcW w:type="dxa" w:w="2351"/>
          </w:tcPr>
          <w:p>
            <w:r>
              <w:rPr>
                <w:sz w:val="17"/>
              </w:rPr>
              <w:t>CT</w:t>
            </w:r>
          </w:p>
        </w:tc>
        <w:tc>
          <w:tcPr>
            <w:tcW w:type="dxa" w:w="2351"/>
          </w:tcPr>
          <w:p>
            <w:r>
              <w:rPr>
                <w:sz w:val="17"/>
              </w:rPr>
              <w:t>125</w:t>
            </w:r>
          </w:p>
        </w:tc>
        <w:tc>
          <w:tcPr>
            <w:tcW w:type="dxa" w:w="2351"/>
          </w:tcPr>
          <w:p>
            <w:r>
              <w:rPr>
                <w:sz w:val="17"/>
              </w:rPr>
              <w:t>Reformatted sagittal series — manually reviewed</w:t>
            </w:r>
          </w:p>
        </w:tc>
      </w:tr>
      <w:tr>
        <w:tc>
          <w:tcPr>
            <w:tcW w:type="dxa" w:w="2351"/>
            <w:shd w:val="clear" w:color="auto" w:fill="F0F4FA"/>
          </w:tcPr>
          <w:p>
            <w:r>
              <w:rPr>
                <w:sz w:val="17"/>
              </w:rPr>
              <w:t>S00004/SER00007</w:t>
            </w:r>
          </w:p>
        </w:tc>
        <w:tc>
          <w:tcPr>
            <w:tcW w:type="dxa" w:w="2351"/>
            <w:shd w:val="clear" w:color="auto" w:fill="F0F4FA"/>
          </w:tcPr>
          <w:p>
            <w:r>
              <w:rPr>
                <w:sz w:val="17"/>
              </w:rPr>
              <w:t>CT</w:t>
            </w:r>
          </w:p>
        </w:tc>
        <w:tc>
          <w:tcPr>
            <w:tcW w:type="dxa" w:w="2351"/>
            <w:shd w:val="clear" w:color="auto" w:fill="F0F4FA"/>
          </w:tcPr>
          <w:p>
            <w:r>
              <w:rPr>
                <w:sz w:val="17"/>
              </w:rPr>
              <w:t>71</w:t>
            </w:r>
          </w:p>
        </w:tc>
        <w:tc>
          <w:tcPr>
            <w:tcW w:type="dxa" w:w="2351"/>
            <w:shd w:val="clear" w:color="auto" w:fill="F0F4FA"/>
          </w:tcPr>
          <w:p>
            <w:r>
              <w:rPr>
                <w:sz w:val="17"/>
              </w:rPr>
              <w:t>Reformatted coronal series — manually reviewed</w:t>
            </w:r>
          </w:p>
        </w:tc>
      </w:tr>
    </w:tbl>
    <w:p/>
    <w:p>
      <w:pPr>
        <w:jc w:val="left"/>
      </w:pPr>
      <w:r>
        <w:rPr>
          <w:b/>
          <w:color w:val="1F3864"/>
          <w:sz w:val="22"/>
        </w:rPr>
        <w:t>CT Technical Parameters</w:t>
      </w:r>
    </w:p>
    <w:tbl>
      <w:tblPr>
        <w:tblStyle w:val="TableGrid"/>
        <w:tblW w:type="auto" w:w="0"/>
        <w:tblLook w:firstColumn="1" w:firstRow="1" w:lastColumn="0" w:lastRow="0" w:noHBand="0" w:noVBand="1" w:val="04A0"/>
      </w:tblPr>
      <w:tblGrid>
        <w:gridCol w:w="4703"/>
        <w:gridCol w:w="4703"/>
      </w:tblGrid>
      <w:tr>
        <w:tc>
          <w:tcPr>
            <w:tcW w:type="dxa" w:w="4703"/>
            <w:shd w:val="clear" w:color="auto" w:fill="EAF0FB"/>
          </w:tcPr>
          <w:p>
            <w:r>
              <w:rPr>
                <w:sz w:val="18"/>
              </w:rPr>
              <w:t>Matrix</w:t>
            </w:r>
          </w:p>
        </w:tc>
        <w:tc>
          <w:tcPr>
            <w:tcW w:type="dxa" w:w="4703"/>
          </w:tcPr>
          <w:p>
            <w:r>
              <w:rPr>
                <w:sz w:val="18"/>
              </w:rPr>
              <w:t>512 × 512 pixels</w:t>
            </w:r>
          </w:p>
        </w:tc>
      </w:tr>
      <w:tr>
        <w:tc>
          <w:tcPr>
            <w:tcW w:type="dxa" w:w="4703"/>
            <w:shd w:val="clear" w:color="auto" w:fill="EAF0FB"/>
          </w:tcPr>
          <w:p>
            <w:r>
              <w:rPr>
                <w:sz w:val="18"/>
              </w:rPr>
              <w:t>Pixel spacing</w:t>
            </w:r>
          </w:p>
        </w:tc>
        <w:tc>
          <w:tcPr>
            <w:tcW w:type="dxa" w:w="4703"/>
          </w:tcPr>
          <w:p>
            <w:r>
              <w:rPr>
                <w:sz w:val="18"/>
              </w:rPr>
              <w:t>0.78125 mm × 0.78125 mm</w:t>
            </w:r>
          </w:p>
        </w:tc>
      </w:tr>
      <w:tr>
        <w:tc>
          <w:tcPr>
            <w:tcW w:type="dxa" w:w="4703"/>
            <w:shd w:val="clear" w:color="auto" w:fill="EAF0FB"/>
          </w:tcPr>
          <w:p>
            <w:r>
              <w:rPr>
                <w:sz w:val="18"/>
              </w:rPr>
              <w:t>Slice thickness</w:t>
            </w:r>
          </w:p>
        </w:tc>
        <w:tc>
          <w:tcPr>
            <w:tcW w:type="dxa" w:w="4703"/>
          </w:tcPr>
          <w:p>
            <w:r>
              <w:rPr>
                <w:sz w:val="18"/>
              </w:rPr>
              <w:t>1.25 mm (SER00003)</w:t>
            </w:r>
          </w:p>
        </w:tc>
      </w:tr>
      <w:tr>
        <w:tc>
          <w:tcPr>
            <w:tcW w:type="dxa" w:w="4703"/>
            <w:shd w:val="clear" w:color="auto" w:fill="EAF0FB"/>
          </w:tcPr>
          <w:p>
            <w:r>
              <w:rPr>
                <w:sz w:val="18"/>
              </w:rPr>
              <w:t>Z-axis coverage</w:t>
            </w:r>
          </w:p>
        </w:tc>
        <w:tc>
          <w:tcPr>
            <w:tcW w:type="dxa" w:w="4703"/>
          </w:tcPr>
          <w:p>
            <w:r>
              <w:rPr>
                <w:sz w:val="18"/>
              </w:rPr>
              <w:t>z = −439.8 mm (inferior) to +15.2 mm (superior)</w:t>
            </w:r>
          </w:p>
        </w:tc>
      </w:tr>
      <w:tr>
        <w:tc>
          <w:tcPr>
            <w:tcW w:type="dxa" w:w="4703"/>
            <w:shd w:val="clear" w:color="auto" w:fill="EAF0FB"/>
          </w:tcPr>
          <w:p>
            <w:r>
              <w:rPr>
                <w:sz w:val="18"/>
              </w:rPr>
              <w:t>Contrast</w:t>
            </w:r>
          </w:p>
        </w:tc>
        <w:tc>
          <w:tcPr>
            <w:tcW w:type="dxa" w:w="4703"/>
          </w:tcPr>
          <w:p>
            <w:r>
              <w:rPr>
                <w:sz w:val="18"/>
              </w:rPr>
              <w:t>NON-CONTRAST — no IV contrast administered</w:t>
            </w:r>
          </w:p>
        </w:tc>
      </w:tr>
      <w:tr>
        <w:tc>
          <w:tcPr>
            <w:tcW w:type="dxa" w:w="4703"/>
            <w:shd w:val="clear" w:color="auto" w:fill="EAF0FB"/>
          </w:tcPr>
          <w:p>
            <w:r>
              <w:rPr>
                <w:sz w:val="18"/>
              </w:rPr>
              <w:t>Reformats</w:t>
            </w:r>
          </w:p>
        </w:tc>
        <w:tc>
          <w:tcPr>
            <w:tcW w:type="dxa" w:w="4703"/>
          </w:tcPr>
          <w:p>
            <w:r>
              <w:rPr>
                <w:sz w:val="18"/>
              </w:rPr>
              <w:t>Coronal and sagittal reformats available (SER00006, SER00007)</w:t>
            </w:r>
          </w:p>
        </w:tc>
      </w:tr>
    </w:tbl>
    <w:p>
      <w:r>
        <w:br w:type="page"/>
      </w:r>
    </w:p>
    <w:p>
      <w:pPr>
        <w:jc w:val="left"/>
        <w:pBdr>
          <w:bottom w:val="single" w:sz="6" w:space="1" w:color="1F3864"/>
        </w:pBdr>
      </w:pPr>
      <w:r>
        <w:rPr>
          <w:b/>
          <w:color w:val="1F3864"/>
          <w:sz w:val="26"/>
        </w:rPr>
        <w:t>SECTION 2 — CT IMAGING FINDINGS (MANUAL VISUAL REVIEW)</w:t>
      </w:r>
    </w:p>
    <w:p>
      <w:pPr>
        <w:jc w:val="both"/>
      </w:pPr>
      <w:r>
        <w:rPr>
          <w:b w:val="0"/>
          <w:i w:val="0"/>
          <w:sz w:val="19"/>
        </w:rPr>
        <w:t>All findings below are based on manual visual review of the coronal reformat series (SER00007, 71 slices), sagittal reformat series (SER00006, 125 slices), and axial series (SER00003, 365 slices). Three window settings were applied to each coronal slice: soft tissue (WC40/WW350), narrow soft tissue (WC50/WW200), and bone (WC300/WW1500). Findings described in prior versions of this report that were based solely on automated algorithmic output and were not corroborated by visual review have been removed or corrected.</w:t>
      </w:r>
    </w:p>
    <w:p/>
    <w:p>
      <w:pPr>
        <w:jc w:val="left"/>
      </w:pPr>
      <w:r>
        <w:rPr>
          <w:b/>
          <w:color w:val="1F3864"/>
          <w:sz w:val="22"/>
        </w:rPr>
        <w:t>Figure 1 — Measured Hounsfield Units by Structure</w:t>
      </w:r>
    </w:p>
    <w:p>
      <w:pPr>
        <w:jc w:val="center"/>
      </w:pPr>
      <w:r>
        <w:drawing>
          <wp:inline xmlns:a="http://schemas.openxmlformats.org/drawingml/2006/main" xmlns:pic="http://schemas.openxmlformats.org/drawingml/2006/picture">
            <wp:extent cx="5303520" cy="232029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2320290"/>
                    </a:xfrm>
                    <a:prstGeom prst="rect"/>
                  </pic:spPr>
                </pic:pic>
              </a:graphicData>
            </a:graphic>
          </wp:inline>
        </w:drawing>
      </w:r>
    </w:p>
    <w:p>
      <w:pPr>
        <w:jc w:val="center"/>
      </w:pPr>
      <w:r>
        <w:rPr>
          <w:i/>
          <w:color w:val="505050"/>
          <w:sz w:val="16"/>
        </w:rPr>
        <w:t>Figure 1. Measured mean HU for visually identified structures (blue bars) compared to published expected HU ranges (red error bars). Values confirmed against raw DICOM pixel data. Femoral head HU (~520 HU) confirms bone, not soft tissue, classification.</w:t>
      </w:r>
    </w:p>
    <w:p/>
    <w:p>
      <w:pPr>
        <w:jc w:val="left"/>
      </w:pPr>
      <w:r>
        <w:rPr>
          <w:b/>
          <w:color w:val="1F3864"/>
          <w:sz w:val="22"/>
        </w:rPr>
        <w:t>Finding 1 — Bilateral Adrenal Glands: Present, Bilaterally Symmetric</w:t>
      </w:r>
    </w:p>
    <w:p>
      <w:pPr>
        <w:jc w:val="center"/>
      </w:pPr>
      <w:r>
        <w:drawing>
          <wp:inline xmlns:a="http://schemas.openxmlformats.org/drawingml/2006/main" xmlns:pic="http://schemas.openxmlformats.org/drawingml/2006/picture">
            <wp:extent cx="5303520" cy="2336709"/>
            <wp:docPr id="2" name="Picture 2"/>
            <wp:cNvGraphicFramePr>
              <a:graphicFrameLocks noChangeAspect="1"/>
            </wp:cNvGraphicFramePr>
            <a:graphic>
              <a:graphicData uri="http://schemas.openxmlformats.org/drawingml/2006/picture">
                <pic:pic>
                  <pic:nvPicPr>
                    <pic:cNvPr id="0" name="FIG_CORONAL_FULL_ABDOMEN.png"/>
                    <pic:cNvPicPr/>
                  </pic:nvPicPr>
                  <pic:blipFill>
                    <a:blip r:embed="rId10"/>
                    <a:stretch>
                      <a:fillRect/>
                    </a:stretch>
                  </pic:blipFill>
                  <pic:spPr>
                    <a:xfrm>
                      <a:off x="0" y="0"/>
                      <a:ext cx="5303520" cy="2336709"/>
                    </a:xfrm>
                    <a:prstGeom prst="rect"/>
                  </pic:spPr>
                </pic:pic>
              </a:graphicData>
            </a:graphic>
          </wp:inline>
        </w:drawing>
      </w:r>
    </w:p>
    <w:p>
      <w:pPr>
        <w:jc w:val="center"/>
      </w:pPr>
      <w:r>
        <w:rPr>
          <w:i/>
          <w:color w:val="505050"/>
          <w:sz w:val="16"/>
        </w:rPr>
        <w:t>Figure 2. Coronal reformat (I00041, pos_y=−17.1 mm). Full abdominopelvic view. Bilateral adrenal glands, both kidneys, liver, and spleen visible. Left = soft tissue window (WC40/WW350); Centre = narrow soft tissue (WC50/WW200); Right = bone window.</w:t>
      </w:r>
    </w:p>
    <w:p/>
    <w:tbl>
      <w:tblPr>
        <w:tblStyle w:val="TableGrid"/>
        <w:tblW w:type="auto" w:w="0"/>
        <w:tblLook w:firstColumn="1" w:firstRow="1" w:lastColumn="0" w:lastRow="0" w:noHBand="0" w:noVBand="1" w:val="04A0"/>
      </w:tblPr>
      <w:tblGrid>
        <w:gridCol w:w="4703"/>
        <w:gridCol w:w="4703"/>
      </w:tblGrid>
      <w:tr>
        <w:tc>
          <w:tcPr>
            <w:tcW w:type="dxa" w:w="4703"/>
            <w:shd w:val="clear" w:color="auto" w:fill="D6E4F0"/>
          </w:tcPr>
          <w:p>
            <w:r>
              <w:rPr>
                <w:b/>
                <w:sz w:val="18"/>
              </w:rPr>
              <w:t>Parameter</w:t>
            </w:r>
          </w:p>
        </w:tc>
        <w:tc>
          <w:tcPr>
            <w:tcW w:type="dxa" w:w="4703"/>
            <w:shd w:val="clear" w:color="auto" w:fill="D6E4F0"/>
          </w:tcPr>
          <w:p>
            <w:r>
              <w:rPr>
                <w:b/>
                <w:sz w:val="18"/>
              </w:rPr>
              <w:t>Value</w:t>
            </w:r>
          </w:p>
        </w:tc>
      </w:tr>
      <w:tr>
        <w:tc>
          <w:tcPr>
            <w:tcW w:type="dxa" w:w="4703"/>
            <w:shd w:val="clear" w:color="auto" w:fill="F5F9FF"/>
          </w:tcPr>
          <w:p>
            <w:r>
              <w:rPr>
                <w:sz w:val="18"/>
              </w:rPr>
              <w:t>Laterality</w:t>
            </w:r>
          </w:p>
        </w:tc>
        <w:tc>
          <w:tcPr>
            <w:tcW w:type="dxa" w:w="4703"/>
            <w:shd w:val="clear" w:color="auto" w:fill="F5F9FF"/>
          </w:tcPr>
          <w:p>
            <w:r>
              <w:rPr>
                <w:sz w:val="18"/>
              </w:rPr>
              <w:t>Bilateral — both glands present</w:t>
            </w:r>
          </w:p>
        </w:tc>
      </w:tr>
      <w:tr>
        <w:tc>
          <w:tcPr>
            <w:tcW w:type="dxa" w:w="4703"/>
          </w:tcPr>
          <w:p>
            <w:r>
              <w:rPr>
                <w:sz w:val="18"/>
              </w:rPr>
              <w:t>Mean HU (left)</w:t>
            </w:r>
          </w:p>
        </w:tc>
        <w:tc>
          <w:tcPr>
            <w:tcW w:type="dxa" w:w="4703"/>
          </w:tcPr>
          <w:p>
            <w:r>
              <w:rPr>
                <w:sz w:val="18"/>
              </w:rPr>
              <w:t>~42 HU (within normal adrenal range 20–60 HU)</w:t>
            </w:r>
          </w:p>
        </w:tc>
      </w:tr>
      <w:tr>
        <w:tc>
          <w:tcPr>
            <w:tcW w:type="dxa" w:w="4703"/>
            <w:shd w:val="clear" w:color="auto" w:fill="F5F9FF"/>
          </w:tcPr>
          <w:p>
            <w:r>
              <w:rPr>
                <w:sz w:val="18"/>
              </w:rPr>
              <w:t>Mean HU (right)</w:t>
            </w:r>
          </w:p>
        </w:tc>
        <w:tc>
          <w:tcPr>
            <w:tcW w:type="dxa" w:w="4703"/>
            <w:shd w:val="clear" w:color="auto" w:fill="F5F9FF"/>
          </w:tcPr>
          <w:p>
            <w:r>
              <w:rPr>
                <w:sz w:val="18"/>
              </w:rPr>
              <w:t>~39 HU (within normal adrenal range 20–60 HU)</w:t>
            </w:r>
          </w:p>
        </w:tc>
      </w:tr>
      <w:tr>
        <w:tc>
          <w:tcPr>
            <w:tcW w:type="dxa" w:w="4703"/>
          </w:tcPr>
          <w:p>
            <w:r>
              <w:rPr>
                <w:sz w:val="18"/>
              </w:rPr>
              <w:t>Morphology</w:t>
            </w:r>
          </w:p>
        </w:tc>
        <w:tc>
          <w:tcPr>
            <w:tcW w:type="dxa" w:w="4703"/>
          </w:tcPr>
          <w:p>
            <w:r>
              <w:rPr>
                <w:sz w:val="18"/>
              </w:rPr>
              <w:t>Triangular/linear adrenal morphology, preserved bilateral symmetry</w:t>
            </w:r>
          </w:p>
        </w:tc>
      </w:tr>
      <w:tr>
        <w:tc>
          <w:tcPr>
            <w:tcW w:type="dxa" w:w="4703"/>
            <w:shd w:val="clear" w:color="auto" w:fill="F5F9FF"/>
          </w:tcPr>
          <w:p>
            <w:r>
              <w:rPr>
                <w:sz w:val="18"/>
              </w:rPr>
              <w:t>Z-axis level</w:t>
            </w:r>
          </w:p>
        </w:tc>
        <w:tc>
          <w:tcPr>
            <w:tcW w:type="dxa" w:w="4703"/>
            <w:shd w:val="clear" w:color="auto" w:fill="F5F9FF"/>
          </w:tcPr>
          <w:p>
            <w:r>
              <w:rPr>
                <w:sz w:val="18"/>
              </w:rPr>
              <w:t>Approximately z = −70 to −140 mm (superior retroperitoneum)</w:t>
            </w:r>
          </w:p>
        </w:tc>
      </w:tr>
      <w:tr>
        <w:tc>
          <w:tcPr>
            <w:tcW w:type="dxa" w:w="4703"/>
          </w:tcPr>
          <w:p>
            <w:r>
              <w:rPr>
                <w:sz w:val="18"/>
              </w:rPr>
              <w:t>Adenoma excluded?</w:t>
            </w:r>
          </w:p>
        </w:tc>
        <w:tc>
          <w:tcPr>
            <w:tcW w:type="dxa" w:w="4703"/>
          </w:tcPr>
          <w:p>
            <w:r>
              <w:rPr>
                <w:sz w:val="18"/>
              </w:rPr>
              <w:t>No discrete nodule or focal low-attenuation lesion identified on non-contrast CT; cannot fully exclude sub-centimeter lesion without contrast</w:t>
            </w:r>
          </w:p>
        </w:tc>
      </w:tr>
    </w:tbl>
    <w:p/>
    <w:p>
      <w:pPr>
        <w:jc w:val="both"/>
      </w:pPr>
      <w:r>
        <w:rPr>
          <w:b w:val="0"/>
          <w:i w:val="0"/>
          <w:sz w:val="19"/>
        </w:rPr>
        <w:t>Clinical Interpretation: Both adrenal glands are present and bilaterally symmetric on the coronal and axial series. Attenuation values are within the normal range (20–60 HU). No discrete adenoma or mass is identified. The adrenal glands are the primary source of 11-ketotestosterone (11-KT) in this patient, relevant given bilateral orchiectomy and the genomic finding of active adrenal androgen synthesis pathway variants (CYP17A1, CYP21A2). Dedicated adrenal protocol CT or MRI (chemical shift imaging) would be required to exclude small adenoma if clinically indicated.</w:t>
      </w:r>
    </w:p>
    <w:p/>
    <w:p>
      <w:pPr>
        <w:jc w:val="left"/>
      </w:pPr>
      <w:r>
        <w:rPr>
          <w:b/>
          <w:color w:val="1F3864"/>
          <w:sz w:val="22"/>
        </w:rPr>
        <w:t>Figure 3 — Adrenal Area Profile (Axial Series SER00003)</w:t>
      </w:r>
    </w:p>
    <w:p>
      <w:pPr>
        <w:jc w:val="center"/>
      </w:pPr>
      <w:r>
        <w:drawing>
          <wp:inline xmlns:a="http://schemas.openxmlformats.org/drawingml/2006/main" xmlns:pic="http://schemas.openxmlformats.org/drawingml/2006/picture">
            <wp:extent cx="5303520" cy="227293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272937"/>
                    </a:xfrm>
                    <a:prstGeom prst="rect"/>
                  </pic:spPr>
                </pic:pic>
              </a:graphicData>
            </a:graphic>
          </wp:inline>
        </w:drawing>
      </w:r>
    </w:p>
    <w:p>
      <w:pPr>
        <w:jc w:val="center"/>
      </w:pPr>
      <w:r>
        <w:rPr>
          <w:i/>
          <w:color w:val="505050"/>
          <w:sz w:val="16"/>
        </w:rPr>
        <w:t>Figure 3. Cross-sectional area (mm²) per axial CT slice for the bilateral adrenal glands. Profiles are symmetric and consistent with normal gland morphology. Values derived from HU-threshold segmentation on the axial series and are representative estimates.</w:t>
      </w:r>
    </w:p>
    <w:p>
      <w:r>
        <w:br w:type="page"/>
      </w:r>
    </w:p>
    <w:p>
      <w:pPr>
        <w:jc w:val="left"/>
      </w:pPr>
      <w:r>
        <w:rPr>
          <w:b/>
          <w:color w:val="1F3864"/>
          <w:sz w:val="22"/>
        </w:rPr>
        <w:t>Finding 2 — Prostate Zone: No Discrete Prostate Gland Identified</w:t>
      </w:r>
    </w:p>
    <w:tbl>
      <w:tblPr>
        <w:tblStyle w:val="TableGrid"/>
        <w:tblW w:type="auto" w:w="0"/>
        <w:tblLook w:firstColumn="1" w:firstRow="1" w:lastColumn="0" w:lastRow="0" w:noHBand="0" w:noVBand="1" w:val="04A0"/>
      </w:tblPr>
      <w:tblGrid>
        <w:gridCol w:w="4703"/>
        <w:gridCol w:w="4703"/>
      </w:tblGrid>
      <w:tr>
        <w:tc>
          <w:tcPr>
            <w:tcW w:type="dxa" w:w="4703"/>
            <w:shd w:val="clear" w:color="auto" w:fill="D6E4F0"/>
          </w:tcPr>
          <w:p>
            <w:r>
              <w:rPr>
                <w:b/>
                <w:sz w:val="18"/>
              </w:rPr>
              <w:t>Parameter</w:t>
            </w:r>
          </w:p>
        </w:tc>
        <w:tc>
          <w:tcPr>
            <w:tcW w:type="dxa" w:w="4703"/>
            <w:shd w:val="clear" w:color="auto" w:fill="D6E4F0"/>
          </w:tcPr>
          <w:p>
            <w:r>
              <w:rPr>
                <w:b/>
                <w:sz w:val="18"/>
              </w:rPr>
              <w:t>Value</w:t>
            </w:r>
          </w:p>
        </w:tc>
      </w:tr>
      <w:tr>
        <w:tc>
          <w:tcPr>
            <w:tcW w:type="dxa" w:w="4703"/>
            <w:shd w:val="clear" w:color="auto" w:fill="F5F9FF"/>
          </w:tcPr>
          <w:p>
            <w:r>
              <w:rPr>
                <w:sz w:val="18"/>
              </w:rPr>
              <w:t>Location assessed</w:t>
            </w:r>
          </w:p>
        </w:tc>
        <w:tc>
          <w:tcPr>
            <w:tcW w:type="dxa" w:w="4703"/>
            <w:shd w:val="clear" w:color="auto" w:fill="F5F9FF"/>
          </w:tcPr>
          <w:p>
            <w:r>
              <w:rPr>
                <w:sz w:val="18"/>
              </w:rPr>
              <w:t>Retrovesical/subvesical zone, z = −345 to −420 mm axially</w:t>
            </w:r>
          </w:p>
        </w:tc>
      </w:tr>
      <w:tr>
        <w:tc>
          <w:tcPr>
            <w:tcW w:type="dxa" w:w="4703"/>
          </w:tcPr>
          <w:p>
            <w:r>
              <w:rPr>
                <w:sz w:val="18"/>
              </w:rPr>
              <w:t>Expected structure</w:t>
            </w:r>
          </w:p>
        </w:tc>
        <w:tc>
          <w:tcPr>
            <w:tcW w:type="dxa" w:w="4703"/>
          </w:tcPr>
          <w:p>
            <w:r>
              <w:rPr>
                <w:sz w:val="18"/>
              </w:rPr>
              <w:t>Discrete ovoid soft tissue gland, 20–40 mm, posterior to bladder neck</w:t>
            </w:r>
          </w:p>
        </w:tc>
      </w:tr>
      <w:tr>
        <w:tc>
          <w:tcPr>
            <w:tcW w:type="dxa" w:w="4703"/>
            <w:shd w:val="clear" w:color="auto" w:fill="F5F9FF"/>
          </w:tcPr>
          <w:p>
            <w:r>
              <w:rPr>
                <w:sz w:val="18"/>
              </w:rPr>
              <w:t>Visual finding</w:t>
            </w:r>
          </w:p>
        </w:tc>
        <w:tc>
          <w:tcPr>
            <w:tcW w:type="dxa" w:w="4703"/>
            <w:shd w:val="clear" w:color="auto" w:fill="F5F9FF"/>
          </w:tcPr>
          <w:p>
            <w:r>
              <w:rPr>
                <w:sz w:val="18"/>
              </w:rPr>
              <w:t>No discrete prostate-equivalent gland identified</w:t>
            </w:r>
          </w:p>
        </w:tc>
      </w:tr>
      <w:tr>
        <w:tc>
          <w:tcPr>
            <w:tcW w:type="dxa" w:w="4703"/>
          </w:tcPr>
          <w:p>
            <w:r>
              <w:rPr>
                <w:sz w:val="18"/>
              </w:rPr>
              <w:t>Retrovesical tissue</w:t>
            </w:r>
          </w:p>
        </w:tc>
        <w:tc>
          <w:tcPr>
            <w:tcW w:type="dxa" w:w="4703"/>
          </w:tcPr>
          <w:p>
            <w:r>
              <w:rPr>
                <w:sz w:val="18"/>
              </w:rPr>
              <w:t>Non-specific soft tissue present; cannot characterize further on non-contrast CT</w:t>
            </w:r>
          </w:p>
        </w:tc>
      </w:tr>
      <w:tr>
        <w:tc>
          <w:tcPr>
            <w:tcW w:type="dxa" w:w="4703"/>
            <w:shd w:val="clear" w:color="auto" w:fill="F5F9FF"/>
          </w:tcPr>
          <w:p>
            <w:r>
              <w:rPr>
                <w:sz w:val="18"/>
              </w:rPr>
              <w:t>Seminal vesicles</w:t>
            </w:r>
          </w:p>
        </w:tc>
        <w:tc>
          <w:tcPr>
            <w:tcW w:type="dxa" w:w="4703"/>
            <w:shd w:val="clear" w:color="auto" w:fill="F5F9FF"/>
          </w:tcPr>
          <w:p>
            <w:r>
              <w:rPr>
                <w:sz w:val="18"/>
              </w:rPr>
              <w:t>Not individually identified; may be absent, rudimentary, or obscured by distended bladder</w:t>
            </w:r>
          </w:p>
        </w:tc>
      </w:tr>
      <w:tr>
        <w:tc>
          <w:tcPr>
            <w:tcW w:type="dxa" w:w="4703"/>
          </w:tcPr>
          <w:p>
            <w:r>
              <w:rPr>
                <w:sz w:val="18"/>
              </w:rPr>
              <w:t>Imaging limitation</w:t>
            </w:r>
          </w:p>
        </w:tc>
        <w:tc>
          <w:tcPr>
            <w:tcW w:type="dxa" w:w="4703"/>
          </w:tcPr>
          <w:p>
            <w:r>
              <w:rPr>
                <w:sz w:val="18"/>
              </w:rPr>
              <w:t>Non-contrast CT only; MRI required for definitive characterization</w:t>
            </w:r>
          </w:p>
        </w:tc>
      </w:tr>
    </w:tbl>
    <w:p/>
    <w:p>
      <w:pPr>
        <w:jc w:val="both"/>
      </w:pPr>
      <w:r>
        <w:rPr>
          <w:b w:val="0"/>
          <w:i w:val="0"/>
          <w:sz w:val="19"/>
        </w:rPr>
        <w:t>Clinical Interpretation: No discrete prostate gland was identified in the expected anatomical location on manual visual review of axial, coronal, and sagittal series. This is consistent with the patient's genomic profile: SRD5A2 (5α-reductase type 2) is reported as homozygous pathogenic in the WGS data. SRD5A2 is responsible for conversion of testosterone to dihydrotestosterone (DHT), the principal androgen required for prostate development. Absent or non-functional SRD5A2 is the cause of 5α-reductase deficiency syndrome, in which the prostate is characteristically absent or severely hypoplastic. The non-contrast CT cannot exclude a rudimentary soft tissue remnant; dedicated pelvic MRI is required for definitive assessment.</w:t>
      </w:r>
    </w:p>
    <w:p/>
    <w:p>
      <w:pPr>
        <w:jc w:val="left"/>
      </w:pPr>
      <w:r>
        <w:rPr>
          <w:b/>
          <w:color w:val="1F3864"/>
          <w:sz w:val="22"/>
        </w:rPr>
        <w:t>Finding 3 — Posterior Midline Pelvic Soft Tissue: Non-Specific on Non-Contrast CT</w:t>
      </w:r>
    </w:p>
    <w:p>
      <w:pPr>
        <w:jc w:val="center"/>
      </w:pPr>
      <w:r>
        <w:drawing>
          <wp:inline xmlns:a="http://schemas.openxmlformats.org/drawingml/2006/main" xmlns:pic="http://schemas.openxmlformats.org/drawingml/2006/picture">
            <wp:extent cx="5303520" cy="2318575"/>
            <wp:docPr id="4" name="Picture 4"/>
            <wp:cNvGraphicFramePr>
              <a:graphicFrameLocks noChangeAspect="1"/>
            </wp:cNvGraphicFramePr>
            <a:graphic>
              <a:graphicData uri="http://schemas.openxmlformats.org/drawingml/2006/picture">
                <pic:pic>
                  <pic:nvPicPr>
                    <pic:cNvPr id="0" name="FIG_CORONAL_RETROVESICAL.png"/>
                    <pic:cNvPicPr/>
                  </pic:nvPicPr>
                  <pic:blipFill>
                    <a:blip r:embed="rId12"/>
                    <a:stretch>
                      <a:fillRect/>
                    </a:stretch>
                  </pic:blipFill>
                  <pic:spPr>
                    <a:xfrm>
                      <a:off x="0" y="0"/>
                      <a:ext cx="5303520" cy="2318575"/>
                    </a:xfrm>
                    <a:prstGeom prst="rect"/>
                  </pic:spPr>
                </pic:pic>
              </a:graphicData>
            </a:graphic>
          </wp:inline>
        </w:drawing>
      </w:r>
    </w:p>
    <w:p>
      <w:pPr>
        <w:jc w:val="center"/>
      </w:pPr>
      <w:r>
        <w:rPr>
          <w:i/>
          <w:color w:val="505050"/>
          <w:sz w:val="16"/>
        </w:rPr>
        <w:t>Figure 4. Coronal reformat (I00053, pos_y=+12.9 mm — posterior to bladder). The posterior pelvis and retrovesical space at this level. Sacrum visible on bone window (right panel). Non-specific soft tissue occupies the retrovesical space.</w:t>
      </w:r>
    </w:p>
    <w:p/>
    <w:tbl>
      <w:tblPr>
        <w:tblStyle w:val="TableGrid"/>
        <w:tblW w:type="auto" w:w="0"/>
        <w:tblLook w:firstColumn="1" w:firstRow="1" w:lastColumn="0" w:lastRow="0" w:noHBand="0" w:noVBand="1" w:val="04A0"/>
      </w:tblPr>
      <w:tblGrid>
        <w:gridCol w:w="4703"/>
        <w:gridCol w:w="4703"/>
      </w:tblGrid>
      <w:tr>
        <w:tc>
          <w:tcPr>
            <w:tcW w:type="dxa" w:w="4703"/>
            <w:shd w:val="clear" w:color="auto" w:fill="D6E4F0"/>
          </w:tcPr>
          <w:p>
            <w:r>
              <w:rPr>
                <w:b/>
                <w:sz w:val="18"/>
              </w:rPr>
              <w:t>Parameter</w:t>
            </w:r>
          </w:p>
        </w:tc>
        <w:tc>
          <w:tcPr>
            <w:tcW w:type="dxa" w:w="4703"/>
            <w:shd w:val="clear" w:color="auto" w:fill="D6E4F0"/>
          </w:tcPr>
          <w:p>
            <w:r>
              <w:rPr>
                <w:b/>
                <w:sz w:val="18"/>
              </w:rPr>
              <w:t>Value</w:t>
            </w:r>
          </w:p>
        </w:tc>
      </w:tr>
      <w:tr>
        <w:tc>
          <w:tcPr>
            <w:tcW w:type="dxa" w:w="4703"/>
            <w:shd w:val="clear" w:color="auto" w:fill="F5F9FF"/>
          </w:tcPr>
          <w:p>
            <w:r>
              <w:rPr>
                <w:sz w:val="18"/>
              </w:rPr>
              <w:t>Location</w:t>
            </w:r>
          </w:p>
        </w:tc>
        <w:tc>
          <w:tcPr>
            <w:tcW w:type="dxa" w:w="4703"/>
            <w:shd w:val="clear" w:color="auto" w:fill="F5F9FF"/>
          </w:tcPr>
          <w:p>
            <w:r>
              <w:rPr>
                <w:sz w:val="18"/>
              </w:rPr>
              <w:t>Retrovesical space, posterior midline pelvis</w:t>
            </w:r>
          </w:p>
        </w:tc>
      </w:tr>
      <w:tr>
        <w:tc>
          <w:tcPr>
            <w:tcW w:type="dxa" w:w="4703"/>
          </w:tcPr>
          <w:p>
            <w:r>
              <w:rPr>
                <w:sz w:val="18"/>
              </w:rPr>
              <w:t>Visual appearance</w:t>
            </w:r>
          </w:p>
        </w:tc>
        <w:tc>
          <w:tcPr>
            <w:tcW w:type="dxa" w:w="4703"/>
          </w:tcPr>
          <w:p>
            <w:r>
              <w:rPr>
                <w:sz w:val="18"/>
              </w:rPr>
              <w:t>Non-specific soft tissue density in expected location of uterus/vagina/seminal vesicles</w:t>
            </w:r>
          </w:p>
        </w:tc>
      </w:tr>
      <w:tr>
        <w:tc>
          <w:tcPr>
            <w:tcW w:type="dxa" w:w="4703"/>
            <w:shd w:val="clear" w:color="auto" w:fill="F5F9FF"/>
          </w:tcPr>
          <w:p>
            <w:r>
              <w:rPr>
                <w:sz w:val="18"/>
              </w:rPr>
              <w:t>HU range</w:t>
            </w:r>
          </w:p>
        </w:tc>
        <w:tc>
          <w:tcPr>
            <w:tcW w:type="dxa" w:w="4703"/>
            <w:shd w:val="clear" w:color="auto" w:fill="F5F9FF"/>
          </w:tcPr>
          <w:p>
            <w:r>
              <w:rPr>
                <w:sz w:val="18"/>
              </w:rPr>
              <w:t>Approximately 40–60 HU (soft tissue density — cannot differentiate from muscle or bowel wall)</w:t>
            </w:r>
          </w:p>
        </w:tc>
      </w:tr>
      <w:tr>
        <w:tc>
          <w:tcPr>
            <w:tcW w:type="dxa" w:w="4703"/>
          </w:tcPr>
          <w:p>
            <w:r>
              <w:rPr>
                <w:sz w:val="18"/>
              </w:rPr>
              <w:t>Discrete mass?</w:t>
            </w:r>
          </w:p>
        </w:tc>
        <w:tc>
          <w:tcPr>
            <w:tcW w:type="dxa" w:w="4703"/>
          </w:tcPr>
          <w:p>
            <w:r>
              <w:rPr>
                <w:sz w:val="18"/>
              </w:rPr>
              <w:t>No clearly discrete, well-marginated mass identified on non-contrast CT</w:t>
            </w:r>
          </w:p>
        </w:tc>
      </w:tr>
      <w:tr>
        <w:tc>
          <w:tcPr>
            <w:tcW w:type="dxa" w:w="4703"/>
            <w:shd w:val="clear" w:color="auto" w:fill="F5F9FF"/>
          </w:tcPr>
          <w:p>
            <w:r>
              <w:rPr>
                <w:sz w:val="18"/>
              </w:rPr>
              <w:t>Müllerian remnant?</w:t>
            </w:r>
          </w:p>
        </w:tc>
        <w:tc>
          <w:tcPr>
            <w:tcW w:type="dxa" w:w="4703"/>
            <w:shd w:val="clear" w:color="auto" w:fill="F5F9FF"/>
          </w:tcPr>
          <w:p>
            <w:r>
              <w:rPr>
                <w:sz w:val="18"/>
              </w:rPr>
              <w:t>Cannot confirm or exclude on non-contrast CT — MRI required</w:t>
            </w:r>
          </w:p>
        </w:tc>
      </w:tr>
      <w:tr>
        <w:tc>
          <w:tcPr>
            <w:tcW w:type="dxa" w:w="4703"/>
          </w:tcPr>
          <w:p>
            <w:r>
              <w:rPr>
                <w:sz w:val="18"/>
              </w:rPr>
              <w:t>Rectum</w:t>
            </w:r>
          </w:p>
        </w:tc>
        <w:tc>
          <w:tcPr>
            <w:tcW w:type="dxa" w:w="4703"/>
          </w:tcPr>
          <w:p>
            <w:r>
              <w:rPr>
                <w:sz w:val="18"/>
              </w:rPr>
              <w:t>Posterior to retrovesical space; rectum visible on posterior coronal slices</w:t>
            </w:r>
          </w:p>
        </w:tc>
      </w:tr>
    </w:tbl>
    <w:p/>
    <w:p>
      <w:pPr>
        <w:jc w:val="both"/>
      </w:pPr>
      <w:r>
        <w:rPr>
          <w:b w:val="0"/>
          <w:i w:val="0"/>
          <w:sz w:val="19"/>
        </w:rPr>
        <w:t>Clinical Interpretation: Soft tissue is present in the retrovesical/posterior pelvic midline space on the coronal series. This is a non-specific finding on non-contrast CT: soft tissue density (40–60 HU) in this location could represent Müllerian remnants (rudimentary uterus, cervix, or upper vagina), residual pelvic floor musculature, bowel wall, or normal post-orchiectomy fibrotic change. In the clinical context of XX/XY tetragametic chimerism (OT-DSD), Müllerian structures may persist depending on the local AMH/MIF environment at the time of development. However, this cannot be confirmed or excluded on non-contrast CT. MRI pelvis (T2-weighted, multi-planar, with and without gadolinium) is the appropriate next imaging modality for characterization of pelvic soft tissue anatomy in this patient.</w:t>
      </w:r>
    </w:p>
    <w:p/>
    <w:p>
      <w:pPr>
        <w:jc w:val="left"/>
      </w:pPr>
      <w:r>
        <w:rPr>
          <w:b/>
          <w:color w:val="1F3864"/>
          <w:sz w:val="22"/>
        </w:rPr>
        <w:t>Finding 4 — CORRECTION: Bilateral Lateral Pelvic Structures Are Femoral Heads (Normal Bone)</w:t>
      </w:r>
    </w:p>
    <w:p>
      <w:pPr>
        <w:jc w:val="center"/>
      </w:pPr>
      <w:r>
        <w:drawing>
          <wp:inline xmlns:a="http://schemas.openxmlformats.org/drawingml/2006/main" xmlns:pic="http://schemas.openxmlformats.org/drawingml/2006/picture">
            <wp:extent cx="5303520" cy="2318575"/>
            <wp:docPr id="5" name="Picture 5"/>
            <wp:cNvGraphicFramePr>
              <a:graphicFrameLocks noChangeAspect="1"/>
            </wp:cNvGraphicFramePr>
            <a:graphic>
              <a:graphicData uri="http://schemas.openxmlformats.org/drawingml/2006/picture">
                <pic:pic>
                  <pic:nvPicPr>
                    <pic:cNvPr id="0" name="FIG_CORONAL_PELVIS_Y0.png"/>
                    <pic:cNvPicPr/>
                  </pic:nvPicPr>
                  <pic:blipFill>
                    <a:blip r:embed="rId13"/>
                    <a:stretch>
                      <a:fillRect/>
                    </a:stretch>
                  </pic:blipFill>
                  <pic:spPr>
                    <a:xfrm>
                      <a:off x="0" y="0"/>
                      <a:ext cx="5303520" cy="2318575"/>
                    </a:xfrm>
                    <a:prstGeom prst="rect"/>
                  </pic:spPr>
                </pic:pic>
              </a:graphicData>
            </a:graphic>
          </wp:inline>
        </w:drawing>
      </w:r>
    </w:p>
    <w:p>
      <w:pPr>
        <w:jc w:val="center"/>
      </w:pPr>
      <w:r>
        <w:rPr>
          <w:i/>
          <w:color w:val="505050"/>
          <w:sz w:val="16"/>
        </w:rPr>
        <w:t>Figure 5. Coronal reformat (I00048, pos_y=+0.4 mm). The bilateral round, corticated structures flanking the central bladder are FEMORAL HEADS — confirmed on bone window (right panel, WC300/WW1500) showing dense cortex and cancellous center characteristic of bone, HU ~520. These were previously and INCORRECTLY described as adnexal soft tissue masses in prior report versions.</w:t>
      </w:r>
    </w:p>
    <w:p/>
    <w:tbl>
      <w:tblPr>
        <w:tblStyle w:val="TableGrid"/>
        <w:tblW w:type="auto" w:w="0"/>
        <w:tblLook w:firstColumn="1" w:firstRow="1" w:lastColumn="0" w:lastRow="0" w:noHBand="0" w:noVBand="1" w:val="04A0"/>
      </w:tblPr>
      <w:tblGrid>
        <w:gridCol w:w="4703"/>
        <w:gridCol w:w="4703"/>
      </w:tblGrid>
      <w:tr>
        <w:tc>
          <w:tcPr>
            <w:tcW w:type="dxa" w:w="4703"/>
            <w:shd w:val="clear" w:color="auto" w:fill="D6E4F0"/>
          </w:tcPr>
          <w:p>
            <w:r>
              <w:rPr>
                <w:b/>
                <w:sz w:val="18"/>
              </w:rPr>
              <w:t>Parameter</w:t>
            </w:r>
          </w:p>
        </w:tc>
        <w:tc>
          <w:tcPr>
            <w:tcW w:type="dxa" w:w="4703"/>
            <w:shd w:val="clear" w:color="auto" w:fill="D6E4F0"/>
          </w:tcPr>
          <w:p>
            <w:r>
              <w:rPr>
                <w:b/>
                <w:sz w:val="18"/>
              </w:rPr>
              <w:t>Value</w:t>
            </w:r>
          </w:p>
        </w:tc>
      </w:tr>
      <w:tr>
        <w:tc>
          <w:tcPr>
            <w:tcW w:type="dxa" w:w="4703"/>
            <w:shd w:val="clear" w:color="auto" w:fill="F5F9FF"/>
          </w:tcPr>
          <w:p>
            <w:r>
              <w:rPr>
                <w:sz w:val="18"/>
              </w:rPr>
              <w:t>Structure identity</w:t>
            </w:r>
          </w:p>
        </w:tc>
        <w:tc>
          <w:tcPr>
            <w:tcW w:type="dxa" w:w="4703"/>
            <w:shd w:val="clear" w:color="auto" w:fill="F5F9FF"/>
          </w:tcPr>
          <w:p>
            <w:r>
              <w:rPr>
                <w:sz w:val="18"/>
              </w:rPr>
              <w:t>FEMORAL HEADS — bilateral, normal skeletal anatomy</w:t>
            </w:r>
          </w:p>
        </w:tc>
      </w:tr>
      <w:tr>
        <w:tc>
          <w:tcPr>
            <w:tcW w:type="dxa" w:w="4703"/>
          </w:tcPr>
          <w:p>
            <w:r>
              <w:rPr>
                <w:sz w:val="18"/>
              </w:rPr>
              <w:t>Bone window HU</w:t>
            </w:r>
          </w:p>
        </w:tc>
        <w:tc>
          <w:tcPr>
            <w:tcW w:type="dxa" w:w="4703"/>
          </w:tcPr>
          <w:p>
            <w:r>
              <w:rPr>
                <w:sz w:val="18"/>
              </w:rPr>
              <w:t>~520 HU — confirmed bone density (expected: 300–700 HU)</w:t>
            </w:r>
          </w:p>
        </w:tc>
      </w:tr>
      <w:tr>
        <w:tc>
          <w:tcPr>
            <w:tcW w:type="dxa" w:w="4703"/>
            <w:shd w:val="clear" w:color="auto" w:fill="F5F9FF"/>
          </w:tcPr>
          <w:p>
            <w:r>
              <w:rPr>
                <w:sz w:val="18"/>
              </w:rPr>
              <w:t>Morphology</w:t>
            </w:r>
          </w:p>
        </w:tc>
        <w:tc>
          <w:tcPr>
            <w:tcW w:type="dxa" w:w="4703"/>
            <w:shd w:val="clear" w:color="auto" w:fill="F5F9FF"/>
          </w:tcPr>
          <w:p>
            <w:r>
              <w:rPr>
                <w:sz w:val="18"/>
              </w:rPr>
              <w:t>Round, corticated, with cancellous trabecular center — classic femoral head appearance</w:t>
            </w:r>
          </w:p>
        </w:tc>
      </w:tr>
      <w:tr>
        <w:tc>
          <w:tcPr>
            <w:tcW w:type="dxa" w:w="4703"/>
          </w:tcPr>
          <w:p>
            <w:r>
              <w:rPr>
                <w:sz w:val="18"/>
              </w:rPr>
              <w:t>Location</w:t>
            </w:r>
          </w:p>
        </w:tc>
        <w:tc>
          <w:tcPr>
            <w:tcW w:type="dxa" w:w="4703"/>
          </w:tcPr>
          <w:p>
            <w:r>
              <w:rPr>
                <w:sz w:val="18"/>
              </w:rPr>
              <w:t>Bilateral, within acetabular cups, z ≈ −318 to −360 mm</w:t>
            </w:r>
          </w:p>
        </w:tc>
      </w:tr>
      <w:tr>
        <w:tc>
          <w:tcPr>
            <w:tcW w:type="dxa" w:w="4703"/>
            <w:shd w:val="clear" w:color="auto" w:fill="F5F9FF"/>
          </w:tcPr>
          <w:p>
            <w:r>
              <w:rPr>
                <w:sz w:val="18"/>
              </w:rPr>
              <w:t>Prior INCORRECT report</w:t>
            </w:r>
          </w:p>
        </w:tc>
        <w:tc>
          <w:tcPr>
            <w:tcW w:type="dxa" w:w="4703"/>
            <w:shd w:val="clear" w:color="auto" w:fill="F5F9FF"/>
          </w:tcPr>
          <w:p>
            <w:r>
              <w:rPr>
                <w:sz w:val="18"/>
              </w:rPr>
              <w:t>These structures were previously described as "bilateral adnexal soft tissue masses 110 mm in z-extent, 50–54 HU" — THIS WAS AN ALGORITHMIC ERROR</w:t>
            </w:r>
          </w:p>
        </w:tc>
      </w:tr>
      <w:tr>
        <w:tc>
          <w:tcPr>
            <w:tcW w:type="dxa" w:w="4703"/>
          </w:tcPr>
          <w:p>
            <w:r>
              <w:rPr>
                <w:sz w:val="18"/>
              </w:rPr>
              <w:t>Soft tissue masses?</w:t>
            </w:r>
          </w:p>
        </w:tc>
        <w:tc>
          <w:tcPr>
            <w:tcW w:type="dxa" w:w="4703"/>
          </w:tcPr>
          <w:p>
            <w:r>
              <w:rPr>
                <w:sz w:val="18"/>
              </w:rPr>
              <w:t>NO discrete bilateral adnexal soft tissue masses are identified on this study</w:t>
            </w:r>
          </w:p>
        </w:tc>
      </w:tr>
    </w:tbl>
    <w:p/>
    <w:p>
      <w:pPr>
        <w:jc w:val="both"/>
      </w:pPr>
      <w:r>
        <w:rPr>
          <w:b w:val="0"/>
          <w:i w:val="0"/>
          <w:sz w:val="19"/>
        </w:rPr>
        <w:t>CORRECTION: Prior versions of this report (based solely on automated connected-component segmentation) incorrectly characterized the bilateral femoral heads as adnexal soft tissue masses. Manual visual review of the coronal reformat series (SER00007) with bone window settings (WC300/WW1500) unambiguously demonstrates these structures to be the femoral heads within their acetabular cups — normal bilateral skeletal anatomy. The bone density (~520 HU), cortical rim, and bilateral symmetry are entirely inconsistent with soft tissue masses. No bilateral adnexal masses are identified on this CT study. This finding has been formally corrected in this version of the report.</w:t>
      </w:r>
    </w:p>
    <w:p>
      <w:pPr>
        <w:jc w:val="both"/>
      </w:pPr>
      <w:r>
        <w:rPr>
          <w:b w:val="0"/>
          <w:i/>
          <w:sz w:val="19"/>
        </w:rPr>
        <w:t>Note: If adnexal structures (ovarian remnants, inguinal gonadal remnants) are clinically suspected in the context of XX/XY OT-DSD and prior bilateral orchiectomy, dedicated pelvic MRI and/or ultrasound of the inguinal regions would be appropriate.</w:t>
      </w:r>
    </w:p>
    <w:p/>
    <w:p>
      <w:pPr>
        <w:jc w:val="left"/>
      </w:pPr>
      <w:r>
        <w:rPr>
          <w:b/>
          <w:color w:val="1F3864"/>
          <w:sz w:val="22"/>
        </w:rPr>
        <w:t>Finding 5 — Urinary Bladder: Massively Distended</w:t>
      </w:r>
    </w:p>
    <w:p>
      <w:pPr>
        <w:jc w:val="center"/>
      </w:pPr>
      <w:r>
        <w:drawing>
          <wp:inline xmlns:a="http://schemas.openxmlformats.org/drawingml/2006/main" xmlns:pic="http://schemas.openxmlformats.org/drawingml/2006/picture">
            <wp:extent cx="5303520" cy="2318575"/>
            <wp:docPr id="6" name="Picture 6"/>
            <wp:cNvGraphicFramePr>
              <a:graphicFrameLocks noChangeAspect="1"/>
            </wp:cNvGraphicFramePr>
            <a:graphic>
              <a:graphicData uri="http://schemas.openxmlformats.org/drawingml/2006/picture">
                <pic:pic>
                  <pic:nvPicPr>
                    <pic:cNvPr id="0" name="FIG_CORONAL_BLADDER_ANT.png"/>
                    <pic:cNvPicPr/>
                  </pic:nvPicPr>
                  <pic:blipFill>
                    <a:blip r:embed="rId14"/>
                    <a:stretch>
                      <a:fillRect/>
                    </a:stretch>
                  </pic:blipFill>
                  <pic:spPr>
                    <a:xfrm>
                      <a:off x="0" y="0"/>
                      <a:ext cx="5303520" cy="2318575"/>
                    </a:xfrm>
                    <a:prstGeom prst="rect"/>
                  </pic:spPr>
                </pic:pic>
              </a:graphicData>
            </a:graphic>
          </wp:inline>
        </w:drawing>
      </w:r>
    </w:p>
    <w:p>
      <w:pPr>
        <w:jc w:val="center"/>
      </w:pPr>
      <w:r>
        <w:rPr>
          <w:i/>
          <w:color w:val="505050"/>
          <w:sz w:val="16"/>
        </w:rPr>
        <w:t>Figure 6. Coronal reformat (I00046, pos_y=−4.6 mm). The large, homogeneous central pelvic structure is the massively distended urinary bladder. Fluid density (~4 HU), smooth-walled, no visible internal structure. 20mm scale bar shown lower left of each panel.</w:t>
      </w:r>
    </w:p>
    <w:p/>
    <w:tbl>
      <w:tblPr>
        <w:tblStyle w:val="TableGrid"/>
        <w:tblW w:type="auto" w:w="0"/>
        <w:tblLook w:firstColumn="1" w:firstRow="1" w:lastColumn="0" w:lastRow="0" w:noHBand="0" w:noVBand="1" w:val="04A0"/>
      </w:tblPr>
      <w:tblGrid>
        <w:gridCol w:w="4703"/>
        <w:gridCol w:w="4703"/>
      </w:tblGrid>
      <w:tr>
        <w:tc>
          <w:tcPr>
            <w:tcW w:type="dxa" w:w="4703"/>
            <w:shd w:val="clear" w:color="auto" w:fill="D6E4F0"/>
          </w:tcPr>
          <w:p>
            <w:r>
              <w:rPr>
                <w:b/>
                <w:sz w:val="18"/>
              </w:rPr>
              <w:t>Parameter</w:t>
            </w:r>
          </w:p>
        </w:tc>
        <w:tc>
          <w:tcPr>
            <w:tcW w:type="dxa" w:w="4703"/>
            <w:shd w:val="clear" w:color="auto" w:fill="D6E4F0"/>
          </w:tcPr>
          <w:p>
            <w:r>
              <w:rPr>
                <w:b/>
                <w:sz w:val="18"/>
              </w:rPr>
              <w:t>Value</w:t>
            </w:r>
          </w:p>
        </w:tc>
      </w:tr>
      <w:tr>
        <w:tc>
          <w:tcPr>
            <w:tcW w:type="dxa" w:w="4703"/>
            <w:shd w:val="clear" w:color="auto" w:fill="F5F9FF"/>
          </w:tcPr>
          <w:p>
            <w:r>
              <w:rPr>
                <w:sz w:val="18"/>
              </w:rPr>
              <w:t>Structure</w:t>
            </w:r>
          </w:p>
        </w:tc>
        <w:tc>
          <w:tcPr>
            <w:tcW w:type="dxa" w:w="4703"/>
            <w:shd w:val="clear" w:color="auto" w:fill="F5F9FF"/>
          </w:tcPr>
          <w:p>
            <w:r>
              <w:rPr>
                <w:sz w:val="18"/>
              </w:rPr>
              <w:t>Urinary bladder</w:t>
            </w:r>
          </w:p>
        </w:tc>
      </w:tr>
      <w:tr>
        <w:tc>
          <w:tcPr>
            <w:tcW w:type="dxa" w:w="4703"/>
          </w:tcPr>
          <w:p>
            <w:r>
              <w:rPr>
                <w:sz w:val="18"/>
              </w:rPr>
              <w:t>Appearance</w:t>
            </w:r>
          </w:p>
        </w:tc>
        <w:tc>
          <w:tcPr>
            <w:tcW w:type="dxa" w:w="4703"/>
          </w:tcPr>
          <w:p>
            <w:r>
              <w:rPr>
                <w:sz w:val="18"/>
              </w:rPr>
              <w:t>Severely distended; homogeneous fluid density throughout</w:t>
            </w:r>
          </w:p>
        </w:tc>
      </w:tr>
      <w:tr>
        <w:tc>
          <w:tcPr>
            <w:tcW w:type="dxa" w:w="4703"/>
            <w:shd w:val="clear" w:color="auto" w:fill="F5F9FF"/>
          </w:tcPr>
          <w:p>
            <w:r>
              <w:rPr>
                <w:sz w:val="18"/>
              </w:rPr>
              <w:t>Measured HU</w:t>
            </w:r>
          </w:p>
        </w:tc>
        <w:tc>
          <w:tcPr>
            <w:tcW w:type="dxa" w:w="4703"/>
            <w:shd w:val="clear" w:color="auto" w:fill="F5F9FF"/>
          </w:tcPr>
          <w:p>
            <w:r>
              <w:rPr>
                <w:sz w:val="18"/>
              </w:rPr>
              <w:t>~4 HU (consistent with urine; expected −10 to +20 HU)</w:t>
            </w:r>
          </w:p>
        </w:tc>
      </w:tr>
      <w:tr>
        <w:tc>
          <w:tcPr>
            <w:tcW w:type="dxa" w:w="4703"/>
          </w:tcPr>
          <w:p>
            <w:r>
              <w:rPr>
                <w:sz w:val="18"/>
              </w:rPr>
              <w:t>AP dimension</w:t>
            </w:r>
          </w:p>
        </w:tc>
        <w:tc>
          <w:tcPr>
            <w:tcW w:type="dxa" w:w="4703"/>
          </w:tcPr>
          <w:p>
            <w:r>
              <w:rPr>
                <w:sz w:val="18"/>
              </w:rPr>
              <w:t>Spans approximately y = −32 mm to y = +8 mm on coronal series (~40 mm AP diameter)</w:t>
            </w:r>
          </w:p>
        </w:tc>
      </w:tr>
      <w:tr>
        <w:tc>
          <w:tcPr>
            <w:tcW w:type="dxa" w:w="4703"/>
            <w:shd w:val="clear" w:color="auto" w:fill="F5F9FF"/>
          </w:tcPr>
          <w:p>
            <w:r>
              <w:rPr>
                <w:sz w:val="18"/>
              </w:rPr>
              <w:t>Wall thickness</w:t>
            </w:r>
          </w:p>
        </w:tc>
        <w:tc>
          <w:tcPr>
            <w:tcW w:type="dxa" w:w="4703"/>
            <w:shd w:val="clear" w:color="auto" w:fill="F5F9FF"/>
          </w:tcPr>
          <w:p>
            <w:r>
              <w:rPr>
                <w:sz w:val="18"/>
              </w:rPr>
              <w:t>Smooth wall, no focal thickening identified on non-contrast CT</w:t>
            </w:r>
          </w:p>
        </w:tc>
      </w:tr>
      <w:tr>
        <w:tc>
          <w:tcPr>
            <w:tcW w:type="dxa" w:w="4703"/>
          </w:tcPr>
          <w:p>
            <w:r>
              <w:rPr>
                <w:sz w:val="18"/>
              </w:rPr>
              <w:t>Internal filling</w:t>
            </w:r>
          </w:p>
        </w:tc>
        <w:tc>
          <w:tcPr>
            <w:tcW w:type="dxa" w:w="4703"/>
          </w:tcPr>
          <w:p>
            <w:r>
              <w:rPr>
                <w:sz w:val="18"/>
              </w:rPr>
              <w:t>No visible filling defects (non-contrast CT; intraluminal pathology better assessed with IV contrast or cystoscopy)</w:t>
            </w:r>
          </w:p>
        </w:tc>
      </w:tr>
      <w:tr>
        <w:tc>
          <w:tcPr>
            <w:tcW w:type="dxa" w:w="4703"/>
            <w:shd w:val="clear" w:color="auto" w:fill="F5F9FF"/>
          </w:tcPr>
          <w:p>
            <w:r>
              <w:rPr>
                <w:sz w:val="18"/>
              </w:rPr>
              <w:t>Clinical note</w:t>
            </w:r>
          </w:p>
        </w:tc>
        <w:tc>
          <w:tcPr>
            <w:tcW w:type="dxa" w:w="4703"/>
            <w:shd w:val="clear" w:color="auto" w:fill="F5F9FF"/>
          </w:tcPr>
          <w:p>
            <w:r>
              <w:rPr>
                <w:sz w:val="18"/>
              </w:rPr>
              <w:t>Severe distension may reflect urinary retention or voiding dysfunction; compresses adjacent pelvic structures</w:t>
            </w:r>
          </w:p>
        </w:tc>
      </w:tr>
    </w:tbl>
    <w:p/>
    <w:p>
      <w:pPr>
        <w:jc w:val="both"/>
      </w:pPr>
      <w:r>
        <w:rPr>
          <w:b w:val="0"/>
          <w:i w:val="0"/>
          <w:sz w:val="19"/>
        </w:rPr>
        <w:t>Clinical Interpretation: The urinary bladder is severely distended and is the dominant structure in the pelvis on all coronal and axial imaging. The degree of distension may contribute to displacement of adjacent pelvic structures (bowel, retrovesical contents) and limits assessment of the posterior pelvic floor. Bladder wall appears smooth and of normal thickness on non-contrast CT. No gross intraluminal filling defect is identified, though small polyps or calculi cannot be excluded without IV contrast or cystoscopy. The degree of distension raises the possibility of voiding dysfunction or urinary retention at the time of the study, which may have clinical significance in the context of pelvic floor anatomy.</w:t>
      </w:r>
    </w:p>
    <w:p/>
    <w:p>
      <w:r>
        <w:br w:type="page"/>
      </w:r>
    </w:p>
    <w:p>
      <w:pPr>
        <w:jc w:val="left"/>
        <w:pBdr>
          <w:bottom w:val="single" w:sz="6" w:space="1" w:color="1F3864"/>
        </w:pBdr>
      </w:pPr>
      <w:r>
        <w:rPr>
          <w:b/>
          <w:color w:val="1F3864"/>
          <w:sz w:val="26"/>
        </w:rPr>
        <w:t>SECTION 3 — ABDOMINAL ULTRASOUND FINDINGS</w:t>
      </w:r>
    </w:p>
    <w:p>
      <w:pPr>
        <w:jc w:val="both"/>
      </w:pPr>
      <w:r>
        <w:rPr>
          <w:b w:val="0"/>
          <w:i w:val="0"/>
          <w:sz w:val="19"/>
        </w:rPr>
        <w:t>82 ultrasound frames from a Siemens Acuson system (study date 2010-07-01). Photometric interpretation: YBR_FULL (YCbCr). Frames contain variable cross-sectional views of the abdomen. The ultrasound frames were reviewed as a sequential series.</w:t>
      </w:r>
    </w:p>
    <w:p/>
    <w:p>
      <w:pPr>
        <w:jc w:val="both"/>
      </w:pPr>
      <w:r>
        <w:rPr>
          <w:b w:val="0"/>
          <w:i w:val="0"/>
          <w:sz w:val="19"/>
        </w:rPr>
        <w:t>Ultrasound Observations: Standard abdominal solid organs are visible across the series, including liver (echogenic, homogeneous), right kidney, and portions of the left upper quadrant. No discrete solid organ mass is identified in the visualized areas. The ultrasound study was labeled "US Abdominal Complete" and did not include a targeted pelvic ultrasound series; pelvic floor anatomy is not adequately assessed on this study. Bowel gas artifact limits some windows. No free fluid or ascites is identified in the visualized areas.</w:t>
      </w:r>
    </w:p>
    <w:p/>
    <w:p>
      <w:pPr>
        <w:jc w:val="left"/>
        <w:pBdr>
          <w:bottom w:val="single" w:sz="6" w:space="1" w:color="1F3864"/>
        </w:pBdr>
      </w:pPr>
      <w:r>
        <w:rPr>
          <w:b/>
          <w:color w:val="1F3864"/>
          <w:sz w:val="26"/>
        </w:rPr>
        <w:t>SECTION 4 — GENOMIC CROSS-REFERENCE</w:t>
      </w:r>
    </w:p>
    <w:p>
      <w:pPr>
        <w:jc w:val="both"/>
      </w:pPr>
      <w:r>
        <w:rPr>
          <w:b w:val="0"/>
          <w:i w:val="0"/>
          <w:sz w:val="19"/>
        </w:rPr>
        <w:t>Genomic data is sourced from the patient-provided WGS report (GRCh37/GRCh38 dual-aligned). All genomic interpretations below are drawn directly from the WGS report text; no variant calls have been independently verified against raw sequencing data by this analysis.</w:t>
      </w:r>
    </w:p>
    <w:p/>
    <w:p>
      <w:pPr>
        <w:jc w:val="center"/>
      </w:pPr>
      <w:r>
        <w:drawing>
          <wp:inline xmlns:a="http://schemas.openxmlformats.org/drawingml/2006/main" xmlns:pic="http://schemas.openxmlformats.org/drawingml/2006/picture">
            <wp:extent cx="5303520" cy="206248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2062480"/>
                    </a:xfrm>
                    <a:prstGeom prst="rect"/>
                  </pic:spPr>
                </pic:pic>
              </a:graphicData>
            </a:graphic>
          </wp:inline>
        </w:drawing>
      </w:r>
    </w:p>
    <w:p>
      <w:pPr>
        <w:jc w:val="center"/>
      </w:pPr>
      <w:r>
        <w:rPr>
          <w:i/>
          <w:color w:val="505050"/>
          <w:sz w:val="16"/>
        </w:rPr>
        <w:t>Figure 7. Key gene variant burden from WGS report. Blue = total variants per gene locus; Orange = homozygous variants. Elevated homozygous burden in MLH1, MSH2, and TP53 is clinically significant.</w:t>
      </w:r>
    </w:p>
    <w:p/>
    <w:p>
      <w:pPr>
        <w:jc w:val="left"/>
      </w:pPr>
      <w:r>
        <w:rPr>
          <w:b/>
          <w:color w:val="1F3864"/>
          <w:sz w:val="22"/>
        </w:rPr>
        <w:t>4A — Chimerism Confirmation (XX/XY Tetragametic)</w:t>
      </w:r>
    </w:p>
    <w:p>
      <w:pPr>
        <w:jc w:val="both"/>
      </w:pPr>
      <w:r>
        <w:rPr>
          <w:b w:val="0"/>
          <w:i w:val="0"/>
          <w:sz w:val="19"/>
        </w:rPr>
        <w:t>The patient is documented as an XX/XY tetragametic chimera. This results from fusion of two separately fertilized zygotes (one XX, one XY) at an early developmental stage, producing an individual with two genetically distinct cell lineages. The consequence for gonadal and ductal development depends on the spatial distribution of XX and XY cells in the developing gonads and genital ridges during the critical window of sex determination (weeks 6–8 gestational). Ovotesticular DSD (OT-DSD) is the expected result when both XX and XY cells are present in gonadal tissue. Bilateral orchiectomy has been performed; the nature of the removed tissue (testicular, ovarian, or ovotesticular) is not specified in the available data.</w:t>
      </w:r>
    </w:p>
    <w:p/>
    <w:p>
      <w:pPr>
        <w:jc w:val="left"/>
      </w:pPr>
      <w:r>
        <w:rPr>
          <w:b/>
          <w:color w:val="1F3864"/>
          <w:sz w:val="22"/>
        </w:rPr>
        <w:t>4B — Androgen Pathway and Imaging Correlates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6E4F0"/>
          </w:tcPr>
          <w:p>
            <w:r>
              <w:rPr>
                <w:b/>
                <w:sz w:val="17"/>
              </w:rPr>
              <w:t>Gene</w:t>
            </w:r>
          </w:p>
        </w:tc>
        <w:tc>
          <w:tcPr>
            <w:tcW w:type="dxa" w:w="3135"/>
            <w:shd w:val="clear" w:color="auto" w:fill="D6E4F0"/>
          </w:tcPr>
          <w:p>
            <w:r>
              <w:rPr>
                <w:b/>
                <w:sz w:val="17"/>
              </w:rPr>
              <w:t>WGS Status</w:t>
            </w:r>
          </w:p>
        </w:tc>
        <w:tc>
          <w:tcPr>
            <w:tcW w:type="dxa" w:w="3135"/>
            <w:shd w:val="clear" w:color="auto" w:fill="D6E4F0"/>
          </w:tcPr>
          <w:p>
            <w:r>
              <w:rPr>
                <w:b/>
                <w:sz w:val="17"/>
              </w:rPr>
              <w:t>Clinical Relevance</w:t>
            </w:r>
          </w:p>
        </w:tc>
      </w:tr>
      <w:tr>
        <w:tc>
          <w:tcPr>
            <w:tcW w:type="dxa" w:w="3135"/>
          </w:tcPr>
          <w:p>
            <w:r>
              <w:rPr>
                <w:sz w:val="17"/>
              </w:rPr>
              <w:t>SRD5A2</w:t>
            </w:r>
          </w:p>
        </w:tc>
        <w:tc>
          <w:tcPr>
            <w:tcW w:type="dxa" w:w="3135"/>
          </w:tcPr>
          <w:p>
            <w:r>
              <w:rPr>
                <w:sz w:val="17"/>
              </w:rPr>
              <w:t>Homozygous pathogenic</w:t>
            </w:r>
          </w:p>
        </w:tc>
        <w:tc>
          <w:tcPr>
            <w:tcW w:type="dxa" w:w="3135"/>
          </w:tcPr>
          <w:p>
            <w:r>
              <w:rPr>
                <w:sz w:val="17"/>
              </w:rPr>
              <w:t>5α-reductase type 2 deficiency — absent DHT synthesis; absent/hypoplastic prostate expected (consistent with imaging Finding 2)</w:t>
            </w:r>
          </w:p>
        </w:tc>
      </w:tr>
      <w:tr>
        <w:tc>
          <w:tcPr>
            <w:tcW w:type="dxa" w:w="3135"/>
          </w:tcPr>
          <w:p>
            <w:r>
              <w:rPr>
                <w:sz w:val="17"/>
              </w:rPr>
              <w:t>CYP19A1</w:t>
            </w:r>
          </w:p>
        </w:tc>
        <w:tc>
          <w:tcPr>
            <w:tcW w:type="dxa" w:w="3135"/>
          </w:tcPr>
          <w:p>
            <w:r>
              <w:rPr>
                <w:sz w:val="17"/>
              </w:rPr>
              <w:t>Variant present</w:t>
            </w:r>
          </w:p>
        </w:tc>
        <w:tc>
          <w:tcPr>
            <w:tcW w:type="dxa" w:w="3135"/>
          </w:tcPr>
          <w:p>
            <w:r>
              <w:rPr>
                <w:sz w:val="17"/>
              </w:rPr>
              <w:t>Aromatase — modulates estrogen synthesis; relevant post-orchiectomy</w:t>
            </w:r>
          </w:p>
        </w:tc>
      </w:tr>
      <w:tr>
        <w:tc>
          <w:tcPr>
            <w:tcW w:type="dxa" w:w="3135"/>
          </w:tcPr>
          <w:p>
            <w:r>
              <w:rPr>
                <w:sz w:val="17"/>
              </w:rPr>
              <w:t>CYP17A1</w:t>
            </w:r>
          </w:p>
        </w:tc>
        <w:tc>
          <w:tcPr>
            <w:tcW w:type="dxa" w:w="3135"/>
          </w:tcPr>
          <w:p>
            <w:r>
              <w:rPr>
                <w:sz w:val="17"/>
              </w:rPr>
              <w:t>Variant present</w:t>
            </w:r>
          </w:p>
        </w:tc>
        <w:tc>
          <w:tcPr>
            <w:tcW w:type="dxa" w:w="3135"/>
          </w:tcPr>
          <w:p>
            <w:r>
              <w:rPr>
                <w:sz w:val="17"/>
              </w:rPr>
              <w:t>Steroidogenesis pathway — adrenal androgen synthesis</w:t>
            </w:r>
          </w:p>
        </w:tc>
      </w:tr>
      <w:tr>
        <w:tc>
          <w:tcPr>
            <w:tcW w:type="dxa" w:w="3135"/>
          </w:tcPr>
          <w:p>
            <w:r>
              <w:rPr>
                <w:sz w:val="17"/>
              </w:rPr>
              <w:t>AMH</w:t>
            </w:r>
          </w:p>
        </w:tc>
        <w:tc>
          <w:tcPr>
            <w:tcW w:type="dxa" w:w="3135"/>
          </w:tcPr>
          <w:p>
            <w:r>
              <w:rPr>
                <w:sz w:val="17"/>
              </w:rPr>
              <w:t>Variant present</w:t>
            </w:r>
          </w:p>
        </w:tc>
        <w:tc>
          <w:tcPr>
            <w:tcW w:type="dxa" w:w="3135"/>
          </w:tcPr>
          <w:p>
            <w:r>
              <w:rPr>
                <w:sz w:val="17"/>
              </w:rPr>
              <w:t>Anti-Müllerian hormone — determines Müllerian duct regression; variants may permit persistence</w:t>
            </w:r>
          </w:p>
        </w:tc>
      </w:tr>
      <w:tr>
        <w:tc>
          <w:tcPr>
            <w:tcW w:type="dxa" w:w="3135"/>
          </w:tcPr>
          <w:p>
            <w:r>
              <w:rPr>
                <w:sz w:val="17"/>
              </w:rPr>
              <w:t>AR</w:t>
            </w:r>
          </w:p>
        </w:tc>
        <w:tc>
          <w:tcPr>
            <w:tcW w:type="dxa" w:w="3135"/>
          </w:tcPr>
          <w:p>
            <w:r>
              <w:rPr>
                <w:sz w:val="17"/>
              </w:rPr>
              <w:t>Variant present</w:t>
            </w:r>
          </w:p>
        </w:tc>
        <w:tc>
          <w:tcPr>
            <w:tcW w:type="dxa" w:w="3135"/>
          </w:tcPr>
          <w:p>
            <w:r>
              <w:rPr>
                <w:sz w:val="17"/>
              </w:rPr>
              <w:t>Androgen receptor — end-organ androgen sensitivity</w:t>
            </w:r>
          </w:p>
        </w:tc>
      </w:tr>
    </w:tbl>
    <w:p/>
    <w:p>
      <w:pPr>
        <w:jc w:val="left"/>
      </w:pPr>
      <w:r>
        <w:rPr>
          <w:b/>
          <w:color w:val="1F3864"/>
          <w:sz w:val="22"/>
        </w:rPr>
        <w:t>4C — DNA Repair and Cancer Risk Genes</w:t>
      </w:r>
    </w:p>
    <w:p>
      <w:pPr>
        <w:jc w:val="both"/>
      </w:pPr>
      <w:r>
        <w:rPr>
          <w:b w:val="0"/>
          <w:i w:val="0"/>
          <w:sz w:val="19"/>
        </w:rPr>
        <w:t>The WGS report identifies homozygous variants across MLH1 and MSH2 (Lynch syndrome mismatch repair genes) and 11 homozygous variants in TP53. This constellation represents significantly elevated risk for Lynch syndrome-associated malignancies (colorectal, endometrial, urinary tract, ovarian) and Li-Fraumeni syndrome (TP53). In the clinical context of XX/XY chimerism and OT-DSD, the spectrum of potential malignancy risk includes gonadoblastoma (GBY locus on Y chromosome), germ cell tumors, and the above-mentioned Lynch/TP53 spectrum. Surveillance imaging and oncology referral should be considered.</w:t>
      </w:r>
    </w:p>
    <w:p/>
    <w:p>
      <w:r>
        <w:br w:type="page"/>
      </w:r>
    </w:p>
    <w:p>
      <w:pPr>
        <w:jc w:val="left"/>
        <w:pBdr>
          <w:bottom w:val="single" w:sz="6" w:space="1" w:color="1F3864"/>
        </w:pBdr>
      </w:pPr>
      <w:r>
        <w:rPr>
          <w:b/>
          <w:color w:val="1F3864"/>
          <w:sz w:val="26"/>
        </w:rPr>
        <w:t>SECTION 5 — INTEGRATED ASSESSMENT</w:t>
      </w:r>
    </w:p>
    <w:p>
      <w:pPr>
        <w:jc w:val="both"/>
      </w:pPr>
      <w:r>
        <w:rPr>
          <w:b/>
          <w:sz w:val="19"/>
        </w:rPr>
        <w:t xml:space="preserve">Adrenal Glands (Finding 1) ↔ Adrenal Androgen Pathway: </w:t>
      </w:r>
      <w:r>
        <w:rPr>
          <w:sz w:val="19"/>
        </w:rPr>
        <w:t>Both adrenal glands are present, bilaterally symmetric, and within normal HU range. In the absence of gonadal androgen production (post bilateral orchiectomy), the adrenal glands are the primary source of sex steroids. CYP17A1 and CYP11B1 variants in the WGS data are relevant to adrenal androgen output and 11-KT synthesis. Adrenal protocol CT or MRI would be appropriate for complete adrenal evaluation if clinically indicated.</w:t>
      </w:r>
    </w:p>
    <w:p/>
    <w:p>
      <w:pPr>
        <w:jc w:val="both"/>
      </w:pPr>
      <w:r>
        <w:rPr>
          <w:b/>
          <w:sz w:val="19"/>
        </w:rPr>
        <w:t xml:space="preserve">Absent Prostate (Finding 2) ↔ SRD5A2 Homozygous Pathogenic: </w:t>
      </w:r>
      <w:r>
        <w:rPr>
          <w:sz w:val="19"/>
        </w:rPr>
        <w:t>No discrete prostate was identified on CT, consistent with expected anatomy in SRD5A2 deficiency. DHT is required for prostate morphogenesis; its absence produces absent or severely hypoplastic prostate. This is one of the strongest imaging-genomic correlates in this study.</w:t>
      </w:r>
    </w:p>
    <w:p/>
    <w:p>
      <w:pPr>
        <w:jc w:val="both"/>
      </w:pPr>
      <w:r>
        <w:rPr>
          <w:b/>
          <w:sz w:val="19"/>
        </w:rPr>
        <w:t xml:space="preserve">Retrovesical Soft Tissue (Finding 3) ↔ AMH Variants / Müllerian Persistence: </w:t>
      </w:r>
      <w:r>
        <w:rPr>
          <w:sz w:val="19"/>
        </w:rPr>
        <w:t>Non-specific soft tissue is present in the retrovesical/posterior pelvic midline. The clinical context (XX/XY chimerism, AMH pathway variants) makes Müllerian remnant persistence plausible. However, this CANNOT be confirmed on non-contrast CT. Pelvic MRI (T2-weighted, multi-planar) is the appropriate next step.</w:t>
      </w:r>
    </w:p>
    <w:p/>
    <w:p>
      <w:pPr>
        <w:jc w:val="both"/>
      </w:pPr>
      <w:r>
        <w:rPr>
          <w:b/>
          <w:sz w:val="19"/>
        </w:rPr>
        <w:t xml:space="preserve">CORRECTED Finding 4: Femoral Heads, NOT Masses ↔ N/A: </w:t>
      </w:r>
      <w:r>
        <w:rPr>
          <w:sz w:val="19"/>
        </w:rPr>
        <w:t>The bilateral lateral pelvic structures previously reported as adnexal masses are the bilateral femoral heads — normal skeletal anatomy confirmed on bone window imaging. No bilateral adnexal masses are present. This finding has been formally corrected.</w:t>
      </w:r>
    </w:p>
    <w:p/>
    <w:p>
      <w:pPr>
        <w:jc w:val="both"/>
      </w:pPr>
      <w:r>
        <w:rPr>
          <w:b/>
          <w:sz w:val="19"/>
        </w:rPr>
        <w:t xml:space="preserve">Distended Bladder (Finding 5) ↔ Pelvic Floor Anatomy: </w:t>
      </w:r>
      <w:r>
        <w:rPr>
          <w:sz w:val="19"/>
        </w:rPr>
        <w:t>The severely distended bladder dominates the pelvis and limits assessment of adjacent structures. Voiding dysfunction or urinary retention at the time of the study should be considered. Repeat imaging after bladder decompression would improve visualization of the retrovesical space and pelvic floor.</w:t>
      </w:r>
    </w:p>
    <w:p/>
    <w:p>
      <w:pPr>
        <w:jc w:val="both"/>
      </w:pPr>
      <w:r>
        <w:rPr>
          <w:b/>
          <w:sz w:val="19"/>
        </w:rPr>
        <w:t xml:space="preserve">Cancer Surveillance ↔ MLH1, MSH2, TP53 Burden: </w:t>
      </w:r>
      <w:r>
        <w:rPr>
          <w:sz w:val="19"/>
        </w:rPr>
        <w:t>Elevated homozygous variant burden across Lynch syndrome and TP53 loci warrants formal oncology referral and structured surveillance. The Y-chromosome GBY locus in the XY cell line raises risk for gonadoblastoma; bilateral orchiectomy removes the primary site but does not exclude extra-gonadal germ cell risk.</w:t>
      </w:r>
    </w:p>
    <w:p/>
    <w:p>
      <w:pPr>
        <w:jc w:val="left"/>
        <w:pBdr>
          <w:bottom w:val="single" w:sz="6" w:space="1" w:color="1F3864"/>
        </w:pBdr>
      </w:pPr>
      <w:r>
        <w:rPr>
          <w:b/>
          <w:color w:val="1F3864"/>
          <w:sz w:val="26"/>
        </w:rPr>
        <w:t>SECTION 5A — IMAGING LIMITATIONS AND RECOMMENDED NEXT STUDIES</w:t>
      </w:r>
    </w:p>
    <w:tbl>
      <w:tblPr>
        <w:tblStyle w:val="TableGrid"/>
        <w:tblW w:type="auto" w:w="0"/>
        <w:tblLook w:firstColumn="1" w:firstRow="1" w:lastColumn="0" w:lastRow="0" w:noHBand="0" w:noVBand="1" w:val="04A0"/>
      </w:tblPr>
      <w:tblGrid>
        <w:gridCol w:w="4703"/>
        <w:gridCol w:w="4703"/>
      </w:tblGrid>
      <w:tr>
        <w:tc>
          <w:tcPr>
            <w:tcW w:type="dxa" w:w="4703"/>
            <w:shd w:val="clear" w:color="auto" w:fill="D6E4F0"/>
          </w:tcPr>
          <w:p>
            <w:r>
              <w:rPr>
                <w:b/>
                <w:sz w:val="17"/>
              </w:rPr>
              <w:t>Limitation / Recommendation</w:t>
            </w:r>
          </w:p>
        </w:tc>
        <w:tc>
          <w:tcPr>
            <w:tcW w:type="dxa" w:w="4703"/>
            <w:shd w:val="clear" w:color="auto" w:fill="D6E4F0"/>
          </w:tcPr>
          <w:p>
            <w:r>
              <w:rPr>
                <w:b/>
                <w:sz w:val="17"/>
              </w:rPr>
              <w:t>Details</w:t>
            </w:r>
          </w:p>
        </w:tc>
      </w:tr>
      <w:tr>
        <w:tc>
          <w:tcPr>
            <w:tcW w:type="dxa" w:w="4703"/>
            <w:shd w:val="clear" w:color="auto" w:fill="F5F9FF"/>
          </w:tcPr>
          <w:p>
            <w:r>
              <w:rPr>
                <w:sz w:val="17"/>
              </w:rPr>
              <w:t>Non-contrast CT only</w:t>
            </w:r>
          </w:p>
        </w:tc>
        <w:tc>
          <w:tcPr>
            <w:tcW w:type="dxa" w:w="4703"/>
            <w:shd w:val="clear" w:color="auto" w:fill="F5F9FF"/>
          </w:tcPr>
          <w:p>
            <w:r>
              <w:rPr>
                <w:sz w:val="17"/>
              </w:rPr>
              <w:t>IV contrast is absent. Soft tissue characterization, vascular detail, and organ perfusion cannot be assessed. Many findings described as "non-specific" would be further characterized with contrast enhancement.</w:t>
            </w:r>
          </w:p>
        </w:tc>
      </w:tr>
      <w:tr>
        <w:tc>
          <w:tcPr>
            <w:tcW w:type="dxa" w:w="4703"/>
          </w:tcPr>
          <w:p>
            <w:r>
              <w:rPr>
                <w:sz w:val="17"/>
              </w:rPr>
              <w:t>No MRI</w:t>
            </w:r>
          </w:p>
        </w:tc>
        <w:tc>
          <w:tcPr>
            <w:tcW w:type="dxa" w:w="4703"/>
          </w:tcPr>
          <w:p>
            <w:r>
              <w:rPr>
                <w:sz w:val="17"/>
              </w:rPr>
              <w:t>MRI is the gold standard for pelvic soft tissue characterization, Müllerian anatomy, adrenal lesion characterization (chemical shift), and prostate assessment. No MRI is present in this dataset.</w:t>
            </w:r>
          </w:p>
        </w:tc>
      </w:tr>
      <w:tr>
        <w:tc>
          <w:tcPr>
            <w:tcW w:type="dxa" w:w="4703"/>
            <w:shd w:val="clear" w:color="auto" w:fill="F5F9FF"/>
          </w:tcPr>
          <w:p>
            <w:r>
              <w:rPr>
                <w:sz w:val="17"/>
              </w:rPr>
              <w:t>Bladder distension</w:t>
            </w:r>
          </w:p>
        </w:tc>
        <w:tc>
          <w:tcPr>
            <w:tcW w:type="dxa" w:w="4703"/>
            <w:shd w:val="clear" w:color="auto" w:fill="F5F9FF"/>
          </w:tcPr>
          <w:p>
            <w:r>
              <w:rPr>
                <w:sz w:val="17"/>
              </w:rPr>
              <w:t>Severe bladder distension displaces and compresses pelvic contents, reducing diagnostic confidence for retrovesical structures.</w:t>
            </w:r>
          </w:p>
        </w:tc>
      </w:tr>
      <w:tr>
        <w:tc>
          <w:tcPr>
            <w:tcW w:type="dxa" w:w="4703"/>
          </w:tcPr>
          <w:p>
            <w:r>
              <w:rPr>
                <w:sz w:val="17"/>
              </w:rPr>
              <w:t>Recommended: Pelvic MRI</w:t>
            </w:r>
          </w:p>
        </w:tc>
        <w:tc>
          <w:tcPr>
            <w:tcW w:type="dxa" w:w="4703"/>
          </w:tcPr>
          <w:p>
            <w:r>
              <w:rPr>
                <w:sz w:val="17"/>
              </w:rPr>
              <w:t>T2-weighted multi-planar MRI with and without gadolinium would definitively characterize retrovesical soft tissue, identify or exclude Müllerian remnants, and assess the pelvic floor anatomy.</w:t>
            </w:r>
          </w:p>
        </w:tc>
      </w:tr>
      <w:tr>
        <w:tc>
          <w:tcPr>
            <w:tcW w:type="dxa" w:w="4703"/>
            <w:shd w:val="clear" w:color="auto" w:fill="F5F9FF"/>
          </w:tcPr>
          <w:p>
            <w:r>
              <w:rPr>
                <w:sz w:val="17"/>
              </w:rPr>
              <w:t>Recommended: Adrenal MRI</w:t>
            </w:r>
          </w:p>
        </w:tc>
        <w:tc>
          <w:tcPr>
            <w:tcW w:type="dxa" w:w="4703"/>
            <w:shd w:val="clear" w:color="auto" w:fill="F5F9FF"/>
          </w:tcPr>
          <w:p>
            <w:r>
              <w:rPr>
                <w:sz w:val="17"/>
              </w:rPr>
              <w:t>Chemical shift MRI (in/out of phase) for adrenal lesion characterization if adenoma is clinically suspected.</w:t>
            </w:r>
          </w:p>
        </w:tc>
      </w:tr>
      <w:tr>
        <w:tc>
          <w:tcPr>
            <w:tcW w:type="dxa" w:w="4703"/>
          </w:tcPr>
          <w:p>
            <w:r>
              <w:rPr>
                <w:sz w:val="17"/>
              </w:rPr>
              <w:t>Recommended: Pelvic US</w:t>
            </w:r>
          </w:p>
        </w:tc>
        <w:tc>
          <w:tcPr>
            <w:tcW w:type="dxa" w:w="4703"/>
          </w:tcPr>
          <w:p>
            <w:r>
              <w:rPr>
                <w:sz w:val="17"/>
              </w:rPr>
              <w:t>Targeted pelvic/transvaginal or transperineal ultrasound for real-time assessment of pelvic floor and retrovesical space.</w:t>
            </w:r>
          </w:p>
        </w:tc>
      </w:tr>
    </w:tbl>
    <w:p>
      <w:r>
        <w:br w:type="page"/>
      </w:r>
    </w:p>
    <w:p>
      <w:pPr>
        <w:jc w:val="left"/>
        <w:pBdr>
          <w:bottom w:val="single" w:sz="6" w:space="1" w:color="1F3864"/>
        </w:pBdr>
      </w:pPr>
      <w:r>
        <w:rPr>
          <w:b/>
          <w:color w:val="1F3864"/>
          <w:sz w:val="26"/>
        </w:rPr>
        <w:t>SECTION 6 — REFERENCES</w:t>
      </w:r>
    </w:p>
    <w:tbl>
      <w:tblPr>
        <w:tblStyle w:val="TableGrid"/>
        <w:tblW w:type="auto" w:w="0"/>
        <w:tblLook w:firstColumn="1" w:firstRow="1" w:lastColumn="0" w:lastRow="0" w:noHBand="0" w:noVBand="1" w:val="04A0"/>
      </w:tblPr>
      <w:tblGrid>
        <w:gridCol w:w="4703"/>
        <w:gridCol w:w="4703"/>
      </w:tblGrid>
      <w:tr>
        <w:tc>
          <w:tcPr>
            <w:tcW w:type="dxa" w:w="4703"/>
            <w:shd w:val="clear" w:color="auto" w:fill="D6E4F0"/>
          </w:tcPr>
          <w:p>
            <w:r>
              <w:rPr>
                <w:b/>
                <w:sz w:val="17"/>
              </w:rPr>
              <w:t>#</w:t>
            </w:r>
          </w:p>
        </w:tc>
        <w:tc>
          <w:tcPr>
            <w:tcW w:type="dxa" w:w="4703"/>
            <w:shd w:val="clear" w:color="auto" w:fill="D6E4F0"/>
          </w:tcPr>
          <w:p>
            <w:r>
              <w:rPr>
                <w:b/>
                <w:sz w:val="17"/>
              </w:rPr>
              <w:t>Citation</w:t>
            </w:r>
          </w:p>
        </w:tc>
      </w:tr>
      <w:tr>
        <w:tc>
          <w:tcPr>
            <w:tcW w:type="dxa" w:w="4703"/>
            <w:shd w:val="clear" w:color="auto" w:fill="F5F9FF"/>
          </w:tcPr>
          <w:p>
            <w:r>
              <w:rPr>
                <w:sz w:val="17"/>
              </w:rPr>
              <w:t>1</w:t>
            </w:r>
          </w:p>
        </w:tc>
        <w:tc>
          <w:tcPr>
            <w:tcW w:type="dxa" w:w="4703"/>
            <w:shd w:val="clear" w:color="auto" w:fill="F5F9FF"/>
          </w:tcPr>
          <w:p>
            <w:r>
              <w:rPr>
                <w:sz w:val="17"/>
              </w:rPr>
              <w:t>Ocal G. Current concepts in disorders of sexual development. J Clin Res Pediatr Endocrinol. 2011;3(3):105-114.</w:t>
            </w:r>
          </w:p>
        </w:tc>
      </w:tr>
      <w:tr>
        <w:tc>
          <w:tcPr>
            <w:tcW w:type="dxa" w:w="4703"/>
          </w:tcPr>
          <w:p>
            <w:r>
              <w:rPr>
                <w:sz w:val="17"/>
              </w:rPr>
              <w:t>2</w:t>
            </w:r>
          </w:p>
        </w:tc>
        <w:tc>
          <w:tcPr>
            <w:tcW w:type="dxa" w:w="4703"/>
          </w:tcPr>
          <w:p>
            <w:r>
              <w:rPr>
                <w:sz w:val="17"/>
              </w:rPr>
              <w:t>Imperato-McGinley J, et al. Steroid 5alpha-reductase deficiency in man: an inherited form of male pseudohermaphroditism. Science. 1974;186(4170):1213-1215.</w:t>
            </w:r>
          </w:p>
        </w:tc>
      </w:tr>
      <w:tr>
        <w:tc>
          <w:tcPr>
            <w:tcW w:type="dxa" w:w="4703"/>
            <w:shd w:val="clear" w:color="auto" w:fill="F5F9FF"/>
          </w:tcPr>
          <w:p>
            <w:r>
              <w:rPr>
                <w:sz w:val="17"/>
              </w:rPr>
              <w:t>3</w:t>
            </w:r>
          </w:p>
        </w:tc>
        <w:tc>
          <w:tcPr>
            <w:tcW w:type="dxa" w:w="4703"/>
            <w:shd w:val="clear" w:color="auto" w:fill="F5F9FF"/>
          </w:tcPr>
          <w:p>
            <w:r>
              <w:rPr>
                <w:sz w:val="17"/>
              </w:rPr>
              <w:t>Josso N, et al. Anti-Müllerian hormone and Sertoli cell function. Horm Res. 1993;39 Suppl 2:52-62.</w:t>
            </w:r>
          </w:p>
        </w:tc>
      </w:tr>
      <w:tr>
        <w:tc>
          <w:tcPr>
            <w:tcW w:type="dxa" w:w="4703"/>
          </w:tcPr>
          <w:p>
            <w:r>
              <w:rPr>
                <w:sz w:val="17"/>
              </w:rPr>
              <w:t>4</w:t>
            </w:r>
          </w:p>
        </w:tc>
        <w:tc>
          <w:tcPr>
            <w:tcW w:type="dxa" w:w="4703"/>
          </w:tcPr>
          <w:p>
            <w:r>
              <w:rPr>
                <w:sz w:val="17"/>
              </w:rPr>
              <w:t>Sobel V, Imperato-McGinley J. Gender identity in XY intersexuality. Child Adolesc Psychiatr Clin N Am. 2004;13(3):609-622.</w:t>
            </w:r>
          </w:p>
        </w:tc>
      </w:tr>
      <w:tr>
        <w:tc>
          <w:tcPr>
            <w:tcW w:type="dxa" w:w="4703"/>
            <w:shd w:val="clear" w:color="auto" w:fill="F5F9FF"/>
          </w:tcPr>
          <w:p>
            <w:r>
              <w:rPr>
                <w:sz w:val="17"/>
              </w:rPr>
              <w:t>5</w:t>
            </w:r>
          </w:p>
        </w:tc>
        <w:tc>
          <w:tcPr>
            <w:tcW w:type="dxa" w:w="4703"/>
            <w:shd w:val="clear" w:color="auto" w:fill="F5F9FF"/>
          </w:tcPr>
          <w:p>
            <w:r>
              <w:rPr>
                <w:sz w:val="17"/>
              </w:rPr>
              <w:t>Lee PA, et al. Global DSD Update Consortium. Consensus statement on management of intersex disorders. Pediatrics. 2006;118(2):e488-500.</w:t>
            </w:r>
          </w:p>
        </w:tc>
      </w:tr>
      <w:tr>
        <w:tc>
          <w:tcPr>
            <w:tcW w:type="dxa" w:w="4703"/>
          </w:tcPr>
          <w:p>
            <w:r>
              <w:rPr>
                <w:sz w:val="17"/>
              </w:rPr>
              <w:t>6</w:t>
            </w:r>
          </w:p>
        </w:tc>
        <w:tc>
          <w:tcPr>
            <w:tcW w:type="dxa" w:w="4703"/>
          </w:tcPr>
          <w:p>
            <w:r>
              <w:rPr>
                <w:sz w:val="17"/>
              </w:rPr>
              <w:t>Aittomäki K, et al. Molecular diagnosis of 46,XX true hermaphroditism and XX sex reversal. Hum Reprod. 2000.</w:t>
            </w:r>
          </w:p>
        </w:tc>
      </w:tr>
      <w:tr>
        <w:tc>
          <w:tcPr>
            <w:tcW w:type="dxa" w:w="4703"/>
            <w:shd w:val="clear" w:color="auto" w:fill="F5F9FF"/>
          </w:tcPr>
          <w:p>
            <w:r>
              <w:rPr>
                <w:sz w:val="17"/>
              </w:rPr>
              <w:t>7</w:t>
            </w:r>
          </w:p>
        </w:tc>
        <w:tc>
          <w:tcPr>
            <w:tcW w:type="dxa" w:w="4703"/>
            <w:shd w:val="clear" w:color="auto" w:fill="F5F9FF"/>
          </w:tcPr>
          <w:p>
            <w:r>
              <w:rPr>
                <w:sz w:val="17"/>
              </w:rPr>
              <w:t>Lynch syndrome (MLH1/MSH2) surveillance guidelines. NCCN Clinical Practice Guidelines in Oncology, Genetic/Familial High-Risk Assessment: Colorectal. Version 2024.</w:t>
            </w:r>
          </w:p>
        </w:tc>
      </w:tr>
      <w:tr>
        <w:tc>
          <w:tcPr>
            <w:tcW w:type="dxa" w:w="4703"/>
          </w:tcPr>
          <w:p>
            <w:r>
              <w:rPr>
                <w:sz w:val="17"/>
              </w:rPr>
              <w:t>8</w:t>
            </w:r>
          </w:p>
        </w:tc>
        <w:tc>
          <w:tcPr>
            <w:tcW w:type="dxa" w:w="4703"/>
          </w:tcPr>
          <w:p>
            <w:r>
              <w:rPr>
                <w:sz w:val="17"/>
              </w:rPr>
              <w:t>Kramer SA. Male genital anomalies. In: Clinical Pediatric Urology. 2002.</w:t>
            </w:r>
          </w:p>
        </w:tc>
      </w:tr>
      <w:tr>
        <w:tc>
          <w:tcPr>
            <w:tcW w:type="dxa" w:w="4703"/>
            <w:shd w:val="clear" w:color="auto" w:fill="F5F9FF"/>
          </w:tcPr>
          <w:p>
            <w:r>
              <w:rPr>
                <w:sz w:val="17"/>
              </w:rPr>
              <w:t>9</w:t>
            </w:r>
          </w:p>
        </w:tc>
        <w:tc>
          <w:tcPr>
            <w:tcW w:type="dxa" w:w="4703"/>
            <w:shd w:val="clear" w:color="auto" w:fill="F5F9FF"/>
          </w:tcPr>
          <w:p>
            <w:r>
              <w:rPr>
                <w:sz w:val="17"/>
              </w:rPr>
              <w:t>Woodhouse CR, Kellett MJ. Anatomy of the penis and its deformities in exstrophy and epispadias. J Urol. 1984;132(6):1122-1124.</w:t>
            </w:r>
          </w:p>
        </w:tc>
      </w:tr>
      <w:tr>
        <w:tc>
          <w:tcPr>
            <w:tcW w:type="dxa" w:w="4703"/>
          </w:tcPr>
          <w:p>
            <w:r>
              <w:rPr>
                <w:sz w:val="17"/>
              </w:rPr>
              <w:t>10</w:t>
            </w:r>
          </w:p>
        </w:tc>
        <w:tc>
          <w:tcPr>
            <w:tcW w:type="dxa" w:w="4703"/>
          </w:tcPr>
          <w:p>
            <w:r>
              <w:rPr>
                <w:sz w:val="17"/>
              </w:rPr>
              <w:t>Hounsfield GN. Computerized transverse axial scanning (tomography): Part 1. Description of system. Br J Radiol. 1973;46(552):1016-1022.</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