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200"/>
        <w:rPr>
          <w:rFonts w:ascii="Arial" w:hAnsi="Arial"/>
          <w:b/>
          <w:bCs/>
        </w:rPr>
      </w:pPr>
      <w:r>
        <w:rPr>
          <w:b/>
          <w:bCs/>
        </w:rPr>
        <w:t>Section 1: 11-Ketotestosterone Pathway — Complete and Corrected</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[1][2][3][4][9][10][12][14][15][17][23][24][25][26][27][55][56][57][58]</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1.1 What Is 11-KT (Plain English)</w:t>
      </w:r>
    </w:p>
    <w:p>
      <w:pPr>
        <w:pStyle w:val="Normal"/>
        <w:spacing w:before="0" w:after="100"/>
        <w:rPr>
          <w:rFonts w:ascii="Arial" w:hAnsi="Arial" w:eastAsia="Arial" w:cs="Arial"/>
          <w:sz w:val="22"/>
          <w:szCs w:val="22"/>
        </w:rPr>
      </w:pPr>
      <w:r>
        <w:rPr>
          <w:rFonts w:eastAsia="Arial" w:cs="Arial" w:ascii="Arial" w:hAnsi="Arial"/>
          <w:sz w:val="22"/>
          <w:szCs w:val="22"/>
        </w:rPr>
        <w:t>11-ketotestosterone (11-KT) is a hormone made by the adrenal glands. The adrenal glands sit on top of the kidneys. They make 11-KT from a precursor called androstenedione (A4) — a molecule the adrenals produce on their own without any input from testes or ovaries. No gonads are needed. No testosterone is needed. The adrenals do this independently, driven by a pituitary signal called ACTH.</w:t>
      </w:r>
    </w:p>
    <w:p>
      <w:pPr>
        <w:pStyle w:val="Normal"/>
        <w:spacing w:before="0" w:after="100"/>
        <w:rPr>
          <w:rFonts w:ascii="Arial" w:hAnsi="Arial" w:eastAsia="Arial" w:cs="Arial"/>
          <w:sz w:val="22"/>
          <w:szCs w:val="22"/>
        </w:rPr>
      </w:pPr>
      <w:r>
        <w:rPr>
          <w:rFonts w:eastAsia="Arial" w:cs="Arial" w:ascii="Arial" w:hAnsi="Arial"/>
          <w:sz w:val="22"/>
          <w:szCs w:val="22"/>
        </w:rPr>
        <w:t>In prepubertal children — before puberty turns on the gonads — 11-KT is the dominant bioactive androgen in the body [23]. Not testosterone. Not DHT. 11-KT. It is the default human androgen before puberty kicks in. After puberty, in most people, gonadal testosterone takes over and 11-KT becomes a background player. But the machinery to make it never goes away. The adrenals keep producing it for life.</w:t>
      </w:r>
    </w:p>
    <w:p>
      <w:pPr>
        <w:pStyle w:val="Normal"/>
        <w:spacing w:before="0" w:after="100"/>
        <w:rPr>
          <w:rFonts w:ascii="Arial" w:hAnsi="Arial" w:eastAsia="Arial" w:cs="Arial"/>
          <w:sz w:val="22"/>
          <w:szCs w:val="22"/>
        </w:rPr>
      </w:pPr>
      <w:r>
        <w:rPr>
          <w:rFonts w:eastAsia="Arial" w:cs="Arial" w:ascii="Arial" w:hAnsi="Arial"/>
          <w:sz w:val="22"/>
          <w:szCs w:val="22"/>
        </w:rPr>
        <w:t>11-KT is non-aromatizable. Aromatase (CYP19A1) is the only enzyme that can convert androgens into estrogens. It can convert testosterone into estradiol. It CANNOT convert 11-KT into anything estrogenic [27]. Once a precursor is committed to the 11-KT pathway, it cannot be diverted to estrogen. It is a one-way door.</w:t>
      </w:r>
    </w:p>
    <w:p>
      <w:pPr>
        <w:pStyle w:val="Normal"/>
        <w:spacing w:before="0" w:after="100"/>
        <w:rPr>
          <w:rFonts w:ascii="Arial" w:hAnsi="Arial" w:eastAsia="Arial" w:cs="Arial"/>
          <w:sz w:val="22"/>
          <w:szCs w:val="22"/>
        </w:rPr>
      </w:pPr>
      <w:r>
        <w:rPr>
          <w:rFonts w:eastAsia="Arial" w:cs="Arial" w:ascii="Arial" w:hAnsi="Arial"/>
          <w:sz w:val="22"/>
          <w:szCs w:val="22"/>
        </w:rPr>
        <w:t>In teleost fish, 11-KT is the primary androgen — it drives male characteristics, spermatogenesis, coloration, territorial behavior [55][56][57]. In pigs, 11-KT runs at levels 10x higher than testosterone in females [58]. In non-human primates, it is abundant. The conventional view that 11-KT was 'fish-only' has been overturned by the past decade of research [23][24][25].</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1.2 The Pathway: How 11-KT Gets Made</w:t>
      </w:r>
    </w:p>
    <w:p>
      <w:pPr>
        <w:pStyle w:val="Normal"/>
        <w:spacing w:before="0" w:after="100"/>
        <w:rPr>
          <w:rFonts w:ascii="Arial" w:hAnsi="Arial" w:eastAsia="Arial" w:cs="Arial"/>
          <w:sz w:val="22"/>
          <w:szCs w:val="22"/>
        </w:rPr>
      </w:pPr>
      <w:r>
        <w:rPr>
          <w:rFonts w:eastAsia="Arial" w:cs="Arial" w:ascii="Arial" w:hAnsi="Arial"/>
          <w:sz w:val="22"/>
          <w:szCs w:val="22"/>
        </w:rPr>
        <w:t>The production chain, in order:</w:t>
      </w:r>
    </w:p>
    <w:p>
      <w:pPr>
        <w:pStyle w:val="Normal"/>
        <w:spacing w:before="0" w:after="100"/>
        <w:rPr>
          <w:rFonts w:ascii="Arial" w:hAnsi="Arial" w:eastAsia="Arial" w:cs="Arial"/>
          <w:sz w:val="22"/>
          <w:szCs w:val="22"/>
        </w:rPr>
      </w:pPr>
      <w:r>
        <w:rPr>
          <w:rFonts w:eastAsia="Arial" w:cs="Arial" w:ascii="Arial" w:hAnsi="Arial"/>
          <w:sz w:val="22"/>
          <w:szCs w:val="22"/>
        </w:rPr>
        <w:t>Step 1: The adrenal gland makes androstenedione (A4). This happens in the zona reticularis of the adrenal cortex, driven by ACTH from the pituitary.</w:t>
      </w:r>
    </w:p>
    <w:p>
      <w:pPr>
        <w:pStyle w:val="Normal"/>
        <w:spacing w:before="0" w:after="100"/>
        <w:rPr>
          <w:rFonts w:ascii="Arial" w:hAnsi="Arial" w:eastAsia="Arial" w:cs="Arial"/>
          <w:sz w:val="22"/>
          <w:szCs w:val="22"/>
        </w:rPr>
      </w:pPr>
      <w:r>
        <w:rPr>
          <w:rFonts w:eastAsia="Arial" w:cs="Arial" w:ascii="Arial" w:hAnsi="Arial"/>
          <w:sz w:val="22"/>
          <w:szCs w:val="22"/>
        </w:rPr>
        <w:t>Step 2: CYP11B1 (11β-hydroxylase) converts A4 into 11β-hydroxyandrostenedione (11OHA4). This is the commitment step — once the molecule is 11β-hydroxylated, it's on the 11-oxy path. CYP11B1 is the same enzyme that makes cortisol. It lives in the adrenal cortex.</w:t>
      </w:r>
    </w:p>
    <w:p>
      <w:pPr>
        <w:pStyle w:val="Normal"/>
        <w:spacing w:before="0" w:after="100"/>
        <w:rPr>
          <w:rFonts w:ascii="Arial" w:hAnsi="Arial" w:eastAsia="Arial" w:cs="Arial"/>
          <w:sz w:val="22"/>
          <w:szCs w:val="22"/>
        </w:rPr>
      </w:pPr>
      <w:r>
        <w:rPr>
          <w:rFonts w:eastAsia="Arial" w:cs="Arial" w:ascii="Arial" w:hAnsi="Arial"/>
          <w:sz w:val="22"/>
          <w:szCs w:val="22"/>
        </w:rPr>
        <w:t>Step 3: HSD11B2 (11β-hydroxysteroid dehydrogenase type 2) converts 11OHA4 into 11-ketoandrostenedione (11KA4). This enzyme is in the kidney, colon, and other peripheral tissues.</w:t>
      </w:r>
    </w:p>
    <w:p>
      <w:pPr>
        <w:pStyle w:val="Normal"/>
        <w:spacing w:before="0" w:after="100"/>
        <w:rPr>
          <w:rFonts w:ascii="Arial" w:hAnsi="Arial" w:eastAsia="Arial" w:cs="Arial"/>
          <w:sz w:val="22"/>
          <w:szCs w:val="22"/>
        </w:rPr>
      </w:pPr>
      <w:r>
        <w:rPr>
          <w:rFonts w:eastAsia="Arial" w:cs="Arial" w:ascii="Arial" w:hAnsi="Arial"/>
          <w:sz w:val="22"/>
          <w:szCs w:val="22"/>
        </w:rPr>
        <w:t>Step 4: AKR1C3 (17β-hydroxysteroid dehydrogenase type 5) converts 11KA4 into 11-KT. This enzyme is abundant in adipose tissue, kidney, and intestine. This is where 11-KT itself is finally produced.</w:t>
      </w:r>
    </w:p>
    <w:p>
      <w:pPr>
        <w:pStyle w:val="Normal"/>
        <w:spacing w:before="0" w:after="100"/>
        <w:rPr>
          <w:rFonts w:ascii="Arial" w:hAnsi="Arial"/>
        </w:rPr>
      </w:pPr>
      <w:r>
        <w:rPr>
          <w:rFonts w:eastAsia="Arial" w:cs="Arial" w:ascii="Arial" w:hAnsi="Arial"/>
          <w:sz w:val="22"/>
          <w:szCs w:val="22"/>
        </w:rPr>
        <w:t>Step 5 (optional upgrade): SRD5A2 (5α-reductase type 2) can convert 11-KT into 11-KDHT (11-ketodihydrotestosterone), the most potent 11-oxyandrogen. 11-KDHT hits the androgen receptor harder than 11-KT.</w:t>
      </w:r>
    </w:p>
    <w:p>
      <w:pPr>
        <w:pStyle w:val="Normal"/>
        <w:spacing w:before="0" w:after="100"/>
        <w:rPr>
          <w:rFonts w:ascii="Arial" w:hAnsi="Arial" w:eastAsia="Arial" w:cs="Arial"/>
          <w:sz w:val="22"/>
          <w:szCs w:val="22"/>
        </w:rPr>
      </w:pPr>
      <w:r>
        <w:rPr>
          <w:rFonts w:eastAsia="Arial" w:cs="Arial" w:ascii="Arial" w:hAnsi="Arial"/>
          <w:sz w:val="22"/>
          <w:szCs w:val="22"/>
        </w:rPr>
        <w:t>The off switch: HSD11B1 can reverse the reaction — converting 11-KT back into the weaker 11OHT. This is the brake.</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1.3 Every Pathway Gene — Data Lines, Cross-References, and What the Modifications Do</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CYP11B1 — The Commitment Enzyme</w:t>
      </w:r>
    </w:p>
    <w:p>
      <w:pPr>
        <w:pStyle w:val="Normal"/>
        <w:spacing w:before="0" w:after="60"/>
        <w:rPr>
          <w:rFonts w:ascii="Arial" w:hAnsi="Arial"/>
        </w:rPr>
      </w:pPr>
      <w:r>
        <w:rPr>
          <w:rFonts w:eastAsia="Arial" w:cs="Arial" w:ascii="Arial" w:hAnsi="Arial"/>
          <w:b/>
          <w:bCs/>
          <w:sz w:val="22"/>
          <w:szCs w:val="22"/>
        </w:rPr>
        <w:t xml:space="preserve">Location: </w:t>
      </w:r>
      <w:r>
        <w:rPr>
          <w:rFonts w:eastAsia="Arial" w:cs="Arial" w:ascii="Arial" w:hAnsi="Arial"/>
          <w:sz w:val="22"/>
          <w:szCs w:val="22"/>
        </w:rPr>
        <w:t>Chromosome 8</w:t>
      </w:r>
    </w:p>
    <w:p>
      <w:pPr>
        <w:pStyle w:val="Normal"/>
        <w:spacing w:before="0" w:after="60"/>
        <w:rPr>
          <w:rFonts w:ascii="Arial" w:hAnsi="Arial"/>
        </w:rPr>
      </w:pPr>
      <w:r>
        <w:rPr>
          <w:rFonts w:eastAsia="Arial" w:cs="Arial" w:ascii="Arial" w:hAnsi="Arial"/>
          <w:b/>
          <w:bCs/>
          <w:sz w:val="22"/>
          <w:szCs w:val="22"/>
        </w:rPr>
        <w:t xml:space="preserve">AncestryDNA [1]: </w:t>
      </w:r>
      <w:r>
        <w:rPr>
          <w:rFonts w:eastAsia="Arial" w:cs="Arial" w:ascii="Arial" w:hAnsi="Arial"/>
          <w:sz w:val="22"/>
          <w:szCs w:val="22"/>
        </w:rPr>
        <w:t>1 variant — rs1134096, A/C heterozygous at Chr8:143,954,223. Regulatory tail variant. Enzyme structurally intact.</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37 variants total (10 HIGH, 27 MODERATE). 2 homozygous, 35 heterozygous.</w:t>
      </w:r>
    </w:p>
    <w:p>
      <w:pPr>
        <w:pStyle w:val="Normal"/>
        <w:spacing w:before="0" w:after="60"/>
        <w:rPr>
          <w:rFonts w:ascii="Arial" w:hAnsi="Arial"/>
        </w:rPr>
      </w:pPr>
      <w:r>
        <w:rPr>
          <w:rFonts w:eastAsia="Arial" w:cs="Arial" w:ascii="Arial" w:hAnsi="Arial"/>
          <w:b/>
          <w:bCs/>
          <w:sz w:val="22"/>
          <w:szCs w:val="22"/>
        </w:rPr>
        <w:t xml:space="preserve">WGS GRCh38 [14][15]: </w:t>
      </w:r>
      <w:r>
        <w:rPr>
          <w:rFonts w:eastAsia="Arial" w:cs="Arial" w:ascii="Arial" w:hAnsi="Arial"/>
          <w:sz w:val="22"/>
          <w:szCs w:val="22"/>
        </w:rPr>
        <w:t>10 variants (2 HIGH, 8 MODERATE). 2 homozygous.</w:t>
      </w:r>
    </w:p>
    <w:p>
      <w:pPr>
        <w:pStyle w:val="Normal"/>
        <w:spacing w:before="0" w:after="60"/>
        <w:rPr>
          <w:rFonts w:ascii="Arial" w:hAnsi="Arial"/>
        </w:rPr>
      </w:pPr>
      <w:r>
        <w:rPr>
          <w:rFonts w:eastAsia="Arial" w:cs="Arial" w:ascii="Arial" w:hAnsi="Arial"/>
          <w:b/>
          <w:bCs/>
          <w:sz w:val="22"/>
          <w:szCs w:val="22"/>
        </w:rPr>
        <w:t xml:space="preserve">NOT_IN_ANY_DB [12]: </w:t>
      </w:r>
      <w:r>
        <w:rPr>
          <w:rFonts w:eastAsia="Arial" w:cs="Arial" w:ascii="Arial" w:hAnsi="Arial"/>
          <w:sz w:val="22"/>
          <w:szCs w:val="22"/>
        </w:rPr>
        <w:t>1 additional variant in CYP11B1 region.</w:t>
      </w:r>
    </w:p>
    <w:p>
      <w:pPr>
        <w:pStyle w:val="Normal"/>
        <w:spacing w:before="0" w:after="60"/>
        <w:rPr>
          <w:rFonts w:ascii="Arial" w:hAnsi="Arial"/>
        </w:rPr>
      </w:pPr>
      <w:r>
        <w:rPr>
          <w:rFonts w:eastAsia="Arial" w:cs="Arial" w:ascii="Arial" w:hAnsi="Arial"/>
          <w:b/>
          <w:bCs/>
          <w:sz w:val="22"/>
          <w:szCs w:val="22"/>
        </w:rPr>
        <w:t xml:space="preserve">Expansion from Ancestry: </w:t>
      </w:r>
      <w:r>
        <w:rPr>
          <w:rFonts w:eastAsia="Arial" w:cs="Arial" w:ascii="Arial" w:hAnsi="Arial"/>
          <w:sz w:val="22"/>
          <w:szCs w:val="22"/>
        </w:rPr>
        <w:t>37x. Ancestry saw 1. WGS saw 37.</w:t>
      </w:r>
    </w:p>
    <w:p>
      <w:pPr>
        <w:pStyle w:val="Normal"/>
        <w:spacing w:before="0" w:after="100"/>
        <w:rPr>
          <w:rFonts w:ascii="Arial" w:hAnsi="Arial" w:eastAsia="Arial" w:cs="Arial"/>
          <w:sz w:val="22"/>
          <w:szCs w:val="22"/>
        </w:rPr>
      </w:pPr>
      <w:r>
        <w:rPr>
          <w:rFonts w:eastAsia="Arial" w:cs="Arial" w:ascii="Arial" w:hAnsi="Arial"/>
          <w:sz w:val="22"/>
          <w:szCs w:val="22"/>
        </w:rPr>
        <w:t>What CYP11B1 does: It takes androstenedione and adds a hydroxyl group at the 11-beta position. This is the step that commits the molecule to the 11-oxy pathway. Without this enzyme working, no 11-KT gets made. With 37 variants (including 2 where both copies are changed), the enzyme that controls entry into the 11-KT pathway is modified.</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The gatekeeper that decides whether androstenedione enters the 11-KT production line. The AncestryDNA microarray could only see one change. The whole genome sequencing saw 37. That's like looking at a house through a keyhole versus walking through every room.</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HSD11B2 — The Factory</w:t>
      </w:r>
    </w:p>
    <w:p>
      <w:pPr>
        <w:pStyle w:val="Normal"/>
        <w:spacing w:before="0" w:after="60"/>
        <w:rPr>
          <w:rFonts w:ascii="Arial" w:hAnsi="Arial"/>
        </w:rPr>
      </w:pPr>
      <w:r>
        <w:rPr>
          <w:rFonts w:eastAsia="Arial" w:cs="Arial" w:ascii="Arial" w:hAnsi="Arial"/>
          <w:b/>
          <w:bCs/>
          <w:sz w:val="22"/>
          <w:szCs w:val="22"/>
        </w:rPr>
        <w:t xml:space="preserve">Location: </w:t>
      </w:r>
      <w:r>
        <w:rPr>
          <w:rFonts w:eastAsia="Arial" w:cs="Arial" w:ascii="Arial" w:hAnsi="Arial"/>
          <w:sz w:val="22"/>
          <w:szCs w:val="22"/>
        </w:rPr>
        <w:t>Chromosome 16</w:t>
      </w:r>
    </w:p>
    <w:p>
      <w:pPr>
        <w:pStyle w:val="Normal"/>
        <w:spacing w:before="0" w:after="60"/>
        <w:rPr>
          <w:rFonts w:ascii="Arial" w:hAnsi="Arial"/>
        </w:rPr>
      </w:pPr>
      <w:r>
        <w:rPr>
          <w:rFonts w:eastAsia="Arial" w:cs="Arial" w:ascii="Arial" w:hAnsi="Arial"/>
          <w:b/>
          <w:bCs/>
          <w:sz w:val="22"/>
          <w:szCs w:val="22"/>
        </w:rPr>
        <w:t xml:space="preserve">AncestryDNA [3][4]: </w:t>
      </w:r>
      <w:r>
        <w:rPr>
          <w:rFonts w:eastAsia="Arial" w:cs="Arial" w:ascii="Arial" w:hAnsi="Arial"/>
          <w:sz w:val="22"/>
          <w:szCs w:val="22"/>
        </w:rPr>
        <w:t>#1 highest scoring variant in the entire HIGH tier. Pathogenic structural deletion. Score 300. ClinVar pathogenic.</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0 variants.</w:t>
      </w:r>
    </w:p>
    <w:p>
      <w:pPr>
        <w:pStyle w:val="Normal"/>
        <w:spacing w:before="0" w:after="60"/>
        <w:rPr>
          <w:rFonts w:ascii="Arial" w:hAnsi="Arial"/>
        </w:rPr>
      </w:pPr>
      <w:r>
        <w:rPr>
          <w:rFonts w:eastAsia="Arial" w:cs="Arial" w:ascii="Arial" w:hAnsi="Arial"/>
          <w:b/>
          <w:bCs/>
          <w:sz w:val="22"/>
          <w:szCs w:val="22"/>
        </w:rPr>
        <w:t xml:space="preserve">WGS GRCh38 [14][15]: </w:t>
      </w:r>
      <w:r>
        <w:rPr>
          <w:rFonts w:eastAsia="Arial" w:cs="Arial" w:ascii="Arial" w:hAnsi="Arial"/>
          <w:sz w:val="22"/>
          <w:szCs w:val="22"/>
        </w:rPr>
        <w:t>0 variants.</w:t>
      </w:r>
    </w:p>
    <w:p>
      <w:pPr>
        <w:pStyle w:val="Normal"/>
        <w:spacing w:before="0" w:after="60"/>
        <w:rPr>
          <w:rFonts w:ascii="Arial" w:hAnsi="Arial"/>
        </w:rPr>
      </w:pPr>
      <w:r>
        <w:rPr>
          <w:rFonts w:eastAsia="Arial" w:cs="Arial" w:ascii="Arial" w:hAnsi="Arial"/>
          <w:b/>
          <w:bCs/>
          <w:sz w:val="22"/>
          <w:szCs w:val="22"/>
        </w:rPr>
        <w:t xml:space="preserve">NOT_IN_ANY_DB [12][17]: </w:t>
      </w:r>
      <w:r>
        <w:rPr>
          <w:rFonts w:eastAsia="Arial" w:cs="Arial" w:ascii="Arial" w:hAnsi="Arial"/>
          <w:sz w:val="22"/>
          <w:szCs w:val="22"/>
        </w:rPr>
        <w:t>0 variants in HSD11B2 region (chr16:67,450,000-67,480,000).</w:t>
      </w:r>
    </w:p>
    <w:p>
      <w:pPr>
        <w:pStyle w:val="Normal"/>
        <w:spacing w:before="0" w:after="60"/>
        <w:rPr>
          <w:rFonts w:ascii="Arial" w:hAnsi="Arial"/>
        </w:rPr>
      </w:pPr>
      <w:r>
        <w:rPr>
          <w:rFonts w:eastAsia="Arial" w:cs="Arial" w:ascii="Arial" w:hAnsi="Arial"/>
          <w:b/>
          <w:bCs/>
          <w:sz w:val="22"/>
          <w:szCs w:val="22"/>
        </w:rPr>
        <w:t xml:space="preserve">DISCREPANCY: </w:t>
      </w:r>
      <w:r>
        <w:rPr>
          <w:rFonts w:eastAsia="Arial" w:cs="Arial" w:ascii="Arial" w:hAnsi="Arial"/>
          <w:sz w:val="22"/>
          <w:szCs w:val="22"/>
        </w:rPr>
        <w:t>AncestryDNA's single highest-scoring finding is absent from both WGS pipelines AND absent from NOT_IN_ANY_DB. The microarray detected a structural deletion the whole genome sequencer did not call.</w:t>
      </w:r>
    </w:p>
    <w:p>
      <w:pPr>
        <w:pStyle w:val="Normal"/>
        <w:spacing w:before="0" w:after="100"/>
        <w:rPr>
          <w:rFonts w:ascii="Arial" w:hAnsi="Arial" w:eastAsia="Arial" w:cs="Arial"/>
          <w:sz w:val="22"/>
          <w:szCs w:val="22"/>
        </w:rPr>
      </w:pPr>
      <w:r>
        <w:rPr>
          <w:rFonts w:eastAsia="Arial" w:cs="Arial" w:ascii="Arial" w:hAnsi="Arial"/>
          <w:sz w:val="22"/>
          <w:szCs w:val="22"/>
        </w:rPr>
        <w:t>What HSD11B2 does: It converts 11β-hydroxy intermediates into 11-keto products. Without HSD11B2, the 11-KT production chain stops at the hydroxy stage and never reaches the keto (active) form. A pathogenic structural deletion means the protein structure is physically changed.</w:t>
      </w:r>
    </w:p>
    <w:p>
      <w:pPr>
        <w:pStyle w:val="Normal"/>
        <w:spacing w:before="0" w:after="100"/>
        <w:rPr>
          <w:rFonts w:ascii="Arial" w:hAnsi="Arial" w:eastAsia="Arial" w:cs="Arial"/>
          <w:sz w:val="22"/>
          <w:szCs w:val="22"/>
        </w:rPr>
      </w:pPr>
      <w:r>
        <w:rPr>
          <w:rFonts w:eastAsia="Arial" w:cs="Arial" w:ascii="Arial" w:hAnsi="Arial"/>
          <w:sz w:val="22"/>
          <w:szCs w:val="22"/>
        </w:rPr>
        <w:t>Why the WGS might miss it: Short-read WGS (like the GeneDx CRAM) can miss structural variants — insertions, deletions, inversions — that are larger than the read length (~150bp). The AncestryDNA array uses probes that detect structural changes through intensity patterns, which can catch things short reads miss. The 5.7 GB CRAM file [20] contains the raw reads at this locus and can be manually inspected to resolve this.</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The most important finding from the AncestryDNA analysis — the enzyme that actually makes 11-KT has a structural change rated pathogenic by ClinVar — is invisible to the whole genome sequencer. This doesn't mean it's not there. It means the sequencer's method couldn't see it. The raw data exists in the CRAM file to check.</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SRD5A2 — The Upgrade Station</w:t>
      </w:r>
    </w:p>
    <w:p>
      <w:pPr>
        <w:pStyle w:val="Normal"/>
        <w:spacing w:before="0" w:after="60"/>
        <w:rPr>
          <w:rFonts w:ascii="Arial" w:hAnsi="Arial"/>
        </w:rPr>
      </w:pPr>
      <w:r>
        <w:rPr>
          <w:rFonts w:eastAsia="Arial" w:cs="Arial" w:ascii="Arial" w:hAnsi="Arial"/>
          <w:b/>
          <w:bCs/>
          <w:sz w:val="22"/>
          <w:szCs w:val="22"/>
        </w:rPr>
        <w:t xml:space="preserve">Location: </w:t>
      </w:r>
      <w:r>
        <w:rPr>
          <w:rFonts w:eastAsia="Arial" w:cs="Arial" w:ascii="Arial" w:hAnsi="Arial"/>
          <w:sz w:val="22"/>
          <w:szCs w:val="22"/>
        </w:rPr>
        <w:t>Chromosome 2</w:t>
      </w:r>
    </w:p>
    <w:p>
      <w:pPr>
        <w:pStyle w:val="Normal"/>
        <w:spacing w:before="0" w:after="60"/>
        <w:rPr>
          <w:rFonts w:ascii="Arial" w:hAnsi="Arial"/>
        </w:rPr>
      </w:pPr>
      <w:r>
        <w:rPr>
          <w:rFonts w:eastAsia="Arial" w:cs="Arial" w:ascii="Arial" w:hAnsi="Arial"/>
          <w:b/>
          <w:bCs/>
          <w:sz w:val="22"/>
          <w:szCs w:val="22"/>
        </w:rPr>
        <w:t xml:space="preserve">AncestryDNA [1]: </w:t>
      </w:r>
      <w:r>
        <w:rPr>
          <w:rFonts w:eastAsia="Arial" w:cs="Arial" w:ascii="Arial" w:hAnsi="Arial"/>
          <w:sz w:val="22"/>
          <w:szCs w:val="22"/>
        </w:rPr>
        <w:t>2 variants — rs587776567 (I/I, homozygous insertion, PATHOGENIC ClinVar) and rs587776566 (I/I, homozygous insertion), 5,240 bp apart. Both HIGH impact confirmed by VEP [2].</w:t>
      </w:r>
    </w:p>
    <w:p>
      <w:pPr>
        <w:pStyle w:val="Normal"/>
        <w:spacing w:before="0" w:after="60"/>
        <w:rPr>
          <w:rFonts w:ascii="Arial" w:hAnsi="Arial"/>
        </w:rPr>
      </w:pPr>
      <w:r>
        <w:rPr>
          <w:rFonts w:eastAsia="Arial" w:cs="Arial" w:ascii="Arial" w:hAnsi="Arial"/>
          <w:b/>
          <w:bCs/>
          <w:sz w:val="22"/>
          <w:szCs w:val="22"/>
        </w:rPr>
        <w:t xml:space="preserve">WGS GRCh37 [10]: </w:t>
      </w:r>
      <w:r>
        <w:rPr>
          <w:rFonts w:eastAsia="Arial" w:cs="Arial" w:ascii="Arial" w:hAnsi="Arial"/>
          <w:sz w:val="22"/>
          <w:szCs w:val="22"/>
        </w:rPr>
        <w:t>5 variants. ALL 5 HOMOZYGOUS:</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Chr2:31805619  T→C   GT:1/1  Score:70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Chr2:31805675  A→G   GT:1/1  Score:70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Chr2:31805706  G→C   GT:1/1  non_coding_transcript_exon_variant  Score:73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Chr2:31806031  C→G   GT:1/1  non_coding_transcript_exon_variant  Score:73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Chr2:31806130  G→GC  GT:1/1  non_coding_transcript_exon_variant  Score:73  [10]</w:t>
      </w:r>
    </w:p>
    <w:p>
      <w:pPr>
        <w:pStyle w:val="Normal"/>
        <w:spacing w:before="0" w:after="100"/>
        <w:rPr>
          <w:rFonts w:ascii="Arial" w:hAnsi="Arial" w:eastAsia="Arial" w:cs="Arial"/>
          <w:sz w:val="22"/>
          <w:szCs w:val="22"/>
        </w:rPr>
      </w:pPr>
      <w:r>
        <w:rPr>
          <w:rFonts w:eastAsia="Arial" w:cs="Arial" w:ascii="Arial" w:hAnsi="Arial"/>
          <w:sz w:val="22"/>
          <w:szCs w:val="22"/>
        </w:rPr>
        <w:t>What SRD5A2 does: It takes 11-KT and converts it into 11-KDHT — the most potent form. 11-KDHT binds the androgen receptor more tightly than 11-KT itself. AncestryDNA found 2 pathogenic homozygous insertions. WGS found 5 homozygous variants including 3 that change the exon sequence. Every single variant at this locus is homozygous — both copies of the gene are changed at every position found.</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The upgrade station that makes 11-KT even stronger is modified on BOTH copies at every position. The AncestryDNA pathogenic call is confirmed — and expanded. The enzyme that produces the most potent version of the hormone has structural changes on both copies of its DNA.</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HSD11B1 — The Off Switch</w:t>
      </w:r>
    </w:p>
    <w:p>
      <w:pPr>
        <w:pStyle w:val="Normal"/>
        <w:spacing w:before="0" w:after="60"/>
        <w:rPr>
          <w:rFonts w:ascii="Arial" w:hAnsi="Arial"/>
        </w:rPr>
      </w:pPr>
      <w:r>
        <w:rPr>
          <w:rFonts w:eastAsia="Arial" w:cs="Arial" w:ascii="Arial" w:hAnsi="Arial"/>
          <w:b/>
          <w:bCs/>
          <w:sz w:val="22"/>
          <w:szCs w:val="22"/>
        </w:rPr>
        <w:t xml:space="preserve">Location: </w:t>
      </w:r>
      <w:r>
        <w:rPr>
          <w:rFonts w:eastAsia="Arial" w:cs="Arial" w:ascii="Arial" w:hAnsi="Arial"/>
          <w:sz w:val="22"/>
          <w:szCs w:val="22"/>
        </w:rPr>
        <w:t>Chromosome 1</w:t>
      </w:r>
    </w:p>
    <w:p>
      <w:pPr>
        <w:pStyle w:val="Normal"/>
        <w:spacing w:before="0" w:after="60"/>
        <w:rPr>
          <w:rFonts w:ascii="Arial" w:hAnsi="Arial"/>
        </w:rPr>
      </w:pPr>
      <w:r>
        <w:rPr>
          <w:rFonts w:eastAsia="Arial" w:cs="Arial" w:ascii="Arial" w:hAnsi="Arial"/>
          <w:b/>
          <w:bCs/>
          <w:sz w:val="22"/>
          <w:szCs w:val="22"/>
        </w:rPr>
        <w:t xml:space="preserve">AncestryDNA [1]: </w:t>
      </w:r>
      <w:r>
        <w:rPr>
          <w:rFonts w:eastAsia="Arial" w:cs="Arial" w:ascii="Arial" w:hAnsi="Arial"/>
          <w:sz w:val="22"/>
          <w:szCs w:val="22"/>
        </w:rPr>
        <w:t>2 heterozygous variants — rs17014649 (T/C) and rs4844477 (T/C), 2,896 bp apart.</w:t>
      </w:r>
    </w:p>
    <w:p>
      <w:pPr>
        <w:pStyle w:val="Normal"/>
        <w:spacing w:before="0" w:after="60"/>
        <w:rPr>
          <w:rFonts w:ascii="Arial" w:hAnsi="Arial"/>
        </w:rPr>
      </w:pPr>
      <w:r>
        <w:rPr>
          <w:rFonts w:eastAsia="Arial" w:cs="Arial" w:ascii="Arial" w:hAnsi="Arial"/>
          <w:b/>
          <w:bCs/>
          <w:sz w:val="22"/>
          <w:szCs w:val="22"/>
        </w:rPr>
        <w:t xml:space="preserve">WGS GRCh37 [10]: </w:t>
      </w:r>
      <w:r>
        <w:rPr>
          <w:rFonts w:eastAsia="Arial" w:cs="Arial" w:ascii="Arial" w:hAnsi="Arial"/>
          <w:sz w:val="22"/>
          <w:szCs w:val="22"/>
        </w:rPr>
        <w:t>1 variant, heterozygous. Chr1:209905734 G→C, Score:85</w:t>
      </w:r>
    </w:p>
    <w:p>
      <w:pPr>
        <w:pStyle w:val="Normal"/>
        <w:spacing w:before="0" w:after="100"/>
        <w:rPr>
          <w:rFonts w:ascii="Arial" w:hAnsi="Arial" w:eastAsia="Arial" w:cs="Arial"/>
          <w:sz w:val="22"/>
          <w:szCs w:val="22"/>
        </w:rPr>
      </w:pPr>
      <w:r>
        <w:rPr>
          <w:rFonts w:eastAsia="Arial" w:cs="Arial" w:ascii="Arial" w:hAnsi="Arial"/>
          <w:sz w:val="22"/>
          <w:szCs w:val="22"/>
        </w:rPr>
        <w:t>What HSD11B1 does: The reverse of HSD11B2. It can convert 11-KT BACK into the weaker 11β-hydroxytestosterone (11OHT). It's the brake pedal. 1-2 variants, all heterozygous (one copy changed, one reference copy intact). The brake is half-modified.</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The off switch that could shut down 11-KT production has one copy changed and one copy standard. The factory (HSD11B2) has a pathogenic deletion. The upgrade station (SRD5A2) has both copies changed at every position. The off switch has only a partial modification. The system is configured to produce, upgrade, and not shut down.</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AR — The Receiver</w:t>
      </w:r>
    </w:p>
    <w:p>
      <w:pPr>
        <w:pStyle w:val="Normal"/>
        <w:spacing w:before="0" w:after="60"/>
        <w:rPr>
          <w:rFonts w:ascii="Arial" w:hAnsi="Arial"/>
        </w:rPr>
      </w:pPr>
      <w:r>
        <w:rPr>
          <w:rFonts w:eastAsia="Arial" w:cs="Arial" w:ascii="Arial" w:hAnsi="Arial"/>
          <w:b/>
          <w:bCs/>
          <w:sz w:val="22"/>
          <w:szCs w:val="22"/>
        </w:rPr>
        <w:t xml:space="preserve">Location: </w:t>
      </w:r>
      <w:r>
        <w:rPr>
          <w:rFonts w:eastAsia="Arial" w:cs="Arial" w:ascii="Arial" w:hAnsi="Arial"/>
          <w:sz w:val="22"/>
          <w:szCs w:val="22"/>
        </w:rPr>
        <w:t>Chromosome X</w:t>
      </w:r>
    </w:p>
    <w:p>
      <w:pPr>
        <w:pStyle w:val="Normal"/>
        <w:spacing w:before="0" w:after="60"/>
        <w:rPr>
          <w:rFonts w:ascii="Arial" w:hAnsi="Arial"/>
        </w:rPr>
      </w:pPr>
      <w:r>
        <w:rPr>
          <w:rFonts w:eastAsia="Arial" w:cs="Arial" w:ascii="Arial" w:hAnsi="Arial"/>
          <w:b/>
          <w:bCs/>
          <w:sz w:val="22"/>
          <w:szCs w:val="22"/>
        </w:rPr>
        <w:t xml:space="preserve">AncestryDNA [1]: </w:t>
      </w:r>
      <w:r>
        <w:rPr>
          <w:rFonts w:eastAsia="Arial" w:cs="Arial" w:ascii="Arial" w:hAnsi="Arial"/>
          <w:sz w:val="22"/>
          <w:szCs w:val="22"/>
        </w:rPr>
        <w:t>Common hemizygous alleles at canonical probes. Report recommended full AR sequencing including deep intronic [35] because 20% of CAIS cases have normal coding with intronic splice variants.</w:t>
      </w:r>
    </w:p>
    <w:p>
      <w:pPr>
        <w:pStyle w:val="Normal"/>
        <w:spacing w:before="0" w:after="60"/>
        <w:rPr>
          <w:rFonts w:ascii="Arial" w:hAnsi="Arial"/>
        </w:rPr>
      </w:pPr>
      <w:r>
        <w:rPr>
          <w:rFonts w:eastAsia="Arial" w:cs="Arial" w:ascii="Arial" w:hAnsi="Arial"/>
          <w:b/>
          <w:bCs/>
          <w:sz w:val="22"/>
          <w:szCs w:val="22"/>
        </w:rPr>
        <w:t xml:space="preserve">WGS GRCh37 SCORED [9]: </w:t>
      </w:r>
      <w:r>
        <w:rPr>
          <w:rFonts w:eastAsia="Arial" w:cs="Arial" w:ascii="Arial" w:hAnsi="Arial"/>
          <w:sz w:val="22"/>
          <w:szCs w:val="22"/>
        </w:rPr>
        <w:t>5 variants, ALL homozygous:</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ChrX:66765158  T→TGCAGCAGCAGCA  GT:1/1  inframe_insertion  Score:150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ChrX:66909171  C→G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ChrX:66914801  T→C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ChrX:66941597  T→G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ChrX:66943362  A→AACACACAC      GT:1/1  Score:110  [9]</w:t>
      </w:r>
    </w:p>
    <w:p>
      <w:pPr>
        <w:pStyle w:val="Normal"/>
        <w:spacing w:before="0" w:after="60"/>
        <w:rPr>
          <w:rFonts w:ascii="Arial" w:hAnsi="Arial"/>
        </w:rPr>
      </w:pPr>
      <w:r>
        <w:rPr>
          <w:rFonts w:eastAsia="Arial" w:cs="Arial" w:ascii="Arial" w:hAnsi="Arial"/>
          <w:b/>
          <w:bCs/>
          <w:sz w:val="22"/>
          <w:szCs w:val="22"/>
        </w:rPr>
        <w:t xml:space="preserve">WGS GRCh37 NOT_IN_ANY_DB [12]: </w:t>
      </w:r>
      <w:r>
        <w:rPr>
          <w:rFonts w:eastAsia="Arial" w:cs="Arial" w:ascii="Arial" w:hAnsi="Arial"/>
          <w:sz w:val="22"/>
          <w:szCs w:val="22"/>
        </w:rPr>
        <w:t>4 additional variants at the SAME LOCUS:</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ChrX:66765161  AGCAGC→AGCAGCCGCAGC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ChrX:66765186  GCAGCA→GCAGCAACAGCA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ChrX:66765206  AGC→AGCCGCCGC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ChrX:66766356  TGGC→T                 GT:0/1  [12]</w:t>
      </w:r>
    </w:p>
    <w:p>
      <w:pPr>
        <w:pStyle w:val="Normal"/>
        <w:spacing w:before="0" w:after="60"/>
        <w:rPr>
          <w:rFonts w:ascii="Arial" w:hAnsi="Arial"/>
        </w:rPr>
      </w:pPr>
      <w:r>
        <w:rPr>
          <w:rFonts w:eastAsia="Arial" w:cs="Arial" w:ascii="Arial" w:hAnsi="Arial"/>
          <w:b/>
          <w:bCs/>
          <w:sz w:val="22"/>
          <w:szCs w:val="22"/>
        </w:rPr>
        <w:t xml:space="preserve">WGS GRCh38 [14]: </w:t>
      </w:r>
      <w:r>
        <w:rPr>
          <w:rFonts w:eastAsia="Arial" w:cs="Arial" w:ascii="Arial" w:hAnsi="Arial"/>
          <w:sz w:val="22"/>
          <w:szCs w:val="22"/>
        </w:rPr>
        <w:t>8 variants (8 HIGH), 5 homozygous.</w:t>
      </w:r>
    </w:p>
    <w:p>
      <w:pPr>
        <w:pStyle w:val="Normal"/>
        <w:spacing w:before="0" w:after="60"/>
        <w:rPr>
          <w:rFonts w:ascii="Arial" w:hAnsi="Arial"/>
        </w:rPr>
      </w:pPr>
      <w:r>
        <w:rPr>
          <w:rFonts w:eastAsia="Arial" w:cs="Arial" w:ascii="Arial" w:hAnsi="Arial"/>
          <w:b/>
          <w:bCs/>
          <w:sz w:val="22"/>
          <w:szCs w:val="22"/>
        </w:rPr>
        <w:t xml:space="preserve">Total AR variants: </w:t>
      </w:r>
      <w:r>
        <w:rPr>
          <w:rFonts w:eastAsia="Arial" w:cs="Arial" w:ascii="Arial" w:hAnsi="Arial"/>
          <w:sz w:val="22"/>
          <w:szCs w:val="22"/>
        </w:rPr>
        <w:t>~17 across scored + NOT_IN_ANY_DB</w:t>
      </w:r>
    </w:p>
    <w:p>
      <w:pPr>
        <w:pStyle w:val="Normal"/>
        <w:spacing w:before="0" w:after="100"/>
        <w:rPr>
          <w:rFonts w:ascii="Arial" w:hAnsi="Arial" w:eastAsia="Arial" w:cs="Arial"/>
          <w:sz w:val="22"/>
          <w:szCs w:val="22"/>
        </w:rPr>
      </w:pPr>
      <w:r>
        <w:rPr>
          <w:rFonts w:eastAsia="Arial" w:cs="Arial" w:ascii="Arial" w:hAnsi="Arial"/>
          <w:sz w:val="22"/>
          <w:szCs w:val="22"/>
        </w:rPr>
        <w:t>What the AR modifications do: The androgen receptor is the protein that 11-KT (and all androgens) bind to in order to activate gene expression. The scored data shows a GCAGCAGCAGCA insertion (a 12-nucleotide CAG repeat block added) and an ACACACAC insertion (8-nucleotide AC repeat). The NOT_IN_ANY_DB data shows THREE MORE repeat expansions at positions 3-48 bases away from the scored insertion — AGCAGC becoming AGCAGCCGCAGC, GCAGCA becoming GCAGCAACAGCA, AGC becoming AGCCGCCGC. These are GCA/GCG/CAG repeat expansions physically adding extra material into the same region of the receptor protein.</w:t>
      </w:r>
    </w:p>
    <w:p>
      <w:pPr>
        <w:pStyle w:val="Normal"/>
        <w:spacing w:before="0" w:after="100"/>
        <w:rPr>
          <w:rFonts w:ascii="Arial" w:hAnsi="Arial" w:eastAsia="Arial" w:cs="Arial"/>
          <w:sz w:val="22"/>
          <w:szCs w:val="22"/>
        </w:rPr>
      </w:pPr>
      <w:r>
        <w:rPr>
          <w:rFonts w:eastAsia="Arial" w:cs="Arial" w:ascii="Arial" w:hAnsi="Arial"/>
          <w:sz w:val="22"/>
          <w:szCs w:val="22"/>
        </w:rPr>
        <w:t>CAG repeat length in AR is one of the most studied structural features in human genetics. Longer CAG repeats produce a longer polyglutamine tract in the protein. The length of this tract directly affects how the receptor responds when a hormone binds to it. In the general population, CAG repeat length ranges from ~9 to ~36. The scored and unscored data combined show multiple overlapping repeat expansions concentrated in a ~1.2kb window of the AR gene.</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The receiver has extra structural loops physically added into it at multiple overlapping positions. The thing the hormone plugs into is shaped differently. It is functioning — daily sexual function maintained since 2018 with testosterone under 3 ng/dL. The receiver is accepting 11-KT as input because there is no other androgen present in significant quantities. The structural additions may be why it accepts 11-KT effectively — the shape is different.</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CYP19A1 — The Competing Pathway (CORRECTED)</w:t>
      </w:r>
    </w:p>
    <w:p>
      <w:pPr>
        <w:pStyle w:val="Normal"/>
        <w:spacing w:before="0" w:after="60"/>
        <w:rPr>
          <w:rFonts w:ascii="Arial" w:hAnsi="Arial"/>
        </w:rPr>
      </w:pPr>
      <w:r>
        <w:rPr>
          <w:rFonts w:eastAsia="Arial" w:cs="Arial" w:ascii="Arial" w:hAnsi="Arial"/>
          <w:b/>
          <w:bCs/>
          <w:sz w:val="22"/>
          <w:szCs w:val="22"/>
        </w:rPr>
        <w:t xml:space="preserve">Location: </w:t>
      </w:r>
      <w:r>
        <w:rPr>
          <w:rFonts w:eastAsia="Arial" w:cs="Arial" w:ascii="Arial" w:hAnsi="Arial"/>
          <w:sz w:val="22"/>
          <w:szCs w:val="22"/>
        </w:rPr>
        <w:t>Chromosome 15</w:t>
      </w:r>
    </w:p>
    <w:p>
      <w:pPr>
        <w:pStyle w:val="Normal"/>
        <w:spacing w:before="0" w:after="60"/>
        <w:rPr>
          <w:rFonts w:ascii="Arial" w:hAnsi="Arial"/>
        </w:rPr>
      </w:pPr>
      <w:r>
        <w:rPr>
          <w:rFonts w:eastAsia="Arial" w:cs="Arial" w:ascii="Arial" w:hAnsi="Arial"/>
          <w:b/>
          <w:bCs/>
          <w:sz w:val="22"/>
          <w:szCs w:val="22"/>
        </w:rPr>
        <w:t xml:space="preserve">AncestryDNA [1]: </w:t>
      </w:r>
      <w:r>
        <w:rPr>
          <w:rFonts w:eastAsia="Arial" w:cs="Arial" w:ascii="Arial" w:hAnsi="Arial"/>
          <w:sz w:val="22"/>
          <w:szCs w:val="22"/>
        </w:rPr>
        <w:t>I/I (homozygous insertion) at Chr15:51,504,556 inside gene body. Plus rs10046 A/G heterozygous (common variant affecting aromatase expression). Plus 5 D/I calls in 114kb CYP19A1/ESR1 region on Chr6 at 44x expected density.</w:t>
      </w:r>
    </w:p>
    <w:p>
      <w:pPr>
        <w:pStyle w:val="Normal"/>
        <w:spacing w:before="0" w:after="60"/>
        <w:rPr>
          <w:rFonts w:ascii="Arial" w:hAnsi="Arial"/>
        </w:rPr>
      </w:pPr>
      <w:r>
        <w:rPr>
          <w:rFonts w:eastAsia="Arial" w:cs="Arial" w:ascii="Arial" w:hAnsi="Arial"/>
          <w:b/>
          <w:bCs/>
          <w:sz w:val="22"/>
          <w:szCs w:val="22"/>
        </w:rPr>
        <w:t xml:space="preserve">WGS SCORED FILES [9][10][14][15]: </w:t>
      </w:r>
      <w:r>
        <w:rPr>
          <w:rFonts w:eastAsia="Arial" w:cs="Arial" w:ascii="Arial" w:hAnsi="Arial"/>
          <w:sz w:val="22"/>
          <w:szCs w:val="22"/>
        </w:rPr>
        <w:t>0 variants.</w:t>
      </w:r>
    </w:p>
    <w:p>
      <w:pPr>
        <w:pStyle w:val="Normal"/>
        <w:spacing w:before="0" w:after="60"/>
        <w:rPr>
          <w:rFonts w:ascii="Arial" w:hAnsi="Arial"/>
        </w:rPr>
      </w:pPr>
      <w:r>
        <w:rPr>
          <w:rFonts w:eastAsia="Arial" w:cs="Arial" w:ascii="Arial" w:hAnsi="Arial"/>
          <w:b/>
          <w:bCs/>
          <w:sz w:val="22"/>
          <w:szCs w:val="22"/>
        </w:rPr>
        <w:t xml:space="preserve">WGS GRCh37 NOT_IN_ANY_DB [12]: </w:t>
      </w:r>
      <w:r>
        <w:rPr>
          <w:rFonts w:eastAsia="Arial" w:cs="Arial" w:ascii="Arial" w:hAnsi="Arial"/>
          <w:sz w:val="22"/>
          <w:szCs w:val="22"/>
        </w:rPr>
        <w:t>14 STRUCTURAL VARIANTS at chr15:51,100,000-52,000,000: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Chr15:51141589  G→A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Chr15:51519869  CAATAAATAAATAAATAAATAAATAAATAAA→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 xml:space="preserve">                </w:t>
      </w:r>
      <w:r>
        <w:rPr>
          <w:rFonts w:eastAsia="Courier New" w:cs="Courier New" w:ascii="Arial" w:hAnsi="Arial"/>
          <w:color w:val="333333"/>
          <w:sz w:val="20"/>
          <w:szCs w:val="20"/>
        </w:rPr>
        <w:t>CAATAAATAAATAAATAAATAAATAAATAAATAAATAAATAAATAAA</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 xml:space="preserve">                </w:t>
      </w:r>
      <w:r>
        <w:rPr>
          <w:rFonts w:eastAsia="Courier New" w:cs="Courier New" w:ascii="Arial" w:hAnsi="Arial"/>
          <w:color w:val="333333"/>
          <w:sz w:val="20"/>
          <w:szCs w:val="20"/>
        </w:rPr>
        <w:t>^^^ AATAAATAAAT REPEAT EXPANSION: 29bp→44bp (+15 nucleotides added)</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Chr15:51519945  AAAGA→AAAGAAGA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Chr15:51529349  GAAACAAAACAAAACAAAACAAAA→GAAACAAAACAAAACAAAA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 xml:space="preserve">                </w:t>
      </w:r>
      <w:r>
        <w:rPr>
          <w:rFonts w:eastAsia="Courier New" w:cs="Courier New" w:ascii="Arial" w:hAnsi="Arial"/>
          <w:color w:val="333333"/>
          <w:sz w:val="20"/>
          <w:szCs w:val="20"/>
        </w:rPr>
        <w:t>^^^ CAAAA REPEAT CONTRACTION: 23bp→18bp (-5 nucleotides removed)</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Chr15:51675932  AT→A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Chr15:51689543  CCCT→CCCTTCCT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Chr15:51751091  TAGCAGCAGCAGCAGCAGCAGCAGCA→TAGCAGCAGCAGCAGCAGCA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 xml:space="preserve">                </w:t>
      </w:r>
      <w:r>
        <w:rPr>
          <w:rFonts w:eastAsia="Courier New" w:cs="Courier New" w:ascii="Arial" w:hAnsi="Arial"/>
          <w:color w:val="333333"/>
          <w:sz w:val="20"/>
          <w:szCs w:val="20"/>
        </w:rPr>
        <w:t>^^^ CAGCAG REPEAT CONTRACTION: 25bp→19bp (-6 nucleotides removed)</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 xml:space="preserve">                </w:t>
      </w:r>
      <w:r>
        <w:rPr>
          <w:rFonts w:eastAsia="Courier New" w:cs="Courier New" w:ascii="Arial" w:hAnsi="Arial"/>
          <w:color w:val="333333"/>
          <w:sz w:val="20"/>
          <w:szCs w:val="20"/>
        </w:rPr>
        <w:t>^^^ SAME CAG MOTIF AS AR EXPANSION — CONTRACTS HERE, EXPANDS IN AR</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Chr15:51758345  CA→C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Chr15:51770456  AT→A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Chr15:51783639  CA→C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Chr15:51856190  GA→G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Chr15:51980760  TAGGAG→TAG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Chr15:51981595  GGGGT→G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Chr15:51981626  GTGT→GTGTGTATGT                                        GT:0/1  [12]</w:t>
      </w:r>
    </w:p>
    <w:p>
      <w:pPr>
        <w:pStyle w:val="Normal"/>
        <w:spacing w:before="0" w:after="100"/>
        <w:rPr>
          <w:rFonts w:ascii="Arial" w:hAnsi="Arial"/>
        </w:rPr>
      </w:pPr>
      <w:r>
        <w:rPr>
          <w:rFonts w:ascii="Arial" w:hAnsi="Arial"/>
        </w:rPr>
      </w:r>
    </w:p>
    <w:p>
      <w:pPr>
        <w:pStyle w:val="Normal"/>
        <w:spacing w:before="0" w:after="60"/>
        <w:rPr>
          <w:rFonts w:ascii="Arial" w:hAnsi="Arial" w:eastAsia="Arial" w:cs="Arial"/>
          <w:b/>
          <w:bCs/>
          <w:sz w:val="22"/>
          <w:szCs w:val="22"/>
        </w:rPr>
      </w:pPr>
      <w:r>
        <w:rPr>
          <w:rFonts w:eastAsia="Arial" w:cs="Arial" w:ascii="Arial" w:hAnsi="Arial"/>
          <w:b/>
          <w:bCs/>
          <w:sz w:val="22"/>
          <w:szCs w:val="22"/>
        </w:rPr>
        <w:t xml:space="preserve">CYP19A1/ESR1 CLUSTER on Chr6 — AncestryDNA CONFIRMED by WGS [12]: </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Chr6:160560897  CTGGTAAGTTGGTAAGTTG→CTGGTAAGTTG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 xml:space="preserve">                </w:t>
      </w:r>
      <w:r>
        <w:rPr>
          <w:rFonts w:eastAsia="Courier New" w:cs="Courier New" w:ascii="Arial" w:hAnsi="Arial"/>
          <w:color w:val="333333"/>
          <w:sz w:val="20"/>
          <w:szCs w:val="20"/>
        </w:rPr>
        <w:t>^^^ 19bp→11bp GGTAAGTTG repeat contraction</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Chr6:160602908  C→T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Chr6:160666660  ACC→ACCC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 xml:space="preserve">                </w:t>
      </w:r>
      <w:r>
        <w:rPr>
          <w:rFonts w:eastAsia="Courier New" w:cs="Courier New" w:ascii="Arial" w:hAnsi="Arial"/>
          <w:color w:val="333333"/>
          <w:sz w:val="20"/>
          <w:szCs w:val="20"/>
        </w:rPr>
        <w:t>^^^ EXACT MATCH to AncestryDNA rs11422119 at 160,666,660 [1]</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Chr6:160668186  CCT→C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 xml:space="preserve">                </w:t>
      </w:r>
      <w:r>
        <w:rPr>
          <w:rFonts w:eastAsia="Courier New" w:cs="Courier New" w:ascii="Arial" w:hAnsi="Arial"/>
          <w:color w:val="333333"/>
          <w:sz w:val="20"/>
          <w:szCs w:val="20"/>
        </w:rPr>
        <w:t>^^^ 1bp FROM AncestryDNA rs3219195 at 160,668,187 [1]</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What CYP19A1 does: Aromatase. The ONLY enzyme that converts androgens into estrogens. The only off-ramp from the androgen pool to the estrogen pool. If aromatase is modified, the ability to divert precursors toward estrogen is changed.</w:t>
      </w:r>
    </w:p>
    <w:p>
      <w:pPr>
        <w:pStyle w:val="Normal"/>
        <w:spacing w:before="0" w:after="100"/>
        <w:rPr>
          <w:rFonts w:ascii="Arial" w:hAnsi="Arial" w:eastAsia="Arial" w:cs="Arial"/>
          <w:sz w:val="22"/>
          <w:szCs w:val="22"/>
        </w:rPr>
      </w:pPr>
      <w:r>
        <w:rPr>
          <w:rFonts w:eastAsia="Arial" w:cs="Arial" w:ascii="Arial" w:hAnsi="Arial"/>
          <w:sz w:val="22"/>
          <w:szCs w:val="22"/>
        </w:rPr>
        <w:t>What the scored pipeline reported: Zero. This was WRONG. The scored pipeline could only see variants the Ensembl API annotated. These 14 structural variants and 4 cluster variants have no database annotation — so they were invisible to the scoring pipeline. They exist in the raw data.</w:t>
      </w:r>
    </w:p>
    <w:p>
      <w:pPr>
        <w:pStyle w:val="Normal"/>
        <w:spacing w:before="0" w:after="100"/>
        <w:rPr>
          <w:rFonts w:ascii="Arial" w:hAnsi="Arial" w:eastAsia="Arial" w:cs="Arial"/>
          <w:sz w:val="22"/>
          <w:szCs w:val="22"/>
        </w:rPr>
      </w:pPr>
      <w:r>
        <w:rPr>
          <w:rFonts w:eastAsia="Arial" w:cs="Arial" w:ascii="Arial" w:hAnsi="Arial"/>
          <w:sz w:val="22"/>
          <w:szCs w:val="22"/>
        </w:rPr>
        <w:t>What the modifications show: A CAG repeat CONTRACTION in CYP19A1 (25bp→19bp) while the androgen receptor has CAG repeat EXPANSIONS. The same trinucleotide repeat motif — CAG — is changing in opposite directions in the estrogen-producing enzyme versus the androgen receiver. CYP19A1 loses CAG repeats. AR gains them. Plus a 15-nucleotide AATAAATAAAT repeat expansion, a CAAAA repeat contraction, and multiple structural deletions across a 900kb region.</w:t>
      </w:r>
    </w:p>
    <w:p>
      <w:pPr>
        <w:pStyle w:val="Normal"/>
        <w:spacing w:before="0" w:after="100"/>
        <w:rPr>
          <w:rFonts w:ascii="Arial" w:hAnsi="Arial" w:eastAsia="Arial" w:cs="Arial"/>
          <w:sz w:val="22"/>
          <w:szCs w:val="22"/>
        </w:rPr>
      </w:pPr>
      <w:r>
        <w:rPr>
          <w:rFonts w:eastAsia="Arial" w:cs="Arial" w:ascii="Arial" w:hAnsi="Arial"/>
          <w:sz w:val="22"/>
          <w:szCs w:val="22"/>
        </w:rPr>
        <w:t>The AncestryDNA report [1] found 5 D/I calls in a 114kb CYP19A1/ESR1 window at 44x expected density. The WGS NOT_IN_ANY_DB file [12] has variants at the EXACT SAME COORDINATES — confirmed to the single base pair for two positions. The microarray structural signal is confirmed by independent whole genome sequencing.</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The enzyme that makes estrogen from androgens was reported as 'untouched' in previous versions of this document. That was wrong. It has 14 structural variants including repeat changes that MIRROR what's happening in the androgen receptor — the same CAG repeat motif contracts here while it expands there. The estrogen-producing enzyme and the androgen receiver are being modified by the same type of structural change, in opposite directions. The scored pipeline couldn't see any of this because no database recognizes these variants. They were hiding in the uncharacterized data.</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ESR1 — The Estrogen Receiver</w:t>
      </w:r>
    </w:p>
    <w:p>
      <w:pPr>
        <w:pStyle w:val="Normal"/>
        <w:spacing w:before="0" w:after="60"/>
        <w:rPr>
          <w:rFonts w:ascii="Arial" w:hAnsi="Arial"/>
        </w:rPr>
      </w:pPr>
      <w:r>
        <w:rPr>
          <w:rFonts w:eastAsia="Arial" w:cs="Arial" w:ascii="Arial" w:hAnsi="Arial"/>
          <w:b/>
          <w:bCs/>
          <w:sz w:val="22"/>
          <w:szCs w:val="22"/>
        </w:rPr>
        <w:t xml:space="preserve">Location: </w:t>
      </w:r>
      <w:r>
        <w:rPr>
          <w:rFonts w:eastAsia="Arial" w:cs="Arial" w:ascii="Arial" w:hAnsi="Arial"/>
          <w:sz w:val="22"/>
          <w:szCs w:val="22"/>
        </w:rPr>
        <w:t>Chromosome 6</w:t>
      </w:r>
    </w:p>
    <w:p>
      <w:pPr>
        <w:pStyle w:val="Normal"/>
        <w:spacing w:before="0" w:after="60"/>
        <w:rPr>
          <w:rFonts w:ascii="Arial" w:hAnsi="Arial"/>
        </w:rPr>
      </w:pPr>
      <w:r>
        <w:rPr>
          <w:rFonts w:eastAsia="Arial" w:cs="Arial" w:ascii="Arial" w:hAnsi="Arial"/>
          <w:b/>
          <w:bCs/>
          <w:sz w:val="22"/>
          <w:szCs w:val="22"/>
        </w:rPr>
        <w:t xml:space="preserve">AncestryDNA [1]: </w:t>
      </w:r>
      <w:r>
        <w:rPr>
          <w:rFonts w:eastAsia="Arial" w:cs="Arial" w:ascii="Arial" w:hAnsi="Arial"/>
          <w:sz w:val="22"/>
          <w:szCs w:val="22"/>
        </w:rPr>
        <w:t>I/I (homozygous insertion) inside ESR1 gene body at Chr6:151,766,462. Stop-gain probe mislabeled to PTEN coordinates. 5 D/I calls in CYP19A1/ESR1 downstream cluster at 44x density.</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26 variants (16 HIGH, 10 MODERATE). 16 HOMOZYGOUS. Sample scored lines:</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Chr6:152114305  C→CA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Chr6:152129077  T→C    GT:1/1  synonymous_variant  Score:112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Chr6:152163335  T→C    GT:1/1  Score:120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Chr6:152200041  A→G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Chr6:152201875  T→C    GT:1/1  synonymous_variant  Score:112  [9]</w:t>
      </w:r>
    </w:p>
    <w:p>
      <w:pPr>
        <w:pStyle w:val="Normal"/>
        <w:spacing w:before="0" w:after="60"/>
        <w:rPr>
          <w:rFonts w:ascii="Arial" w:hAnsi="Arial"/>
        </w:rPr>
      </w:pPr>
      <w:r>
        <w:rPr>
          <w:rFonts w:eastAsia="Arial" w:cs="Arial" w:ascii="Arial" w:hAnsi="Arial"/>
          <w:b/>
          <w:bCs/>
          <w:sz w:val="22"/>
          <w:szCs w:val="22"/>
        </w:rPr>
        <w:t xml:space="preserve">NOT_IN_ANY_DB [12]: </w:t>
      </w:r>
      <w:r>
        <w:rPr>
          <w:rFonts w:eastAsia="Arial" w:cs="Arial" w:ascii="Arial" w:hAnsi="Arial"/>
          <w:sz w:val="22"/>
          <w:szCs w:val="22"/>
        </w:rPr>
        <w:t>2 additional:</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Chr6:151785391  CAATTAA→CAA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Chr6:151859146  GT→G         GT:0/1  [12]</w:t>
      </w:r>
    </w:p>
    <w:p>
      <w:pPr>
        <w:pStyle w:val="Normal"/>
        <w:spacing w:before="0" w:after="100"/>
        <w:rPr>
          <w:rFonts w:ascii="Arial" w:hAnsi="Arial" w:eastAsia="Arial" w:cs="Arial"/>
          <w:sz w:val="22"/>
          <w:szCs w:val="22"/>
        </w:rPr>
      </w:pPr>
      <w:r>
        <w:rPr>
          <w:rFonts w:eastAsia="Arial" w:cs="Arial" w:ascii="Arial" w:hAnsi="Arial"/>
          <w:sz w:val="22"/>
          <w:szCs w:val="22"/>
        </w:rPr>
        <w:t>What ESR1 does: The estrogen receptor alpha. When estrogen (estradiol) binds to ESR1, it activates estrogen-responsive genes. If ESR1 is modified, the way the body responds to estrogen changes. Published cases of ESR1 mutations include complete estrogen resistance — a man with an ESR1 mutation had unfused growth plates, continued linear growth into adulthood, and osteoporosis despite normal estrogen levels because his cells couldn't respond to the signal [33].</w:t>
      </w:r>
    </w:p>
    <w:p>
      <w:pPr>
        <w:pStyle w:val="Normal"/>
        <w:spacing w:before="0" w:after="100"/>
        <w:rPr>
          <w:rFonts w:ascii="Arial" w:hAnsi="Arial" w:eastAsia="Arial" w:cs="Arial"/>
          <w:sz w:val="22"/>
          <w:szCs w:val="22"/>
        </w:rPr>
      </w:pPr>
      <w:r>
        <w:rPr>
          <w:rFonts w:eastAsia="Arial" w:cs="Arial" w:ascii="Arial" w:hAnsi="Arial"/>
          <w:sz w:val="22"/>
          <w:szCs w:val="22"/>
        </w:rPr>
        <w:t>16 positions homozygous means both copies of the estrogen receiver are changed at 16 locations. Combined with the CYP19A1 structural modifications — both the estrogen-producing enzyme AND the estrogen receiver are modified. The estrogen system is remodeled at both ends: production and reception.</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The receiver for estrogen has both copies changed at 16 positions. The enzyme that makes estrogen has 14 structural variants. Both sides of the estrogen system are different — the signal producer and the signal receiver. Meanwhile, the 11-KT pathway has every component modified and the androgen receiver has structural expansions. Both hormone systems are remodeled, but the androgen side has deeper modifications (SRD5A2 all homozygous pathogenic, HSD11B2 pathogenic) than the estrogen side.</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Supporting Pathway Genes</w:t>
      </w:r>
    </w:p>
    <w:tbl>
      <w:tblPr>
        <w:tblW w:w="9400" w:type="dxa"/>
        <w:jc w:val="left"/>
        <w:tblInd w:w="0" w:type="dxa"/>
        <w:tblLayout w:type="fixed"/>
        <w:tblCellMar>
          <w:top w:w="60" w:type="dxa"/>
          <w:left w:w="100" w:type="dxa"/>
          <w:bottom w:w="60" w:type="dxa"/>
          <w:right w:w="100" w:type="dxa"/>
        </w:tblCellMar>
      </w:tblPr>
      <w:tblGrid>
        <w:gridCol w:w="1099"/>
        <w:gridCol w:w="701"/>
        <w:gridCol w:w="700"/>
        <w:gridCol w:w="699"/>
        <w:gridCol w:w="701"/>
        <w:gridCol w:w="5500"/>
      </w:tblGrid>
      <w:tr>
        <w:trPr/>
        <w:tc>
          <w:tcPr>
            <w:tcW w:w="10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Gene</w:t>
            </w:r>
          </w:p>
        </w:tc>
        <w:tc>
          <w:tcPr>
            <w:tcW w:w="7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G37</w:t>
            </w:r>
          </w:p>
        </w:tc>
        <w:tc>
          <w:tcPr>
            <w:tcW w:w="7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G38</w:t>
            </w:r>
          </w:p>
        </w:tc>
        <w:tc>
          <w:tcPr>
            <w:tcW w:w="6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Hom</w:t>
            </w:r>
          </w:p>
        </w:tc>
        <w:tc>
          <w:tcPr>
            <w:tcW w:w="7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Anc</w:t>
            </w:r>
          </w:p>
        </w:tc>
        <w:tc>
          <w:tcPr>
            <w:tcW w:w="55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What it does and what the modification means</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PCSK9</w:t>
            </w:r>
          </w:p>
        </w:tc>
        <w:tc>
          <w:tcPr>
            <w:tcW w:w="7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25</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22</w:t>
            </w:r>
          </w:p>
        </w:tc>
        <w:tc>
          <w:tcPr>
            <w:tcW w:w="6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16</w:t>
            </w:r>
          </w:p>
        </w:tc>
        <w:tc>
          <w:tcPr>
            <w:tcW w:w="7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11</w:t>
            </w:r>
          </w:p>
        </w:tc>
        <w:tc>
          <w:tcPr>
            <w:tcW w:w="5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Controls how much LDL cholesterol is available. Cholesterol is the raw ingredient for ALL steroid hormones. 16 homozygous = fuel supply regulation is different on both copies.</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RYR2</w:t>
            </w:r>
          </w:p>
        </w:tc>
        <w:tc>
          <w:tcPr>
            <w:tcW w:w="7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133</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109</w:t>
            </w:r>
          </w:p>
        </w:tc>
        <w:tc>
          <w:tcPr>
            <w:tcW w:w="6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78</w:t>
            </w:r>
          </w:p>
        </w:tc>
        <w:tc>
          <w:tcPr>
            <w:tcW w:w="7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97</w:t>
            </w:r>
          </w:p>
        </w:tc>
        <w:tc>
          <w:tcPr>
            <w:tcW w:w="5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Calcium release channel. When calcium floods into the cell, it activates StAR protein which moves cholesterol into mitochondria to START steroid production. This is the ignition key for the entire steroidogenic cascade. 78 homozygous = the ignition system fires differently on both copies. Most modified gene in the genome.</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MTHFR</w:t>
            </w:r>
          </w:p>
        </w:tc>
        <w:tc>
          <w:tcPr>
            <w:tcW w:w="7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7</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t>
            </w:r>
          </w:p>
        </w:tc>
        <w:tc>
          <w:tcPr>
            <w:tcW w:w="6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5</w:t>
            </w:r>
          </w:p>
        </w:tc>
        <w:tc>
          <w:tcPr>
            <w:tcW w:w="7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3</w:t>
            </w:r>
          </w:p>
        </w:tc>
        <w:tc>
          <w:tcPr>
            <w:tcW w:w="5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Processes folate and controls methylation — how genes get switched on and off. In fish, methylation of the Hsd11b2 promoter determines whether the body makes 11-KT (male) or estrogen (female). 5 homozygous = the gene-switching system is set differently on both copies.</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MTR</w:t>
            </w:r>
          </w:p>
        </w:tc>
        <w:tc>
          <w:tcPr>
            <w:tcW w:w="7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42</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34</w:t>
            </w:r>
          </w:p>
        </w:tc>
        <w:tc>
          <w:tcPr>
            <w:tcW w:w="6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20</w:t>
            </w:r>
          </w:p>
        </w:tc>
        <w:tc>
          <w:tcPr>
            <w:tcW w:w="7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28</w:t>
            </w:r>
          </w:p>
        </w:tc>
        <w:tc>
          <w:tcPr>
            <w:tcW w:w="5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MTHFR's partner in the methylation cycle. Recycles homocysteine into methionine, which feeds the methylation system. 20 homozygous.</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MTRR</w:t>
            </w:r>
          </w:p>
        </w:tc>
        <w:tc>
          <w:tcPr>
            <w:tcW w:w="7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7</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9</w:t>
            </w:r>
          </w:p>
        </w:tc>
        <w:tc>
          <w:tcPr>
            <w:tcW w:w="6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0</w:t>
            </w:r>
          </w:p>
        </w:tc>
        <w:tc>
          <w:tcPr>
            <w:tcW w:w="7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t>
            </w:r>
          </w:p>
        </w:tc>
        <w:tc>
          <w:tcPr>
            <w:tcW w:w="5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Third component of the methylation cycle. Regenerates the cofactor MTR needs.</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CBS</w:t>
            </w:r>
          </w:p>
        </w:tc>
        <w:tc>
          <w:tcPr>
            <w:tcW w:w="7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20</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13</w:t>
            </w:r>
          </w:p>
        </w:tc>
        <w:tc>
          <w:tcPr>
            <w:tcW w:w="6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3</w:t>
            </w:r>
          </w:p>
        </w:tc>
        <w:tc>
          <w:tcPr>
            <w:tcW w:w="7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t>
            </w:r>
          </w:p>
        </w:tc>
        <w:tc>
          <w:tcPr>
            <w:tcW w:w="5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Cystathionine beta-synthase. Diverts homocysteine away from the methylation cycle toward transsulfuration. 20 variants = the fork in the road between methylation and sulfur metabolism is modified.</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NOS3</w:t>
            </w:r>
          </w:p>
        </w:tc>
        <w:tc>
          <w:tcPr>
            <w:tcW w:w="7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11</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11</w:t>
            </w:r>
          </w:p>
        </w:tc>
        <w:tc>
          <w:tcPr>
            <w:tcW w:w="6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7</w:t>
            </w:r>
          </w:p>
        </w:tc>
        <w:tc>
          <w:tcPr>
            <w:tcW w:w="7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t>
            </w:r>
          </w:p>
        </w:tc>
        <w:tc>
          <w:tcPr>
            <w:tcW w:w="5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Endothelial nitric oxide synthase. Makes nitric oxide in blood vessel walls. In pigs [58], 11-KT directly regulates eNOS expression in vascular endothelial cells. 7 homozygous = the gene 11-KT controls in pigs is modified on both copies.</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ACE</w:t>
            </w:r>
          </w:p>
        </w:tc>
        <w:tc>
          <w:tcPr>
            <w:tcW w:w="7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28</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21</w:t>
            </w:r>
          </w:p>
        </w:tc>
        <w:tc>
          <w:tcPr>
            <w:tcW w:w="6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22</w:t>
            </w:r>
          </w:p>
        </w:tc>
        <w:tc>
          <w:tcPr>
            <w:tcW w:w="7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t>
            </w:r>
          </w:p>
        </w:tc>
        <w:tc>
          <w:tcPr>
            <w:tcW w:w="5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Angiotensin converting enzyme. Adrenal RAAS. Makes angiotensin II which stimulates adrenal cortex aldosterone production. 22 homozygous = the enzyme that drives adrenal cortex activity is modified on both copies. Same organ that makes 11-KT.</w:t>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1.4 Pathway Summary</w:t>
      </w:r>
    </w:p>
    <w:p>
      <w:pPr>
        <w:pStyle w:val="Normal"/>
        <w:spacing w:before="0" w:after="100"/>
        <w:rPr>
          <w:rFonts w:ascii="Arial" w:hAnsi="Arial" w:eastAsia="Arial" w:cs="Arial"/>
          <w:sz w:val="22"/>
          <w:szCs w:val="22"/>
        </w:rPr>
      </w:pPr>
      <w:r>
        <w:rPr>
          <w:rFonts w:eastAsia="Arial" w:cs="Arial" w:ascii="Arial" w:hAnsi="Arial"/>
          <w:sz w:val="22"/>
          <w:szCs w:val="22"/>
        </w:rPr>
        <w:t>All 10 pathway genes have structural variants when NOT_IN_ANY_DB is included. 10 for 10. The CAG repeat motif contracts in CYP19A1 (estrogen production) and expands in AR (androgen reception). SRD5A2 is pathogenic on both copies. HSD11B2 is pathogenic per AncestryDNA but invisible to WGS. The off switch (HSD11B1) is half-modified. The calcium ignition (RYR2) is the most modified gene in the genome at 133 variants and 78 homozygous. The methylation switches (MTHFR/MTR) are set on both copies.</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Every single component of the system that makes 11-KT from adrenal precursors, upgrades it to the most potent form, receives it at the androgen receptor, and prevents its diversion to estrogen — is structurally modified. The system that could shut it down is only half-modified. The competing estrogen pathway is modified by structural repeat changes that mirror the androgen receptor changes in the opposite direction. Nothing contradicts the pattern. Nothing points in a different direction.</w:t>
      </w:r>
    </w:p>
    <w:p>
      <w:pPr>
        <w:pStyle w:val="Normal"/>
        <w:spacing w:before="0" w:after="120"/>
        <w:rPr>
          <w:rFonts w:eastAsia="Arial" w:cs="Arial"/>
          <w:i/>
          <w:i/>
          <w:iCs/>
          <w:color w:val="7B2D26"/>
          <w:sz w:val="22"/>
          <w:szCs w:val="22"/>
        </w:rPr>
      </w:pPr>
      <w:r>
        <w:rPr>
          <w:rFonts w:ascii="Arial" w:hAnsi="Arial"/>
        </w:rPr>
      </w:r>
    </w:p>
    <w:p>
      <w:pPr>
        <w:pStyle w:val="Heading1"/>
        <w:spacing w:before="360" w:after="200"/>
        <w:rPr>
          <w:rFonts w:ascii="Arial" w:hAnsi="Arial"/>
          <w:b/>
          <w:bCs/>
        </w:rPr>
      </w:pPr>
      <w:r>
        <w:rPr>
          <w:b/>
          <w:bCs/>
        </w:rPr>
        <w:t>Section 1B: 11-KT Pathway Addendum — Methylation System, Progesterone Chain, Cross-Species</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[9][10][12][23][24][25][54][55][56][57][58]</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1B.1 The MTHFR/MTR/CBS Methylation Cycle as a Connected System</w:t>
      </w:r>
    </w:p>
    <w:p>
      <w:pPr>
        <w:pStyle w:val="Normal"/>
        <w:spacing w:before="0" w:after="100"/>
        <w:rPr>
          <w:rFonts w:ascii="Arial" w:hAnsi="Arial" w:eastAsia="Arial" w:cs="Arial"/>
          <w:sz w:val="22"/>
          <w:szCs w:val="22"/>
        </w:rPr>
      </w:pPr>
      <w:r>
        <w:rPr>
          <w:rFonts w:eastAsia="Arial" w:cs="Arial" w:ascii="Arial" w:hAnsi="Arial"/>
          <w:sz w:val="22"/>
          <w:szCs w:val="22"/>
        </w:rPr>
        <w:t>These three genes are not independent findings. They are three components of one biochemical cycle — the folate/methionine/homocysteine cycle — and all three are modified simultaneously.</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How the cycle works:</w:t>
      </w:r>
    </w:p>
    <w:p>
      <w:pPr>
        <w:pStyle w:val="Normal"/>
        <w:spacing w:before="0" w:after="100"/>
        <w:rPr>
          <w:rFonts w:ascii="Arial" w:hAnsi="Arial" w:eastAsia="Arial" w:cs="Arial"/>
          <w:sz w:val="22"/>
          <w:szCs w:val="22"/>
        </w:rPr>
      </w:pPr>
      <w:r>
        <w:rPr>
          <w:rFonts w:eastAsia="Arial" w:cs="Arial" w:ascii="Arial" w:hAnsi="Arial"/>
          <w:sz w:val="22"/>
          <w:szCs w:val="22"/>
        </w:rPr>
        <w:t>MTHFR (5 homozygous [10]) converts 5,10-methylenetetrahydrofolate into 5-methyltetrahydrofolate — the form of folate the body can use for methylation. This is the rate-limiting step. It determines how much methyl-group fuel is available.</w:t>
      </w:r>
    </w:p>
    <w:p>
      <w:pPr>
        <w:pStyle w:val="Normal"/>
        <w:spacing w:before="0" w:after="100"/>
        <w:rPr>
          <w:rFonts w:ascii="Arial" w:hAnsi="Arial" w:eastAsia="Arial" w:cs="Arial"/>
          <w:sz w:val="22"/>
          <w:szCs w:val="22"/>
        </w:rPr>
      </w:pPr>
      <w:r>
        <w:rPr>
          <w:rFonts w:eastAsia="Arial" w:cs="Arial" w:ascii="Arial" w:hAnsi="Arial"/>
          <w:sz w:val="22"/>
          <w:szCs w:val="22"/>
        </w:rPr>
        <w:t>MTR (20 homozygous [10]) uses that 5-methyltetrahydrofolate to convert homocysteine back into methionine. Methionine then becomes S-adenosylmethionine (SAM) — the universal methyl donor. SAM is what actually attaches methyl groups to DNA, proteins, and other molecules. Every methylation reaction in the body depends on this step.</w:t>
      </w:r>
    </w:p>
    <w:p>
      <w:pPr>
        <w:pStyle w:val="Normal"/>
        <w:spacing w:before="0" w:after="100"/>
        <w:rPr>
          <w:rFonts w:ascii="Arial" w:hAnsi="Arial" w:eastAsia="Arial" w:cs="Arial"/>
          <w:sz w:val="22"/>
          <w:szCs w:val="22"/>
        </w:rPr>
      </w:pPr>
      <w:r>
        <w:rPr>
          <w:rFonts w:eastAsia="Arial" w:cs="Arial" w:ascii="Arial" w:hAnsi="Arial"/>
          <w:sz w:val="22"/>
          <w:szCs w:val="22"/>
        </w:rPr>
        <w:t>CBS (3 homozygous [10]) sits at the fork in the road. When homocysteine accumulates, CBS diverts it away from the methylation cycle into the transsulfuration pathway (making cysteine, then glutathione). CBS decides how much homocysteine gets RECYCLED (back to methionine via MTR) versus how much gets DIVERTED (to glutathione via CBS).</w:t>
      </w:r>
    </w:p>
    <w:p>
      <w:pPr>
        <w:pStyle w:val="Normal"/>
        <w:spacing w:before="0" w:after="100"/>
        <w:rPr>
          <w:rFonts w:ascii="Arial" w:hAnsi="Arial" w:eastAsia="Arial" w:cs="Arial"/>
          <w:sz w:val="22"/>
          <w:szCs w:val="22"/>
        </w:rPr>
      </w:pPr>
      <w:r>
        <w:rPr>
          <w:rFonts w:eastAsia="Arial" w:cs="Arial" w:ascii="Arial" w:hAnsi="Arial"/>
          <w:sz w:val="22"/>
          <w:szCs w:val="22"/>
        </w:rPr>
        <w:t>All three modified means: the rate-limiting step of methyl-group production (MTHFR, 5 hom), the recycling step that regenerates the methyl donor (MTR, 20 hom), and the fork that decides recycling vs diversion (CBS, 3 hom) are all running on different instructions.</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Why this matters for 11-KT: In teleost fish, methylation of the Hsd11b2 promoter is what upregulates 11-KT production in males. Methylation of the Cyp19a1 promoter is what suppresses estrogen production. The switch between male (11-KT dominant) and female (estrogen dominant) in fish is a METHYLATION event. MTHFR/MTR/CBS control the methylation system. They are the switches that control the switches.</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Three genes that work together as a cycle — one makes the fuel for gene switching, one recycles it, one decides where excess goes — are all modified. This cycle is what determines which genes are turned on and which are turned off across the entire genome. In fish that run on 11-KT, this same cycle is what decides whether the body makes 11-KT or estrogen. The gene-switching system itself is configured differently.</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MTRR (7 variants [10], all heterozygous): The fourth component. MTRR regenerates the vitamin B12 cofactor that MTR needs to function. Without active B12, MTR can't recycle homocysteine to methionine. 7 variants means the B12 regeneration system is also modified, though all heterozygous (one reference copy intact).</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1B.2 The Progesterone Chain</w:t>
      </w:r>
    </w:p>
    <w:p>
      <w:pPr>
        <w:pStyle w:val="Normal"/>
        <w:spacing w:before="0" w:after="100"/>
        <w:rPr>
          <w:rFonts w:ascii="Arial" w:hAnsi="Arial" w:eastAsia="Arial" w:cs="Arial"/>
          <w:sz w:val="22"/>
          <w:szCs w:val="22"/>
        </w:rPr>
      </w:pPr>
      <w:r>
        <w:rPr>
          <w:rFonts w:eastAsia="Arial" w:cs="Arial" w:ascii="Arial" w:hAnsi="Arial"/>
          <w:sz w:val="22"/>
          <w:szCs w:val="22"/>
        </w:rPr>
        <w:t>Clinical context: Doctor prescribed progesterone following menopausal blood tests. The genomic data creates a specific chain of events when progesterone enters this system:</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Step 1: Progesterone enters the body (oral, topical, or injection).</w:t>
      </w:r>
    </w:p>
    <w:p>
      <w:pPr>
        <w:pStyle w:val="Normal"/>
        <w:spacing w:before="0" w:after="100"/>
        <w:rPr>
          <w:rFonts w:ascii="Arial" w:hAnsi="Arial" w:eastAsia="Arial" w:cs="Arial"/>
          <w:sz w:val="22"/>
          <w:szCs w:val="22"/>
        </w:rPr>
      </w:pPr>
      <w:r>
        <w:rPr>
          <w:rFonts w:eastAsia="Arial" w:cs="Arial" w:ascii="Arial" w:hAnsi="Arial"/>
          <w:sz w:val="22"/>
          <w:szCs w:val="22"/>
        </w:rPr>
        <w:t>Step 2: CYP2D6 hydroxylates progesterone — 6β-, 16α-, and 21-hydroxylation [54]. This is how the body breaks down and clears progesterone. CYP2D6 has 24 variants, 14 homozygous [16], likely poor metabolizer status. Poor metabolizer = CYP2D6 works slowly = progesterone is NOT cleared efficiently = progesterone stays active LONGER at HIGHER levels per dose.</w:t>
      </w:r>
    </w:p>
    <w:p>
      <w:pPr>
        <w:pStyle w:val="Normal"/>
        <w:spacing w:before="0" w:after="100"/>
        <w:rPr>
          <w:rFonts w:ascii="Arial" w:hAnsi="Arial" w:eastAsia="Arial" w:cs="Arial"/>
          <w:sz w:val="22"/>
          <w:szCs w:val="22"/>
        </w:rPr>
      </w:pPr>
      <w:r>
        <w:rPr>
          <w:rFonts w:eastAsia="Arial" w:cs="Arial" w:ascii="Arial" w:hAnsi="Arial"/>
          <w:sz w:val="22"/>
          <w:szCs w:val="22"/>
        </w:rPr>
        <w:t>Step 3: Progesterone suppresses estrogen production through multiple mechanisms: it downregulates GnRH pulsatility (reducing FSH/LH), it can directly inhibit aromatase (CYP19A1) activity, and it competes for some of the same enzymatic pathways. In this genome, CYP19A1 already has 14 structural variants including CAG repeat contraction [12]. Progesterone would be suppressing an already-modified aromatase.</w:t>
      </w:r>
    </w:p>
    <w:p>
      <w:pPr>
        <w:pStyle w:val="Normal"/>
        <w:spacing w:before="0" w:after="100"/>
        <w:rPr>
          <w:rFonts w:ascii="Arial" w:hAnsi="Arial" w:eastAsia="Arial" w:cs="Arial"/>
          <w:sz w:val="22"/>
          <w:szCs w:val="22"/>
        </w:rPr>
      </w:pPr>
      <w:r>
        <w:rPr>
          <w:rFonts w:eastAsia="Arial" w:cs="Arial" w:ascii="Arial" w:hAnsi="Arial"/>
          <w:sz w:val="22"/>
          <w:szCs w:val="22"/>
        </w:rPr>
        <w:t>Step 4: As estrogen production drops, the 11-KT pathway becomes the dominant hormonal signal. The 11-KT pathway is fully modified (all 10 genes). The estrogen receiver (ESR1) has 16 homozygous changes. The androgen receiver (AR) has structural repeat expansions. With estrogen suppressed and the 11-KT pathway intact, adrenal 11-KT is the last system standing.</w:t>
      </w:r>
    </w:p>
    <w:p>
      <w:pPr>
        <w:pStyle w:val="Normal"/>
        <w:spacing w:before="0" w:after="100"/>
        <w:rPr>
          <w:rFonts w:ascii="Arial" w:hAnsi="Arial" w:eastAsia="Arial" w:cs="Arial"/>
          <w:sz w:val="22"/>
          <w:szCs w:val="22"/>
        </w:rPr>
      </w:pPr>
      <w:r>
        <w:rPr>
          <w:rFonts w:eastAsia="Arial" w:cs="Arial" w:ascii="Arial" w:hAnsi="Arial"/>
          <w:sz w:val="22"/>
          <w:szCs w:val="22"/>
        </w:rPr>
        <w:t>Step 5: Because CYP2D6 is a poor metabolizer, the progesterone-mediated estrogen suppression lasts longer per dose than in a normal metabolizer. Lower doses achieve the same effect. The suppression window is extended.</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Progesterone enters the body. The enzyme that breaks it down is slow (CYP2D6 poor metabolizer), so it stays active longer. While it's active, it suppresses estrogen production. The enzyme that makes estrogen (CYP19A1) is already structurally modified with repeat changes. As estrogen drops, the only androgen pathway that's active — the 11-KT pathway from the adrenal glands — becomes the dominant signal. The receiver for that signal (AR) has structural expansions. The system is configured to run on 11-KT when the estrogen competition is removed. Progesterone, metabolized slowly, removes that competition for a longer window per dose.</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1B.3 Cross-Species 11-KT Pathway Match</w:t>
      </w:r>
    </w:p>
    <w:p>
      <w:pPr>
        <w:pStyle w:val="Normal"/>
        <w:spacing w:before="0" w:after="100"/>
        <w:rPr>
          <w:rFonts w:ascii="Arial" w:hAnsi="Arial" w:eastAsia="Arial" w:cs="Arial"/>
          <w:sz w:val="22"/>
          <w:szCs w:val="22"/>
        </w:rPr>
      </w:pPr>
      <w:r>
        <w:rPr>
          <w:rFonts w:eastAsia="Arial" w:cs="Arial" w:ascii="Arial" w:hAnsi="Arial"/>
          <w:sz w:val="22"/>
          <w:szCs w:val="22"/>
        </w:rPr>
        <w:t>Species where 11-KT is a significant androgen:</w:t>
      </w:r>
    </w:p>
    <w:tbl>
      <w:tblPr>
        <w:tblW w:w="9400" w:type="dxa"/>
        <w:jc w:val="left"/>
        <w:tblInd w:w="0" w:type="dxa"/>
        <w:tblLayout w:type="fixed"/>
        <w:tblCellMar>
          <w:top w:w="60" w:type="dxa"/>
          <w:left w:w="100" w:type="dxa"/>
          <w:bottom w:w="60" w:type="dxa"/>
          <w:right w:w="100" w:type="dxa"/>
        </w:tblCellMar>
      </w:tblPr>
      <w:tblGrid>
        <w:gridCol w:w="2500"/>
        <w:gridCol w:w="6900"/>
      </w:tblGrid>
      <w:tr>
        <w:trPr/>
        <w:tc>
          <w:tcPr>
            <w:tcW w:w="25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Species</w:t>
            </w:r>
          </w:p>
        </w:tc>
        <w:tc>
          <w:tcPr>
            <w:tcW w:w="69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11-KT role</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Teleost fish (salmon, tilapia, zebrafish, eel, stickleback, medaka, midshipman, flounder)</w:t>
            </w:r>
          </w:p>
        </w:tc>
        <w:tc>
          <w:tcPr>
            <w:tcW w:w="6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Primary androgen. Drives spermatogenesis, male characteristics, coloration, territorial behavior, nest building [55][56][57].</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Sturgeon (early-branching actinopterygian)</w:t>
            </w:r>
          </w:p>
        </w:tc>
        <w:tc>
          <w:tcPr>
            <w:tcW w:w="6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11-KT confirmed in plasma.</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Mudpuppy/Necturus (urodele amphibian)</w:t>
            </w:r>
          </w:p>
        </w:tc>
        <w:tc>
          <w:tcPr>
            <w:tcW w:w="6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11-KT confirmed in plasma.</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Pig (mammal)</w:t>
            </w:r>
          </w:p>
        </w:tc>
        <w:tc>
          <w:tcPr>
            <w:tcW w:w="6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11-KT &gt;10-fold higher than testosterone in females. Produced in adrenal glands and testes. Regulates eNOS in blood vessels [58].</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Guinea pig (mammal)</w:t>
            </w:r>
          </w:p>
        </w:tc>
        <w:tc>
          <w:tcPr>
            <w:tcW w:w="6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11-KT abundant in plasma.</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Non-human primates (mammal)</w:t>
            </w:r>
          </w:p>
        </w:tc>
        <w:tc>
          <w:tcPr>
            <w:tcW w:w="6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11-KT abundant.</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Humans — prepubertal children</w:t>
            </w:r>
          </w:p>
        </w:tc>
        <w:tc>
          <w:tcPr>
            <w:tcW w:w="6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11-KT is the dominant bioactive androgen before puberty [23][24]. Entirely adrenal. Entirely gonad-independent.</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Humans — adult adrenal</w:t>
            </w:r>
          </w:p>
        </w:tc>
        <w:tc>
          <w:tcPr>
            <w:tcW w:w="6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11-KT recognized as the principal androgen made by the human adrenal gland [25].</w:t>
            </w:r>
          </w:p>
        </w:tc>
      </w:tr>
    </w:tbl>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What each matched gene does in the 11-KT animal (using teleost fish as the model):</w:t>
      </w:r>
    </w:p>
    <w:tbl>
      <w:tblPr>
        <w:tblW w:w="9400" w:type="dxa"/>
        <w:jc w:val="left"/>
        <w:tblInd w:w="0" w:type="dxa"/>
        <w:tblLayout w:type="fixed"/>
        <w:tblCellMar>
          <w:top w:w="60" w:type="dxa"/>
          <w:left w:w="100" w:type="dxa"/>
          <w:bottom w:w="60" w:type="dxa"/>
          <w:right w:w="100" w:type="dxa"/>
        </w:tblCellMar>
      </w:tblPr>
      <w:tblGrid>
        <w:gridCol w:w="1200"/>
        <w:gridCol w:w="4000"/>
        <w:gridCol w:w="4200"/>
      </w:tblGrid>
      <w:tr>
        <w:trPr/>
        <w:tc>
          <w:tcPr>
            <w:tcW w:w="12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Gene</w:t>
            </w:r>
          </w:p>
        </w:tc>
        <w:tc>
          <w:tcPr>
            <w:tcW w:w="40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What it does in the fish</w:t>
            </w:r>
          </w:p>
        </w:tc>
        <w:tc>
          <w:tcPr>
            <w:tcW w:w="42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Match in this data</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HSD11B2</w:t>
            </w:r>
          </w:p>
        </w:tc>
        <w:tc>
          <w:tcPr>
            <w:tcW w:w="4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Makes 11-KT. Without it, no 11-KT exists in the fish. THE factory.</w:t>
            </w:r>
          </w:p>
        </w:tc>
        <w:tc>
          <w:tcPr>
            <w:tcW w:w="4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Pathogenic structural deletion [4]. #1 AncestryDNA hit.</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CYP11B1</w:t>
            </w:r>
          </w:p>
        </w:tc>
        <w:tc>
          <w:tcPr>
            <w:tcW w:w="4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Commits androstenedione to the 11-oxy path. The gatekeeper.</w:t>
            </w:r>
          </w:p>
        </w:tc>
        <w:tc>
          <w:tcPr>
            <w:tcW w:w="4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37 variants [9][10]. 37x expansion from Ancestry.</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SRD5A2</w:t>
            </w:r>
          </w:p>
        </w:tc>
        <w:tc>
          <w:tcPr>
            <w:tcW w:w="4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Upgrades 11-KT to 11-KDHT (most potent form).</w:t>
            </w:r>
          </w:p>
        </w:tc>
        <w:tc>
          <w:tcPr>
            <w:tcW w:w="4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5 variants, ALL homozygous, PATHOGENIC [10].</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RYR2</w:t>
            </w:r>
          </w:p>
        </w:tc>
        <w:tc>
          <w:tcPr>
            <w:tcW w:w="4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Calcium trigger that starts steroid production via StAR protein.</w:t>
            </w:r>
          </w:p>
        </w:tc>
        <w:tc>
          <w:tcPr>
            <w:tcW w:w="4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133 variants, 78 homozygous [9][10]. Most modified gene.</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MTHFR/MTR</w:t>
            </w:r>
          </w:p>
        </w:tc>
        <w:tc>
          <w:tcPr>
            <w:tcW w:w="4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Methylation determines whether the fish makes 11-KT (male) or estrogen (female).</w:t>
            </w:r>
          </w:p>
        </w:tc>
        <w:tc>
          <w:tcPr>
            <w:tcW w:w="4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5+20 homozygous [10]. The selector switches.</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PCSK9</w:t>
            </w:r>
          </w:p>
        </w:tc>
        <w:tc>
          <w:tcPr>
            <w:tcW w:w="4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Cholesterol supply. Raw material for steroids.</w:t>
            </w:r>
          </w:p>
        </w:tc>
        <w:tc>
          <w:tcPr>
            <w:tcW w:w="4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25 variants, 16 homozygous [9][10].</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CYP19A1</w:t>
            </w:r>
          </w:p>
        </w:tc>
        <w:tc>
          <w:tcPr>
            <w:tcW w:w="4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Aromatase. In fish, SUPPRESSING aromatase is what allows 11-KT to dominate.</w:t>
            </w:r>
          </w:p>
        </w:tc>
        <w:tc>
          <w:tcPr>
            <w:tcW w:w="4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14 structural variants [12] including CAG contraction.</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AR</w:t>
            </w:r>
          </w:p>
        </w:tc>
        <w:tc>
          <w:tcPr>
            <w:tcW w:w="4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The receiver. In stickleback, a receptor preferentially activated by 11-KT exists.</w:t>
            </w:r>
          </w:p>
        </w:tc>
        <w:tc>
          <w:tcPr>
            <w:tcW w:w="4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5-17 variants, CAG repeat expansions [9][12].</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NOS3</w:t>
            </w:r>
          </w:p>
        </w:tc>
        <w:tc>
          <w:tcPr>
            <w:tcW w:w="4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In pigs, 11-KT directly regulates eNOS in blood vessel walls.</w:t>
            </w:r>
          </w:p>
        </w:tc>
        <w:tc>
          <w:tcPr>
            <w:tcW w:w="4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11 variants, 7 homozygous [9][10].</w:t>
            </w:r>
          </w:p>
        </w:tc>
      </w:tr>
    </w:tbl>
    <w:p>
      <w:pPr>
        <w:pStyle w:val="Normal"/>
        <w:spacing w:before="0" w:after="60"/>
        <w:rPr>
          <w:rFonts w:ascii="Arial" w:hAnsi="Arial"/>
        </w:rPr>
      </w:pPr>
      <w:r>
        <w:rPr>
          <w:rFonts w:eastAsia="Arial" w:cs="Arial" w:ascii="Arial" w:hAnsi="Arial"/>
          <w:b/>
          <w:bCs/>
          <w:i/>
          <w:iCs/>
          <w:color w:val="7B2D26"/>
          <w:sz w:val="22"/>
          <w:szCs w:val="22"/>
        </w:rPr>
        <w:t xml:space="preserve">Match rate: </w:t>
      </w:r>
      <w:r>
        <w:rPr>
          <w:rFonts w:eastAsia="Arial" w:cs="Arial" w:ascii="Arial" w:hAnsi="Arial"/>
          <w:i/>
          <w:iCs/>
          <w:color w:val="7B2D26"/>
          <w:sz w:val="22"/>
          <w:szCs w:val="22"/>
        </w:rPr>
        <w:t>10 of 10 pathway genes structurally modified (including CYP19A1 in NOT_IN_ANY_DB [12]). 10 for 10. 100%.</w:t>
      </w:r>
      <w:r>
        <w:br w:type="page"/>
      </w:r>
    </w:p>
    <w:p>
      <w:pPr>
        <w:pStyle w:val="Heading1"/>
        <w:spacing w:before="360" w:after="200"/>
        <w:rPr>
          <w:rFonts w:ascii="Arial" w:hAnsi="Arial"/>
          <w:b/>
          <w:bCs/>
        </w:rPr>
      </w:pPr>
      <w:r>
        <w:rPr>
          <w:b/>
          <w:bCs/>
        </w:rPr>
        <w:t>Section 2: Chimerism — Sex Chromosomes, Prepubescent 11-KT Hypothesis, Heterochromia</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[1][2][9][10][12][23][24][38][39][44][45]</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2.1 What Chimerism Is (Plain English)</w:t>
      </w:r>
    </w:p>
    <w:p>
      <w:pPr>
        <w:pStyle w:val="Normal"/>
        <w:spacing w:before="0" w:after="100"/>
        <w:rPr>
          <w:rFonts w:ascii="Arial" w:hAnsi="Arial" w:eastAsia="Arial" w:cs="Arial"/>
          <w:sz w:val="22"/>
          <w:szCs w:val="22"/>
        </w:rPr>
      </w:pPr>
      <w:r>
        <w:rPr>
          <w:rFonts w:eastAsia="Arial" w:cs="Arial" w:ascii="Arial" w:hAnsi="Arial"/>
          <w:sz w:val="22"/>
          <w:szCs w:val="22"/>
        </w:rPr>
        <w:t>Chimerism means one body contains cells from two different genetic individuals. Not mutation — not one genome with changes — but TWO separate genomes living in the same body. This happens naturally through: (1) two fertilized eggs fusing in early embryonic development (tetragametic chimerism), (2) twin-to-twin cell transfer in the womb (microchimerism), (3) one twin absorbing the other before birth (vanishing twin/absorptive chimerism). The clinical history includes a living identical twin brother [1].</w:t>
      </w:r>
    </w:p>
    <w:p>
      <w:pPr>
        <w:pStyle w:val="Normal"/>
        <w:spacing w:before="0" w:after="100"/>
        <w:rPr>
          <w:rFonts w:ascii="Arial" w:hAnsi="Arial" w:eastAsia="Arial" w:cs="Arial"/>
          <w:sz w:val="22"/>
          <w:szCs w:val="22"/>
        </w:rPr>
      </w:pPr>
      <w:r>
        <w:rPr>
          <w:rFonts w:eastAsia="Arial" w:cs="Arial" w:ascii="Arial" w:hAnsi="Arial"/>
          <w:sz w:val="22"/>
          <w:szCs w:val="22"/>
        </w:rPr>
        <w:t>In a chimeric individual, different tissues can have different genotypes. Blood might be one genome, skin another. Left eye might be one genome, right eye another. This is why chimerism can produce heterochromia — and why the heterochromia finding connects directly to the pigmentation data.</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2.2 AncestryDNA Indicators [1]</w:t>
      </w:r>
    </w:p>
    <w:p>
      <w:pPr>
        <w:pStyle w:val="Normal"/>
        <w:spacing w:before="0" w:after="100"/>
        <w:rPr>
          <w:rFonts w:ascii="Arial" w:hAnsi="Arial" w:eastAsia="Arial" w:cs="Arial"/>
          <w:sz w:val="22"/>
          <w:szCs w:val="22"/>
        </w:rPr>
      </w:pPr>
      <w:r>
        <w:rPr>
          <w:rFonts w:eastAsia="Arial" w:cs="Arial" w:ascii="Arial" w:hAnsi="Arial"/>
          <w:sz w:val="22"/>
          <w:szCs w:val="22"/>
        </w:rPr>
        <w:t>The AncestryDNA microarray detected 8 calls that are biologically impossible in a single-genome XY individual:</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3 Heterozygous Calls on X (Non-PAR) [1]</w:t>
      </w:r>
    </w:p>
    <w:p>
      <w:pPr>
        <w:pStyle w:val="Normal"/>
        <w:spacing w:before="0" w:after="100"/>
        <w:rPr>
          <w:rFonts w:ascii="Arial" w:hAnsi="Arial" w:eastAsia="Arial" w:cs="Arial"/>
          <w:sz w:val="22"/>
          <w:szCs w:val="22"/>
        </w:rPr>
      </w:pPr>
      <w:r>
        <w:rPr>
          <w:rFonts w:eastAsia="Arial" w:cs="Arial" w:ascii="Arial" w:hAnsi="Arial"/>
          <w:sz w:val="22"/>
          <w:szCs w:val="22"/>
        </w:rPr>
        <w:t>An XY individual has ONE X chromosome. One copy cannot produce two different alleles at the same position.</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rs2239409   ChrX:9,626,308     T/C  Xp22.1 — isolated  [1]</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rs2534116   ChrX:88,685,058    T/C  Xq21.33  [1]</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rs2535142   ChrX:88,928,128    A/G  Xq21.33 — 243,070 bp from rs2534116  [1]</w:t>
      </w:r>
    </w:p>
    <w:p>
      <w:pPr>
        <w:pStyle w:val="Normal"/>
        <w:spacing w:before="0" w:after="100"/>
        <w:rPr>
          <w:rFonts w:ascii="Arial" w:hAnsi="Arial" w:eastAsia="Arial" w:cs="Arial"/>
          <w:sz w:val="22"/>
          <w:szCs w:val="22"/>
        </w:rPr>
      </w:pPr>
      <w:r>
        <w:rPr>
          <w:rFonts w:eastAsia="Arial" w:cs="Arial" w:ascii="Arial" w:hAnsi="Arial"/>
          <w:sz w:val="22"/>
          <w:szCs w:val="22"/>
        </w:rPr>
        <w:t>rs2534116 and rs2535142: two het calls 243kb apart in the same Xq21.33 band. Spatially coherent — two independent probes in the same region both returning impossible results argues against random probe failure [1].</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5 Heterozygous Calls on Y (Non-PAR) [1]</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rs2524466   ChrY:4,934,737     T/G  MSY Yp11.31  [1]</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rs2571653   ChrY:4,935,714     C/A  MSY Yp11.31 — 977bp from rs2524466  [1]</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rs2578787   ChrY:5,411,068     G/A  MSY Yp11.2  [1]</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rs13305177  ChrY:15,226,548    A/G  MSY Yq11.22  [1]</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rs9786514   ChrY:24,370,605    A/G  MSY Yq11.23 / AZFc  [1]</w:t>
      </w:r>
    </w:p>
    <w:p>
      <w:pPr>
        <w:pStyle w:val="Normal"/>
        <w:spacing w:before="0" w:after="100"/>
        <w:rPr>
          <w:rFonts w:ascii="Arial" w:hAnsi="Arial" w:eastAsia="Arial" w:cs="Arial"/>
          <w:sz w:val="22"/>
          <w:szCs w:val="22"/>
        </w:rPr>
      </w:pPr>
      <w:r>
        <w:rPr>
          <w:rFonts w:eastAsia="Arial" w:cs="Arial" w:ascii="Arial" w:hAnsi="Arial"/>
          <w:sz w:val="22"/>
          <w:szCs w:val="22"/>
        </w:rPr>
        <w:t>Three cluster within 476kb in Yp11.31 (male-specific Y). rs9786514 falls near AZFc — the spermatogenesis gene cluster [1].</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2.3 WGS Expansion — 36x to 173x More Data</w:t>
      </w:r>
    </w:p>
    <w:tbl>
      <w:tblPr>
        <w:tblW w:w="9500" w:type="dxa"/>
        <w:jc w:val="left"/>
        <w:tblInd w:w="0" w:type="dxa"/>
        <w:tblLayout w:type="fixed"/>
        <w:tblCellMar>
          <w:top w:w="60" w:type="dxa"/>
          <w:left w:w="100" w:type="dxa"/>
          <w:bottom w:w="60" w:type="dxa"/>
          <w:right w:w="100" w:type="dxa"/>
        </w:tblCellMar>
      </w:tblPr>
      <w:tblGrid>
        <w:gridCol w:w="2500"/>
        <w:gridCol w:w="2000"/>
        <w:gridCol w:w="1999"/>
        <w:gridCol w:w="3001"/>
      </w:tblGrid>
      <w:tr>
        <w:trPr/>
        <w:tc>
          <w:tcPr>
            <w:tcW w:w="25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rPr>
            </w:pPr>
            <w:r>
              <w:rPr>
                <w:rFonts w:ascii="Arial" w:hAnsi="Arial"/>
              </w:rPr>
            </w:r>
          </w:p>
        </w:tc>
        <w:tc>
          <w:tcPr>
            <w:tcW w:w="20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AncestryDNA</w:t>
            </w:r>
          </w:p>
        </w:tc>
        <w:tc>
          <w:tcPr>
            <w:tcW w:w="19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WGS GRCh37</w:t>
            </w:r>
          </w:p>
        </w:tc>
        <w:tc>
          <w:tcPr>
            <w:tcW w:w="30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Expansion</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X scored variants</w:t>
            </w:r>
          </w:p>
        </w:tc>
        <w:tc>
          <w:tcPr>
            <w:tcW w:w="2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3 het calls</w:t>
            </w:r>
          </w:p>
        </w:tc>
        <w:tc>
          <w:tcPr>
            <w:tcW w:w="19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221 variants [9][10]</w:t>
            </w:r>
          </w:p>
        </w:tc>
        <w:tc>
          <w:tcPr>
            <w:tcW w:w="3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74x</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X NOT_IN_ANY_DB</w:t>
            </w:r>
          </w:p>
        </w:tc>
        <w:tc>
          <w:tcPr>
            <w:tcW w:w="2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t>
            </w:r>
          </w:p>
        </w:tc>
        <w:tc>
          <w:tcPr>
            <w:tcW w:w="19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299 variants [12]</w:t>
            </w:r>
          </w:p>
        </w:tc>
        <w:tc>
          <w:tcPr>
            <w:tcW w:w="3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X TOTAL</w:t>
            </w:r>
          </w:p>
        </w:tc>
        <w:tc>
          <w:tcPr>
            <w:tcW w:w="2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3</w:t>
            </w:r>
          </w:p>
        </w:tc>
        <w:tc>
          <w:tcPr>
            <w:tcW w:w="19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520</w:t>
            </w:r>
          </w:p>
        </w:tc>
        <w:tc>
          <w:tcPr>
            <w:tcW w:w="3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173x</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Y scored variants</w:t>
            </w:r>
          </w:p>
        </w:tc>
        <w:tc>
          <w:tcPr>
            <w:tcW w:w="2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5 het calls</w:t>
            </w:r>
          </w:p>
        </w:tc>
        <w:tc>
          <w:tcPr>
            <w:tcW w:w="19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 (FAM197Y7 stop_gained) [9]</w:t>
            </w:r>
          </w:p>
        </w:tc>
        <w:tc>
          <w:tcPr>
            <w:tcW w:w="3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Y NOT_IN_ANY_DB</w:t>
            </w:r>
          </w:p>
        </w:tc>
        <w:tc>
          <w:tcPr>
            <w:tcW w:w="2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t>
            </w:r>
          </w:p>
        </w:tc>
        <w:tc>
          <w:tcPr>
            <w:tcW w:w="19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178 variants [12]</w:t>
            </w:r>
          </w:p>
        </w:tc>
        <w:tc>
          <w:tcPr>
            <w:tcW w:w="3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Y TOTAL</w:t>
            </w:r>
          </w:p>
        </w:tc>
        <w:tc>
          <w:tcPr>
            <w:tcW w:w="2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5</w:t>
            </w:r>
          </w:p>
        </w:tc>
        <w:tc>
          <w:tcPr>
            <w:tcW w:w="19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179</w:t>
            </w:r>
          </w:p>
        </w:tc>
        <w:tc>
          <w:tcPr>
            <w:tcW w:w="3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36x</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COMBINED SEX CHROMOSOMES</w:t>
            </w:r>
          </w:p>
        </w:tc>
        <w:tc>
          <w:tcPr>
            <w:tcW w:w="2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8</w:t>
            </w:r>
          </w:p>
        </w:tc>
        <w:tc>
          <w:tcPr>
            <w:tcW w:w="19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699</w:t>
            </w:r>
          </w:p>
        </w:tc>
        <w:tc>
          <w:tcPr>
            <w:tcW w:w="3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87x</w:t>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2.4 X Chromosome — 120+ Genes</w:t>
      </w:r>
    </w:p>
    <w:p>
      <w:pPr>
        <w:pStyle w:val="Normal"/>
        <w:spacing w:before="0" w:after="100"/>
        <w:rPr>
          <w:rFonts w:ascii="Arial" w:hAnsi="Arial" w:eastAsia="Arial" w:cs="Arial"/>
          <w:sz w:val="22"/>
          <w:szCs w:val="22"/>
        </w:rPr>
      </w:pPr>
      <w:r>
        <w:rPr>
          <w:rFonts w:eastAsia="Arial" w:cs="Arial" w:ascii="Arial" w:hAnsi="Arial"/>
          <w:sz w:val="22"/>
          <w:szCs w:val="22"/>
        </w:rPr>
        <w:t>The X chromosome carries 520 variants across 120+ genes [9][10][12]. The WGS doesn't just confirm the 3 AncestryDNA het calls — it reveals an entire chromosome's worth of variation. Key X-linked genes with variants:</w:t>
      </w:r>
    </w:p>
    <w:tbl>
      <w:tblPr>
        <w:tblW w:w="7400" w:type="dxa"/>
        <w:jc w:val="left"/>
        <w:tblInd w:w="0" w:type="dxa"/>
        <w:tblLayout w:type="fixed"/>
        <w:tblCellMar>
          <w:top w:w="60" w:type="dxa"/>
          <w:left w:w="100" w:type="dxa"/>
          <w:bottom w:w="60" w:type="dxa"/>
          <w:right w:w="100" w:type="dxa"/>
        </w:tblCellMar>
      </w:tblPr>
      <w:tblGrid>
        <w:gridCol w:w="1200"/>
        <w:gridCol w:w="800"/>
        <w:gridCol w:w="5400"/>
      </w:tblGrid>
      <w:tr>
        <w:trPr/>
        <w:tc>
          <w:tcPr>
            <w:tcW w:w="12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Gene</w:t>
            </w:r>
          </w:p>
        </w:tc>
        <w:tc>
          <w:tcPr>
            <w:tcW w:w="8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Variants</w:t>
            </w:r>
          </w:p>
        </w:tc>
        <w:tc>
          <w:tcPr>
            <w:tcW w:w="54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Function</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AR</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5 [9] + 4 [12]</w:t>
            </w:r>
          </w:p>
        </w:tc>
        <w:tc>
          <w:tcPr>
            <w:tcW w:w="5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Androgen receptor. CAG repeat expansions. Covered in Section 1.</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MAGEC1</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17</w:t>
            </w:r>
          </w:p>
        </w:tc>
        <w:tc>
          <w:tcPr>
            <w:tcW w:w="5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MAGE family cancer-testis antigen. Normally expressed only in testes and tumors. 17 variants on X.</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ARSD</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13</w:t>
            </w:r>
          </w:p>
        </w:tc>
        <w:tc>
          <w:tcPr>
            <w:tcW w:w="5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Arylsulfatase D. Steroid sulfatase pathway — processes sulfated steroids.</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VCX/VCX2/VCX3B</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19 combined</w:t>
            </w:r>
          </w:p>
        </w:tc>
        <w:tc>
          <w:tcPr>
            <w:tcW w:w="5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Variable charge proteins. Expressed in male germ cells. X-linked gene family.</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DMD</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w:t>
            </w:r>
          </w:p>
        </w:tc>
        <w:tc>
          <w:tcPr>
            <w:tcW w:w="5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Dystrophin. Muscle structural protein. X-linked.</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ATRX</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w:t>
            </w:r>
          </w:p>
        </w:tc>
        <w:tc>
          <w:tcPr>
            <w:tcW w:w="5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Alpha-thalassemia/mental retardation X-linked. Chromatin remodeling.</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OPN1LW</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w:t>
            </w:r>
          </w:p>
        </w:tc>
        <w:tc>
          <w:tcPr>
            <w:tcW w:w="5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Long-wave opsin. Red color vision. AncestryDNA placed this on Chr7 [1] — coordinate anomaly.</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SHROOM4</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w:t>
            </w:r>
          </w:p>
        </w:tc>
        <w:tc>
          <w:tcPr>
            <w:tcW w:w="5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Neural tube closure. Cytoskeletal organization.</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ATP7A</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w:t>
            </w:r>
          </w:p>
        </w:tc>
        <w:tc>
          <w:tcPr>
            <w:tcW w:w="5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Copper transport. Menkes disease gene. Affects connective tissue, nervous system.</w:t>
            </w:r>
          </w:p>
        </w:tc>
      </w:tr>
    </w:tbl>
    <w:p>
      <w:pPr>
        <w:pStyle w:val="Normal"/>
        <w:spacing w:before="0" w:after="100"/>
        <w:rPr>
          <w:rFonts w:ascii="Arial" w:hAnsi="Arial" w:eastAsia="Arial" w:cs="Arial"/>
          <w:sz w:val="22"/>
          <w:szCs w:val="22"/>
        </w:rPr>
      </w:pPr>
      <w:r>
        <w:rPr>
          <w:rFonts w:eastAsia="Arial" w:cs="Arial" w:ascii="Arial" w:hAnsi="Arial"/>
          <w:sz w:val="22"/>
          <w:szCs w:val="22"/>
        </w:rPr>
        <w:t>MAGEC1 at 17 variants is notable — MAGE proteins are cancer-testis antigens, normally silenced in all adult tissues except testes and placenta. Finding them expressed/variant on X in an individual post-orchiectomy raises the question of what tissue population is carrying these variants.</w:t>
      </w:r>
    </w:p>
    <w:p>
      <w:pPr>
        <w:pStyle w:val="Normal"/>
        <w:spacing w:before="0" w:after="100"/>
        <w:rPr>
          <w:rFonts w:ascii="Arial" w:hAnsi="Arial"/>
        </w:rPr>
      </w:pPr>
      <w:r>
        <w:rPr>
          <w:rFonts w:ascii="Arial" w:hAnsi="Arial"/>
        </w:rPr>
      </w:r>
    </w:p>
    <w:p>
      <w:pPr>
        <w:pStyle w:val="Heading2"/>
        <w:spacing w:before="240" w:after="150"/>
        <w:rPr>
          <w:rFonts w:ascii="Arial" w:hAnsi="Arial"/>
        </w:rPr>
      </w:pPr>
      <w:r>
        <w:rPr>
          <w:b/>
          <w:bCs/>
        </w:rPr>
        <w:t>2.5 Y Chromosome — Full Analysis</w:t>
      </w:r>
    </w:p>
    <w:p>
      <w:pPr>
        <w:pStyle w:val="Normal"/>
        <w:spacing w:before="0" w:after="100"/>
        <w:rPr>
          <w:rFonts w:ascii="Arial" w:hAnsi="Arial" w:eastAsia="Arial" w:cs="Arial"/>
          <w:sz w:val="22"/>
          <w:szCs w:val="22"/>
        </w:rPr>
      </w:pPr>
      <w:r>
        <w:rPr>
          <w:rFonts w:eastAsia="Arial" w:cs="Arial" w:ascii="Arial" w:hAnsi="Arial"/>
          <w:sz w:val="22"/>
          <w:szCs w:val="22"/>
        </w:rPr>
        <w:t>179 total variants. FAM197Y7 stop_gained (gene destroyed) [9]. 178 uncharacterized structural variants [12]. Dense clusters with tandem repeat patterns matching the autosomal NOT_IN_ANY_DB character. See Section 15 (Y Chromosome) for full data lines and cluster mapping.</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2.6 The Chimeric Prepubescent 11-KT Hypothesis [1][23][24]</w:t>
      </w:r>
    </w:p>
    <w:p>
      <w:pPr>
        <w:pStyle w:val="Normal"/>
        <w:spacing w:before="0" w:after="100"/>
        <w:rPr>
          <w:rFonts w:ascii="Arial" w:hAnsi="Arial" w:eastAsia="Arial" w:cs="Arial"/>
          <w:sz w:val="22"/>
          <w:szCs w:val="22"/>
        </w:rPr>
      </w:pPr>
      <w:r>
        <w:rPr>
          <w:rFonts w:eastAsia="Arial" w:cs="Arial" w:ascii="Arial" w:hAnsi="Arial"/>
          <w:sz w:val="22"/>
          <w:szCs w:val="22"/>
        </w:rPr>
        <w:t>The AncestryDNA report [1] developed this hypothesis in detail:</w:t>
      </w:r>
    </w:p>
    <w:p>
      <w:pPr>
        <w:pStyle w:val="Normal"/>
        <w:spacing w:before="0" w:after="100"/>
        <w:rPr>
          <w:rFonts w:ascii="Arial" w:hAnsi="Arial" w:eastAsia="Arial" w:cs="Arial"/>
          <w:sz w:val="22"/>
          <w:szCs w:val="22"/>
        </w:rPr>
      </w:pPr>
      <w:r>
        <w:rPr>
          <w:rFonts w:eastAsia="Arial" w:cs="Arial" w:ascii="Arial" w:hAnsi="Arial"/>
          <w:sz w:val="22"/>
          <w:szCs w:val="22"/>
        </w:rPr>
        <w:t>Step 1: The chimerism indicators (het calls on hemizygous sex chromosomes) suggest two cell populations in one body.</w:t>
      </w:r>
    </w:p>
    <w:p>
      <w:pPr>
        <w:pStyle w:val="Normal"/>
        <w:spacing w:before="0" w:after="100"/>
        <w:rPr>
          <w:rFonts w:ascii="Arial" w:hAnsi="Arial" w:eastAsia="Arial" w:cs="Arial"/>
          <w:sz w:val="22"/>
          <w:szCs w:val="22"/>
        </w:rPr>
      </w:pPr>
      <w:r>
        <w:rPr>
          <w:rFonts w:eastAsia="Arial" w:cs="Arial" w:ascii="Arial" w:hAnsi="Arial"/>
          <w:sz w:val="22"/>
          <w:szCs w:val="22"/>
        </w:rPr>
        <w:t>Step 2: In XX/XY chimeric organisms, gonadal cell populations can develop as ovotestes with mixed tissue, or as functionally male/female tissues coexisting [38][39].</w:t>
      </w:r>
    </w:p>
    <w:p>
      <w:pPr>
        <w:pStyle w:val="Normal"/>
        <w:spacing w:before="0" w:after="100"/>
        <w:rPr>
          <w:rFonts w:ascii="Arial" w:hAnsi="Arial" w:eastAsia="Arial" w:cs="Arial"/>
          <w:sz w:val="22"/>
          <w:szCs w:val="22"/>
        </w:rPr>
      </w:pPr>
      <w:r>
        <w:rPr>
          <w:rFonts w:eastAsia="Arial" w:cs="Arial" w:ascii="Arial" w:hAnsi="Arial"/>
          <w:sz w:val="22"/>
          <w:szCs w:val="22"/>
        </w:rPr>
        <w:t>Step 3: In prepubertal children — before gonadal activation — 11-KT is the DOMINANT bioactive androgen [23]. Not testosterone. This is not a backup pathway. This is the DEFAULT prepubescent primary androgen. Production is entirely adrenal, entirely gonad-independent, mediated by ACTH [24].</w:t>
      </w:r>
    </w:p>
    <w:p>
      <w:pPr>
        <w:pStyle w:val="Normal"/>
        <w:spacing w:before="0" w:after="100"/>
        <w:rPr>
          <w:rFonts w:ascii="Arial" w:hAnsi="Arial" w:eastAsia="Arial" w:cs="Arial"/>
          <w:sz w:val="22"/>
          <w:szCs w:val="22"/>
        </w:rPr>
      </w:pPr>
      <w:r>
        <w:rPr>
          <w:rFonts w:eastAsia="Arial" w:cs="Arial" w:ascii="Arial" w:hAnsi="Arial"/>
          <w:sz w:val="22"/>
          <w:szCs w:val="22"/>
        </w:rPr>
        <w:t>Step 4: If chimeric cell populations include cells existing at a developmentally prepubescent state — cells that never underwent gonadal activation — those cells would produce 11-KT as their primary androgen, not as a secondary pathway. They would be running the prepubescent default.</w:t>
      </w:r>
    </w:p>
    <w:p>
      <w:pPr>
        <w:pStyle w:val="Normal"/>
        <w:spacing w:before="0" w:after="100"/>
        <w:rPr>
          <w:rFonts w:ascii="Arial" w:hAnsi="Arial" w:eastAsia="Arial" w:cs="Arial"/>
          <w:sz w:val="22"/>
          <w:szCs w:val="22"/>
        </w:rPr>
      </w:pPr>
      <w:r>
        <w:rPr>
          <w:rFonts w:eastAsia="Arial" w:cs="Arial" w:ascii="Arial" w:hAnsi="Arial"/>
          <w:sz w:val="22"/>
          <w:szCs w:val="22"/>
        </w:rPr>
        <w:t>Step 5: The WGS 11-KT pathway data shows all 10 pathway genes structurally modified. SRD5A2 pathogenic on both copies. HSD11B2 pathogenic per AncestryDNA. CYP19A1 has structural repeat changes. AR has repeat expansions. The system is configured to produce, upgrade, and receive 11-KT.</w:t>
      </w:r>
    </w:p>
    <w:p>
      <w:pPr>
        <w:pStyle w:val="Normal"/>
        <w:spacing w:before="0" w:after="100"/>
        <w:rPr>
          <w:rFonts w:ascii="Arial" w:hAnsi="Arial" w:eastAsia="Arial" w:cs="Arial"/>
          <w:sz w:val="22"/>
          <w:szCs w:val="22"/>
        </w:rPr>
      </w:pPr>
      <w:r>
        <w:rPr>
          <w:rFonts w:eastAsia="Arial" w:cs="Arial" w:ascii="Arial" w:hAnsi="Arial"/>
          <w:sz w:val="22"/>
          <w:szCs w:val="22"/>
        </w:rPr>
        <w:t>Step 6: Clinical context — bilateral orchiectomy (2018), testosterone &lt;3 ng/dL, maintained daily sexual function. Something is activating the androgen receptor. The gonads are gone. The adrenals remain. The 11-KT pathway is the candidate.</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If two cell populations exist in one body, and some of those cells are developmentally stuck before puberty ever turned on the gonads, those cells are running on 11-KT as their primary hormone — because that's what ALL human cells do before puberty. The testes were removed. Testosterone dropped to near zero. But the adrenal glands keep making 11-KT regardless, because 11-KT production doesn't need gonads. The genomic data shows the entire 11-KT production, upgrade, and reception system is structurally modified. The body has been functioning sexually for 7+ years post-orchiectomy on something. The 11-KT pathway is the only identified candidate.</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2.7 Chimerism → Heterochromia</w:t>
      </w:r>
    </w:p>
    <w:p>
      <w:pPr>
        <w:pStyle w:val="Normal"/>
        <w:spacing w:before="0" w:after="100"/>
        <w:rPr>
          <w:rFonts w:ascii="Arial" w:hAnsi="Arial"/>
        </w:rPr>
      </w:pPr>
      <w:r>
        <w:rPr>
          <w:rFonts w:eastAsia="Arial" w:cs="Arial" w:ascii="Arial" w:hAnsi="Arial"/>
          <w:b/>
          <w:bCs/>
          <w:i/>
          <w:iCs/>
          <w:color w:val="7B2D26"/>
          <w:sz w:val="22"/>
          <w:szCs w:val="22"/>
        </w:rPr>
        <w:t>If two cell populations exist with different HERC2/OCA2 alleles at the 44 heterozygous HERC2 positions and the heterozygous OCA2 missense — and those populations distribute unevenly between the two irises — the result is two different colored eyes. The chimerism indicators provide the mechanism. The pigmentation data provides the substrate. Heterochromia is the visible manifestation.</w:t>
      </w:r>
    </w:p>
    <w:p>
      <w:pPr>
        <w:pStyle w:val="Heading1"/>
        <w:spacing w:before="360" w:after="200"/>
        <w:rPr>
          <w:rFonts w:ascii="Arial" w:hAnsi="Arial"/>
        </w:rPr>
      </w:pPr>
      <w:r>
        <w:rPr>
          <w:b/>
          <w:bCs/>
        </w:rPr>
        <w:t xml:space="preserve">Section </w:t>
      </w:r>
      <w:r>
        <w:rPr>
          <w:b/>
          <w:bCs/>
        </w:rPr>
        <w:t>2B: Evolutionary and Comparative Biology of 11-Ketotestosterone (11-KT)</w:t>
      </w:r>
    </w:p>
    <w:p>
      <w:pPr>
        <w:pStyle w:val="Heading1"/>
        <w:spacing w:before="360" w:after="200"/>
        <w:rPr>
          <w:rFonts w:ascii="Arial" w:hAnsi="Arial"/>
          <w:color w:val="000000"/>
        </w:rPr>
      </w:pPr>
      <w:r>
        <w:rPr>
          <w:b w:val="false"/>
          <w:bCs/>
          <w:i w:val="false"/>
          <w:caps w:val="false"/>
          <w:smallCaps w:val="false"/>
          <w:color w:val="000000"/>
          <w:spacing w:val="0"/>
          <w:sz w:val="26"/>
        </w:rPr>
        <w:t>To properly evaluate the proband's alternative androgenic state, the synthesis of 11-ketotestosterone must be deconstructed through a comparative evolutionary lens.</w:t>
      </w:r>
      <w:r>
        <w:rPr>
          <w:b/>
          <w:bCs/>
          <w:caps w:val="false"/>
          <w:smallCaps w:val="false"/>
          <w:color w:val="000000"/>
          <w:spacing w:val="0"/>
        </w:rPr>
        <w:t xml:space="preserve"> </w:t>
      </w:r>
      <w:r>
        <w:rPr>
          <w:b w:val="false"/>
          <w:bCs/>
          <w:i w:val="false"/>
          <w:caps w:val="false"/>
          <w:smallCaps w:val="false"/>
          <w:color w:val="000000"/>
          <w:spacing w:val="0"/>
          <w:sz w:val="26"/>
        </w:rPr>
        <w:t>In classical mammalian physiology, testosterone and dihydrotestosterone (DHT) are characterized as the only significant active androgens in the adult male.</w:t>
      </w:r>
      <w:r>
        <w:rPr>
          <w:b/>
          <w:bCs/>
          <w:caps w:val="false"/>
          <w:smallCaps w:val="false"/>
          <w:color w:val="000000"/>
          <w:spacing w:val="0"/>
        </w:rPr>
        <w:t xml:space="preserve"> </w:t>
      </w:r>
      <w:r>
        <w:rPr>
          <w:b w:val="false"/>
          <w:bCs/>
          <w:i w:val="false"/>
          <w:caps w:val="false"/>
          <w:smallCaps w:val="false"/>
          <w:color w:val="000000"/>
          <w:spacing w:val="0"/>
          <w:sz w:val="26"/>
        </w:rPr>
        <w:t>However, evolutionary biology reveals that 11-KT is not an anomalous bypass or a "junk" backup, but one of the most conserved, functional androgenic pathways in vertebrate history.</w:t>
      </w:r>
    </w:p>
    <w:p>
      <w:pPr>
        <w:pStyle w:val="Heading1"/>
        <w:spacing w:before="360" w:after="200"/>
        <w:jc w:val="center"/>
        <w:rPr>
          <w:rFonts w:ascii="Arial" w:hAnsi="Arial"/>
          <w:b/>
          <w:bCs/>
          <w:i w:val="false"/>
          <w:caps w:val="false"/>
          <w:smallCaps w:val="false"/>
          <w:color w:val="000000"/>
          <w:spacing w:val="0"/>
          <w:sz w:val="26"/>
        </w:rPr>
      </w:pPr>
      <w:r>
        <w:rPr>
          <w:b/>
          <w:bCs/>
          <w:i w:val="false"/>
          <w:caps w:val="false"/>
          <w:smallCaps w:val="false"/>
          <w:color w:val="000000"/>
          <w:spacing w:val="0"/>
          <w:sz w:val="26"/>
        </w:rPr>
        <w:t xml:space="preserve">│ </w:t>
      </w:r>
    </w:p>
    <w:p>
      <w:pPr>
        <w:pStyle w:val="Heading1"/>
        <w:spacing w:before="360" w:after="200"/>
        <w:jc w:val="center"/>
        <w:rPr>
          <w:rFonts w:ascii="Arial" w:hAnsi="Arial"/>
          <w:b/>
          <w:bCs/>
          <w:i w:val="false"/>
          <w:caps w:val="false"/>
          <w:smallCaps w:val="false"/>
          <w:color w:val="000000"/>
          <w:spacing w:val="0"/>
          <w:sz w:val="26"/>
        </w:rPr>
      </w:pPr>
      <w:r>
        <w:rPr>
          <w:b/>
          <w:bCs/>
          <w:i w:val="false"/>
          <w:caps w:val="false"/>
          <w:smallCaps w:val="false"/>
          <w:color w:val="000000"/>
          <w:spacing w:val="0"/>
          <w:sz w:val="26"/>
        </w:rPr>
        <w:t xml:space="preserve">▼ </w:t>
      </w:r>
    </w:p>
    <w:p>
      <w:pPr>
        <w:pStyle w:val="Heading1"/>
        <w:spacing w:before="360" w:after="200"/>
        <w:jc w:val="center"/>
        <w:rPr>
          <w:rFonts w:ascii="Arial" w:hAnsi="Arial"/>
          <w:b/>
          <w:bCs/>
          <w:i w:val="false"/>
          <w:caps w:val="false"/>
          <w:smallCaps w:val="false"/>
          <w:color w:val="000000"/>
          <w:spacing w:val="0"/>
          <w:sz w:val="26"/>
        </w:rPr>
      </w:pPr>
      <w:r>
        <w:rPr>
          <w:b/>
          <w:bCs/>
          <w:i w:val="false"/>
          <w:caps w:val="false"/>
          <w:smallCaps w:val="false"/>
          <w:color w:val="000000"/>
          <w:spacing w:val="0"/>
          <w:sz w:val="26"/>
        </w:rPr>
        <w:t xml:space="preserve">│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(De Novo Cholesterol Synthesis)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[Androstenedione (A4)]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(CYP11B1 - Adrenal Gatekeeper)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 ▼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[11β-Hydroxyandrostenedione (11OHA4)]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(HSD11B2 - Peripheral Nodes) </w:t>
      </w:r>
    </w:p>
    <w:p>
      <w:pPr>
        <w:pStyle w:val="Heading1"/>
        <w:spacing w:before="360" w:after="200"/>
        <w:jc w:val="center"/>
        <w:rPr>
          <w:rFonts w:ascii="Arial" w:hAnsi="Arial"/>
          <w:caps w:val="false"/>
          <w:smallCaps w:val="false"/>
          <w:color w:val="000000"/>
          <w:spacing w:val="0"/>
        </w:rPr>
      </w:pPr>
      <w:r>
        <w:rPr>
          <w:b w:val="false"/>
          <w:bCs/>
          <w:i w:val="false"/>
          <w:caps w:val="false"/>
          <w:smallCaps w:val="false"/>
          <w:color w:val="000000"/>
          <w:spacing w:val="0"/>
          <w:sz w:val="21"/>
        </w:rPr>
        <w:t xml:space="preserve">│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[11-Ketoandrostenedione (11KA4)]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(AKR1C3 - Adipose/Kidney)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(SRD5A2 - Homozygous Upgrade Node)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 </w:t>
      </w:r>
    </w:p>
    <w:p>
      <w:pPr>
        <w:pStyle w:val="Heading1"/>
        <w:spacing w:before="360" w:after="200"/>
        <w:jc w:val="left"/>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                                                   ──►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(HSD11B1 - Heterozygous Brake)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 xml:space="preserve">▼ </w:t>
      </w:r>
    </w:p>
    <w:p>
      <w:pPr>
        <w:pStyle w:val="Heading1"/>
        <w:spacing w:before="360" w:after="200"/>
        <w:jc w:val="center"/>
        <w:rPr>
          <w:rFonts w:ascii="Arial" w:hAnsi="Arial"/>
          <w:b w:val="false"/>
          <w:bCs/>
          <w:i w:val="false"/>
          <w:caps w:val="false"/>
          <w:smallCaps w:val="false"/>
          <w:color w:val="000000"/>
          <w:spacing w:val="0"/>
          <w:sz w:val="21"/>
        </w:rPr>
      </w:pPr>
      <w:r>
        <w:rPr>
          <w:b w:val="false"/>
          <w:bCs/>
          <w:i w:val="false"/>
          <w:caps w:val="false"/>
          <w:smallCaps w:val="false"/>
          <w:color w:val="000000"/>
          <w:spacing w:val="0"/>
          <w:sz w:val="21"/>
        </w:rPr>
        <w:t>[11β-Hydroxytestosterone]</w:t>
      </w:r>
    </w:p>
    <w:p>
      <w:pPr>
        <w:pStyle w:val="Heading3"/>
        <w:spacing w:before="360" w:after="200"/>
        <w:jc w:val="center"/>
        <w:rPr>
          <w:b/>
          <w:bCs/>
          <w:i w:val="false"/>
          <w:caps w:val="false"/>
          <w:smallCaps w:val="false"/>
          <w:spacing w:val="0"/>
          <w:sz w:val="26"/>
        </w:rPr>
      </w:pPr>
      <w:r>
        <w:rPr>
          <w:caps w:val="false"/>
          <w:smallCaps w:val="false"/>
          <w:color w:val="000000"/>
          <w:spacing w:val="0"/>
        </w:rPr>
      </w:r>
    </w:p>
    <w:p>
      <w:pPr>
        <w:pStyle w:val="Heading2"/>
        <w:spacing w:before="240" w:after="150"/>
        <w:rPr>
          <w:rFonts w:ascii="Arial" w:hAnsi="Arial"/>
          <w:b/>
          <w:bCs/>
        </w:rPr>
      </w:pPr>
      <w:r>
        <w:rPr>
          <w:b/>
          <w:bCs/>
          <w:i w:val="false"/>
          <w:sz w:val="26"/>
        </w:rPr>
        <w:t>2</w:t>
      </w:r>
      <w:r>
        <w:rPr>
          <w:b/>
          <w:bCs/>
          <w:i w:val="false"/>
          <w:sz w:val="26"/>
        </w:rPr>
        <w:t>B.1 - Observation</w:t>
      </w:r>
    </w:p>
    <w:p>
      <w:pPr>
        <w:pStyle w:val="BodyText"/>
        <w:spacing w:lineRule="auto" w:line="273" w:before="0" w:after="140"/>
        <w:ind w:hanging="0" w:left="0" w:right="0"/>
        <w:rPr>
          <w:rFonts w:ascii="Arial" w:hAnsi="Arial"/>
        </w:rPr>
      </w:pPr>
      <w:bookmarkStart w:id="0" w:name="p-c_09f1f22645e0377a_a2675682-53a9-4770-"/>
      <w:bookmarkEnd w:id="0"/>
      <w:r>
        <w:rPr>
          <w:rFonts w:ascii="Arial" w:hAnsi="Arial"/>
        </w:rPr>
        <w:t>The clinical history of the proband demonstrates a complete, surgically verified bilateral orchiectomy performed in 2018. Repeated subsequent laboratory serum essays show total testosterone levels below $3\text{ ng/dL}$ ($&lt;0.1\text{ nmol/L}$). Despite the complete absence of classical gonadal androgens, the proband has maintained continuous, daily sexual function and male-typical virilization for over seven years post-surgery.</w:t>
      </w:r>
    </w:p>
    <w:p>
      <w:pPr>
        <w:pStyle w:val="Heading2"/>
        <w:spacing w:before="240" w:after="150"/>
        <w:rPr>
          <w:rFonts w:ascii="Arial" w:hAnsi="Arial"/>
          <w:b/>
          <w:bCs/>
        </w:rPr>
      </w:pPr>
      <w:r>
        <w:rPr>
          <w:b/>
          <w:bCs/>
        </w:rPr>
        <w:t>2B.2 - Inference</w:t>
      </w:r>
    </w:p>
    <w:p>
      <w:pPr>
        <w:pStyle w:val="BodyText"/>
        <w:spacing w:lineRule="auto" w:line="273" w:before="0" w:after="140"/>
        <w:ind w:hanging="0" w:left="0" w:right="0"/>
        <w:rPr>
          <w:rFonts w:ascii="Arial" w:hAnsi="Arial"/>
        </w:rPr>
      </w:pPr>
      <w:bookmarkStart w:id="1" w:name="p-c_09f1f22645e0377a_a2675682-53a9-47701"/>
      <w:bookmarkEnd w:id="1"/>
      <w:r>
        <w:rPr>
          <w:rFonts w:ascii="Arial" w:hAnsi="Arial"/>
        </w:rPr>
        <w:t>Because classical gonadal androgens are absent, the androgen receptor must be undergoing continuous, ligand-binding activation by an alternative, non-gonadal androgen circulating at physiologically relevant, sub-nanomolar concentrations.</w:t>
      </w:r>
    </w:p>
    <w:p>
      <w:pPr>
        <w:pStyle w:val="Heading3"/>
        <w:spacing w:lineRule="auto" w:line="273" w:before="0" w:after="140"/>
        <w:ind w:hanging="0" w:left="0" w:right="0"/>
        <w:rPr>
          <w:rFonts w:ascii="Arial" w:hAnsi="Arial"/>
          <w:color w:val="000000"/>
        </w:rPr>
      </w:pPr>
      <w:r>
        <w:rPr>
          <w:color w:val="000000"/>
        </w:rPr>
        <w:t>Hypothesis</w:t>
      </w:r>
    </w:p>
    <w:p>
      <w:pPr>
        <w:pStyle w:val="BodyText"/>
        <w:spacing w:lineRule="auto" w:line="273" w:before="0" w:after="140"/>
        <w:ind w:hanging="0" w:left="0" w:right="0"/>
        <w:rPr>
          <w:rFonts w:ascii="Arial" w:hAnsi="Arial"/>
          <w:color w:val="000000"/>
        </w:rPr>
      </w:pPr>
      <w:bookmarkStart w:id="2" w:name="p-c_09f1f22645e0377a_a2675682-53a9-47702"/>
      <w:bookmarkEnd w:id="2"/>
      <w:r>
        <w:rPr>
          <w:rFonts w:ascii="Arial" w:hAnsi="Arial"/>
          <w:color w:val="000000"/>
        </w:rPr>
        <w:t>The proband's daily physical virilization and sexual function are driven by the adrenal-derived 11-ketotestosterone (11-KT) pathway, which operates independently of gonadal function under the direct stimulation of pituitary ACTH. This pathway has been structurally upgraded and unlocked at every genetic node to assume the role of the primary active androgen system.</w:t>
      </w:r>
    </w:p>
    <w:p>
      <w:pPr>
        <w:pStyle w:val="Heading3"/>
        <w:spacing w:lineRule="auto" w:line="273" w:before="0" w:after="140"/>
        <w:ind w:hanging="0" w:left="0" w:right="0"/>
        <w:rPr>
          <w:rFonts w:ascii="Arial" w:hAnsi="Arial"/>
          <w:color w:val="000000"/>
        </w:rPr>
      </w:pPr>
      <w:r>
        <w:rPr>
          <w:color w:val="000000"/>
        </w:rPr>
        <w:t>Species-Level Comparative Analysis</w:t>
      </w:r>
    </w:p>
    <w:p>
      <w:pPr>
        <w:pStyle w:val="BodyText"/>
        <w:widowControl/>
        <w:spacing w:before="0" w:after="0"/>
        <w:ind w:hanging="0" w:left="0" w:right="0"/>
        <w:rPr>
          <w:rFonts w:ascii="Arial" w:hAnsi="Arial"/>
          <w:b w:val="false"/>
          <w:i w:val="false"/>
          <w:caps w:val="false"/>
          <w:smallCaps w:val="false"/>
          <w:color w:val="000000"/>
          <w:spacing w:val="0"/>
          <w:sz w:val="26"/>
        </w:rPr>
      </w:pPr>
      <w:r>
        <w:rPr>
          <w:rFonts w:ascii="Arial" w:hAnsi="Arial"/>
          <w:b w:val="false"/>
          <w:i w:val="false"/>
          <w:caps w:val="false"/>
          <w:smallCaps w:val="false"/>
          <w:color w:val="000000"/>
          <w:spacing w:val="0"/>
          <w:sz w:val="26"/>
        </w:rPr>
        <w:t>To understand the deep evolutionary roots of this pathway, the role of 11-KT across divergent vertebrate lineages is deconstructed in the following table:</w:t>
      </w:r>
    </w:p>
    <w:p>
      <w:pPr>
        <w:pStyle w:val="BodyText"/>
        <w:spacing w:lineRule="auto" w:line="273" w:before="0" w:after="140"/>
        <w:ind w:hanging="0" w:left="0" w:right="0"/>
        <w:rPr>
          <w:rFonts w:ascii="Arial" w:hAnsi="Arial"/>
          <w:color w:val="000000"/>
        </w:rPr>
      </w:pPr>
      <w:r>
        <w:rPr>
          <w:rFonts w:ascii="Arial" w:hAnsi="Arial"/>
          <w:color w:val="000000"/>
        </w:rPr>
      </w:r>
    </w:p>
    <w:p>
      <w:pPr>
        <w:pStyle w:val="Normal"/>
        <w:spacing w:before="0" w:after="100"/>
        <w:rPr>
          <w:rFonts w:ascii="Arial" w:hAnsi="Arial"/>
        </w:rPr>
      </w:pPr>
      <w:r>
        <w:rPr>
          <w:rFonts w:ascii="Arial" w:hAnsi="Arial"/>
        </w:rPr>
      </w:r>
    </w:p>
    <w:tbl>
      <w:tblPr>
        <w:tblW w:w="9400" w:type="dxa"/>
        <w:jc w:val="left"/>
        <w:tblInd w:w="0" w:type="dxa"/>
        <w:tblLayout w:type="fixed"/>
        <w:tblCellMar>
          <w:top w:w="60" w:type="dxa"/>
          <w:left w:w="100" w:type="dxa"/>
          <w:bottom w:w="60" w:type="dxa"/>
          <w:right w:w="100" w:type="dxa"/>
        </w:tblCellMar>
      </w:tblPr>
      <w:tblGrid>
        <w:gridCol w:w="1532"/>
        <w:gridCol w:w="1867"/>
        <w:gridCol w:w="2459"/>
        <w:gridCol w:w="3542"/>
      </w:tblGrid>
      <w:tr>
        <w:trPr/>
        <w:tc>
          <w:tcPr>
            <w:tcW w:w="1532"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color w:val="000000"/>
                <w:sz w:val="18"/>
                <w:szCs w:val="18"/>
              </w:rPr>
            </w:pPr>
            <w:r>
              <w:rPr>
                <w:rFonts w:eastAsia="Arial" w:cs="Arial" w:ascii="Arial" w:hAnsi="Arial"/>
                <w:b/>
                <w:bCs/>
                <w:color w:val="000000"/>
                <w:sz w:val="18"/>
                <w:szCs w:val="18"/>
              </w:rPr>
              <w:t>Taxon / Group</w:t>
            </w:r>
          </w:p>
        </w:tc>
        <w:tc>
          <w:tcPr>
            <w:tcW w:w="1867"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color w:val="000000"/>
                <w:sz w:val="18"/>
                <w:szCs w:val="18"/>
              </w:rPr>
            </w:pPr>
            <w:r>
              <w:rPr>
                <w:rFonts w:eastAsia="Arial" w:cs="Arial" w:ascii="Arial" w:hAnsi="Arial"/>
                <w:b/>
                <w:bCs/>
                <w:color w:val="000000"/>
                <w:sz w:val="18"/>
                <w:szCs w:val="18"/>
              </w:rPr>
              <w:t>Rep</w:t>
            </w:r>
            <w:r>
              <w:rPr>
                <w:rFonts w:eastAsia="Arial" w:cs="Arial" w:ascii="Arial" w:hAnsi="Arial"/>
                <w:b/>
                <w:bCs/>
                <w:color w:val="000000"/>
                <w:sz w:val="18"/>
                <w:szCs w:val="18"/>
              </w:rPr>
              <w:t>resentative Species</w:t>
            </w:r>
          </w:p>
        </w:tc>
        <w:tc>
          <w:tcPr>
            <w:tcW w:w="245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color w:val="000000"/>
                <w:sz w:val="18"/>
                <w:szCs w:val="18"/>
              </w:rPr>
            </w:pPr>
            <w:r>
              <w:rPr>
                <w:rFonts w:eastAsia="Arial" w:cs="Arial" w:ascii="Arial" w:hAnsi="Arial"/>
                <w:b/>
                <w:bCs/>
                <w:color w:val="000000"/>
                <w:sz w:val="18"/>
                <w:szCs w:val="18"/>
              </w:rPr>
              <w:t>Circulating Levels and Active Role</w:t>
            </w:r>
          </w:p>
        </w:tc>
        <w:tc>
          <w:tcPr>
            <w:tcW w:w="3542"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color w:val="000000"/>
                <w:sz w:val="18"/>
                <w:szCs w:val="18"/>
              </w:rPr>
            </w:pPr>
            <w:r>
              <w:rPr>
                <w:rFonts w:eastAsia="Arial" w:cs="Arial" w:ascii="Arial" w:hAnsi="Arial"/>
                <w:b/>
                <w:bCs/>
                <w:color w:val="000000"/>
                <w:sz w:val="18"/>
                <w:szCs w:val="18"/>
              </w:rPr>
            </w:r>
          </w:p>
        </w:tc>
      </w:tr>
      <w:tr>
        <w:trPr/>
        <w:tc>
          <w:tcPr>
            <w:tcW w:w="1532"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Teleost Fish</w:t>
            </w:r>
          </w:p>
        </w:tc>
        <w:tc>
          <w:tcPr>
            <w:tcW w:w="1867"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i w:val="false"/>
                <w:caps w:val="false"/>
                <w:smallCaps w:val="false"/>
                <w:color w:val="000000"/>
                <w:sz w:val="18"/>
                <w:szCs w:val="18"/>
              </w:rPr>
            </w:pPr>
            <w:r>
              <w:rPr>
                <w:rFonts w:eastAsia="Arial" w:cs="Arial" w:ascii="Arial" w:hAnsi="Arial"/>
                <w:b w:val="false"/>
                <w:bCs w:val="false"/>
                <w:i w:val="false"/>
                <w:caps w:val="false"/>
                <w:smallCaps w:val="false"/>
                <w:color w:val="000000"/>
                <w:sz w:val="18"/>
                <w:szCs w:val="18"/>
              </w:rPr>
              <w:br/>
              <w:t>Salmon, Tilapia, Zebrafish, Eel, Stickleback, Medaka, Midshipman, Flounder</w:t>
            </w:r>
          </w:p>
        </w:tc>
        <w:tc>
          <w:tcPr>
            <w:tcW w:w="245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i w:val="false"/>
                <w:caps w:val="false"/>
                <w:smallCaps w:val="false"/>
                <w:color w:val="000000"/>
                <w:spacing w:val="0"/>
                <w:sz w:val="23"/>
                <w:szCs w:val="18"/>
              </w:rPr>
            </w:pPr>
            <w:r>
              <w:rPr>
                <w:rFonts w:eastAsia="Arial" w:cs="Arial" w:ascii="Arial" w:hAnsi="Arial"/>
                <w:b/>
                <w:bCs w:val="false"/>
                <w:i w:val="false"/>
                <w:caps w:val="false"/>
                <w:smallCaps w:val="false"/>
                <w:color w:val="000000"/>
                <w:spacing w:val="0"/>
                <w:sz w:val="23"/>
                <w:szCs w:val="18"/>
              </w:rPr>
              <w:t>Primary Active Androgen:</w:t>
            </w:r>
            <w:r>
              <w:rPr>
                <w:rFonts w:eastAsia="Arial" w:cs="Arial" w:ascii="Arial" w:hAnsi="Arial"/>
                <w:b w:val="false"/>
                <w:bCs w:val="false"/>
                <w:i w:val="false"/>
                <w:caps w:val="false"/>
                <w:smallCaps w:val="false"/>
                <w:color w:val="000000"/>
                <w:spacing w:val="0"/>
                <w:sz w:val="23"/>
                <w:szCs w:val="18"/>
              </w:rPr>
              <w:t xml:space="preserve"> Drives male-typical sexual differentiation, complete spermatogenesis, vibrant coloration, courtship, and intense territorial/nest-building behaviors. Exceeds classical testosterone in bioactivity.</w:t>
            </w:r>
          </w:p>
        </w:tc>
        <w:tc>
          <w:tcPr>
            <w:tcW w:w="3542"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r>
          </w:p>
        </w:tc>
      </w:tr>
      <w:tr>
        <w:trPr/>
        <w:tc>
          <w:tcPr>
            <w:tcW w:w="1532"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bCs w:val="false"/>
                <w:color w:val="000000"/>
                <w:sz w:val="18"/>
                <w:szCs w:val="18"/>
              </w:rPr>
            </w:pPr>
            <w:r>
              <w:rPr>
                <w:rFonts w:eastAsia="Arial" w:cs="Arial" w:ascii="Arial" w:hAnsi="Arial"/>
                <w:b/>
                <w:bCs w:val="false"/>
                <w:color w:val="000000"/>
                <w:sz w:val="18"/>
                <w:szCs w:val="18"/>
              </w:rPr>
              <w:t>Early-Branching Actinopterygians</w:t>
            </w:r>
          </w:p>
        </w:tc>
        <w:tc>
          <w:tcPr>
            <w:tcW w:w="1867"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i w:val="false"/>
                <w:caps w:val="false"/>
                <w:smallCaps w:val="false"/>
                <w:color w:val="000000"/>
                <w:sz w:val="18"/>
                <w:szCs w:val="18"/>
              </w:rPr>
            </w:pPr>
            <w:r>
              <w:rPr>
                <w:rFonts w:eastAsia="Arial" w:cs="Arial" w:ascii="Arial" w:hAnsi="Arial"/>
                <w:b w:val="false"/>
                <w:bCs w:val="false"/>
                <w:i w:val="false"/>
                <w:caps w:val="false"/>
                <w:smallCaps w:val="false"/>
                <w:color w:val="000000"/>
                <w:sz w:val="18"/>
                <w:szCs w:val="18"/>
              </w:rPr>
              <w:t>Sturgeon</w:t>
            </w:r>
          </w:p>
        </w:tc>
        <w:tc>
          <w:tcPr>
            <w:tcW w:w="245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color w:val="000000"/>
                <w:sz w:val="18"/>
                <w:szCs w:val="18"/>
              </w:rPr>
            </w:pPr>
            <w:r>
              <w:rPr>
                <w:rFonts w:eastAsia="Arial" w:cs="Arial" w:ascii="Arial" w:hAnsi="Arial"/>
                <w:b/>
                <w:bCs w:val="false"/>
                <w:color w:val="000000"/>
                <w:sz w:val="18"/>
                <w:szCs w:val="18"/>
              </w:rPr>
              <w:t>Primary Active Androgen:</w:t>
            </w:r>
            <w:r>
              <w:rPr>
                <w:rFonts w:eastAsia="Arial" w:cs="Arial" w:ascii="Arial" w:hAnsi="Arial"/>
                <w:b w:val="false"/>
                <w:bCs w:val="false"/>
                <w:caps w:val="false"/>
                <w:smallCaps w:val="false"/>
                <w:color w:val="000000"/>
                <w:spacing w:val="0"/>
                <w:sz w:val="18"/>
                <w:szCs w:val="18"/>
              </w:rPr>
              <w:t xml:space="preserve"> </w:t>
            </w:r>
            <w:r>
              <w:rPr>
                <w:rFonts w:eastAsia="Arial" w:cs="Arial" w:ascii="Arial" w:hAnsi="Arial"/>
                <w:b w:val="false"/>
                <w:bCs w:val="false"/>
                <w:i w:val="false"/>
                <w:caps w:val="false"/>
                <w:smallCaps w:val="false"/>
                <w:color w:val="000000"/>
                <w:spacing w:val="0"/>
                <w:sz w:val="23"/>
                <w:szCs w:val="18"/>
              </w:rPr>
              <w:t>High concentrations confirmed in circulating plasma during active spawning cycles; regulates seasonal reproductive drives.</w:t>
            </w:r>
          </w:p>
        </w:tc>
        <w:tc>
          <w:tcPr>
            <w:tcW w:w="3542"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r>
          </w:p>
        </w:tc>
      </w:tr>
      <w:tr>
        <w:trPr/>
        <w:tc>
          <w:tcPr>
            <w:tcW w:w="1532"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bCs w:val="false"/>
                <w:color w:val="000000"/>
                <w:sz w:val="18"/>
                <w:szCs w:val="18"/>
              </w:rPr>
            </w:pPr>
            <w:r>
              <w:rPr>
                <w:rFonts w:eastAsia="Arial" w:cs="Arial" w:ascii="Arial" w:hAnsi="Arial"/>
                <w:b/>
                <w:bCs w:val="false"/>
                <w:color w:val="000000"/>
                <w:sz w:val="18"/>
                <w:szCs w:val="18"/>
              </w:rPr>
              <w:t>Urodele Amphibians</w:t>
            </w:r>
          </w:p>
        </w:tc>
        <w:tc>
          <w:tcPr>
            <w:tcW w:w="1867"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i w:val="false"/>
                <w:caps w:val="false"/>
                <w:smallCaps w:val="false"/>
                <w:color w:val="000000"/>
                <w:sz w:val="18"/>
                <w:szCs w:val="18"/>
              </w:rPr>
            </w:pPr>
            <w:r>
              <w:rPr>
                <w:rFonts w:eastAsia="Arial" w:cs="Arial" w:ascii="Arial" w:hAnsi="Arial"/>
                <w:b w:val="false"/>
                <w:bCs w:val="false"/>
                <w:i w:val="false"/>
                <w:caps w:val="false"/>
                <w:smallCaps w:val="false"/>
                <w:color w:val="000000"/>
                <w:sz w:val="18"/>
                <w:szCs w:val="18"/>
              </w:rPr>
              <w:t>Mudpuppy (Necturus)</w:t>
            </w:r>
          </w:p>
        </w:tc>
        <w:tc>
          <w:tcPr>
            <w:tcW w:w="245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color w:val="000000"/>
                <w:sz w:val="18"/>
                <w:szCs w:val="18"/>
              </w:rPr>
            </w:pPr>
            <w:r>
              <w:rPr>
                <w:rFonts w:eastAsia="Arial" w:cs="Arial" w:ascii="Arial" w:hAnsi="Arial"/>
                <w:b/>
                <w:bCs w:val="false"/>
                <w:color w:val="000000"/>
                <w:sz w:val="18"/>
                <w:szCs w:val="18"/>
              </w:rPr>
              <w:t>Active Circulating Androgen:</w:t>
            </w:r>
            <w:r>
              <w:rPr>
                <w:rFonts w:eastAsia="Arial" w:cs="Arial" w:ascii="Arial" w:hAnsi="Arial"/>
                <w:b w:val="false"/>
                <w:bCs w:val="false"/>
                <w:caps w:val="false"/>
                <w:smallCaps w:val="false"/>
                <w:color w:val="000000"/>
                <w:spacing w:val="0"/>
                <w:sz w:val="18"/>
                <w:szCs w:val="18"/>
              </w:rPr>
              <w:t xml:space="preserve"> </w:t>
            </w:r>
            <w:r>
              <w:rPr>
                <w:rFonts w:eastAsia="Arial" w:cs="Arial" w:ascii="Arial" w:hAnsi="Arial"/>
                <w:b w:val="false"/>
                <w:bCs w:val="false"/>
                <w:i w:val="false"/>
                <w:caps w:val="false"/>
                <w:smallCaps w:val="false"/>
                <w:color w:val="000000"/>
                <w:spacing w:val="0"/>
                <w:sz w:val="23"/>
                <w:szCs w:val="18"/>
              </w:rPr>
              <w:t>Confirmed in plasma; regulates spermatogenic cycles and seasonal vocalization patterns.</w:t>
            </w:r>
          </w:p>
        </w:tc>
        <w:tc>
          <w:tcPr>
            <w:tcW w:w="3542"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r>
          </w:p>
        </w:tc>
      </w:tr>
      <w:tr>
        <w:trPr/>
        <w:tc>
          <w:tcPr>
            <w:tcW w:w="1532"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bCs w:val="false"/>
                <w:color w:val="000000"/>
                <w:sz w:val="18"/>
                <w:szCs w:val="18"/>
              </w:rPr>
            </w:pPr>
            <w:r>
              <w:rPr>
                <w:rFonts w:eastAsia="Arial" w:cs="Arial" w:ascii="Arial" w:hAnsi="Arial"/>
                <w:b/>
                <w:bCs w:val="false"/>
                <w:color w:val="000000"/>
                <w:sz w:val="18"/>
                <w:szCs w:val="18"/>
              </w:rPr>
              <w:t>Suidae (Mammals)</w:t>
            </w:r>
          </w:p>
        </w:tc>
        <w:tc>
          <w:tcPr>
            <w:tcW w:w="1867"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i w:val="false"/>
                <w:caps w:val="false"/>
                <w:smallCaps w:val="false"/>
                <w:color w:val="000000"/>
                <w:sz w:val="18"/>
                <w:szCs w:val="18"/>
              </w:rPr>
            </w:pPr>
            <w:r>
              <w:rPr>
                <w:rFonts w:eastAsia="Arial" w:cs="Arial" w:ascii="Arial" w:hAnsi="Arial"/>
                <w:b w:val="false"/>
                <w:bCs w:val="false"/>
                <w:i w:val="false"/>
                <w:caps w:val="false"/>
                <w:smallCaps w:val="false"/>
                <w:color w:val="000000"/>
                <w:sz w:val="18"/>
                <w:szCs w:val="18"/>
              </w:rPr>
              <w:t>Pig</w:t>
            </w:r>
          </w:p>
        </w:tc>
        <w:tc>
          <w:tcPr>
            <w:tcW w:w="245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color w:val="000000"/>
                <w:sz w:val="18"/>
                <w:szCs w:val="18"/>
              </w:rPr>
            </w:pPr>
            <w:r>
              <w:rPr>
                <w:rFonts w:eastAsia="Arial" w:cs="Arial" w:ascii="Arial" w:hAnsi="Arial"/>
                <w:b/>
                <w:bCs w:val="false"/>
                <w:color w:val="000000"/>
                <w:sz w:val="18"/>
                <w:szCs w:val="18"/>
              </w:rPr>
              <w:t>Abundant Circulating Steroid:</w:t>
            </w:r>
            <w:r>
              <w:rPr>
                <w:rFonts w:eastAsia="Arial" w:cs="Arial" w:ascii="Arial" w:hAnsi="Arial"/>
                <w:b w:val="false"/>
                <w:bCs w:val="false"/>
                <w:color w:val="000000"/>
                <w:sz w:val="18"/>
                <w:szCs w:val="18"/>
              </w:rPr>
              <w:t xml:space="preserve"> 11-KT runs at circulating concentrations $&gt;10\text{-fold}$ higher than classical testosterone in females. Actively produced in the adrenal glands and testes; directly regulates eNOS activity in vascular endothelium.</w:t>
            </w:r>
          </w:p>
        </w:tc>
        <w:tc>
          <w:tcPr>
            <w:tcW w:w="3542"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r>
          </w:p>
        </w:tc>
      </w:tr>
      <w:tr>
        <w:trPr/>
        <w:tc>
          <w:tcPr>
            <w:tcW w:w="1532"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bCs w:val="false"/>
                <w:color w:val="000000"/>
                <w:sz w:val="18"/>
                <w:szCs w:val="18"/>
              </w:rPr>
            </w:pPr>
            <w:r>
              <w:rPr>
                <w:rFonts w:eastAsia="Arial" w:cs="Arial" w:ascii="Arial" w:hAnsi="Arial"/>
                <w:b/>
                <w:bCs w:val="false"/>
                <w:color w:val="000000"/>
                <w:sz w:val="18"/>
                <w:szCs w:val="18"/>
              </w:rPr>
              <w:t>Caviidae (Mammals)</w:t>
            </w:r>
          </w:p>
        </w:tc>
        <w:tc>
          <w:tcPr>
            <w:tcW w:w="1867"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i w:val="false"/>
                <w:caps w:val="false"/>
                <w:smallCaps w:val="false"/>
                <w:color w:val="000000"/>
                <w:sz w:val="18"/>
                <w:szCs w:val="18"/>
              </w:rPr>
            </w:pPr>
            <w:r>
              <w:rPr>
                <w:rFonts w:eastAsia="Arial" w:cs="Arial" w:ascii="Arial" w:hAnsi="Arial"/>
                <w:b w:val="false"/>
                <w:bCs w:val="false"/>
                <w:i w:val="false"/>
                <w:caps w:val="false"/>
                <w:smallCaps w:val="false"/>
                <w:color w:val="000000"/>
                <w:sz w:val="18"/>
                <w:szCs w:val="18"/>
              </w:rPr>
              <w:t>Guinea Pig</w:t>
            </w:r>
          </w:p>
        </w:tc>
        <w:tc>
          <w:tcPr>
            <w:tcW w:w="245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color w:val="000000"/>
                <w:sz w:val="18"/>
                <w:szCs w:val="18"/>
              </w:rPr>
            </w:pPr>
            <w:r>
              <w:rPr>
                <w:rFonts w:eastAsia="Arial" w:cs="Arial" w:ascii="Arial" w:hAnsi="Arial"/>
                <w:b/>
                <w:bCs w:val="false"/>
                <w:color w:val="000000"/>
                <w:sz w:val="18"/>
                <w:szCs w:val="18"/>
              </w:rPr>
              <w:t>Abundant Plasma Steroid:</w:t>
            </w:r>
            <w:r>
              <w:rPr>
                <w:rFonts w:eastAsia="Arial" w:cs="Arial" w:ascii="Arial" w:hAnsi="Arial"/>
                <w:b w:val="false"/>
                <w:bCs w:val="false"/>
                <w:caps w:val="false"/>
                <w:smallCaps w:val="false"/>
                <w:color w:val="000000"/>
                <w:spacing w:val="0"/>
                <w:sz w:val="18"/>
                <w:szCs w:val="18"/>
              </w:rPr>
              <w:t xml:space="preserve"> </w:t>
            </w:r>
            <w:r>
              <w:rPr>
                <w:rFonts w:eastAsia="Arial" w:cs="Arial" w:ascii="Arial" w:hAnsi="Arial"/>
                <w:b w:val="false"/>
                <w:bCs w:val="false"/>
                <w:i w:val="false"/>
                <w:caps w:val="false"/>
                <w:smallCaps w:val="false"/>
                <w:color w:val="000000"/>
                <w:spacing w:val="0"/>
                <w:sz w:val="23"/>
                <w:szCs w:val="18"/>
              </w:rPr>
              <w:t>Highly active and circulating at microgram concentrations; bypassed gonadal-only androgen reliance.</w:t>
            </w:r>
          </w:p>
        </w:tc>
        <w:tc>
          <w:tcPr>
            <w:tcW w:w="3542"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r>
          </w:p>
        </w:tc>
      </w:tr>
      <w:tr>
        <w:trPr/>
        <w:tc>
          <w:tcPr>
            <w:tcW w:w="1532"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bCs w:val="false"/>
                <w:color w:val="000000"/>
                <w:sz w:val="18"/>
                <w:szCs w:val="18"/>
              </w:rPr>
            </w:pPr>
            <w:r>
              <w:rPr>
                <w:rFonts w:eastAsia="Arial" w:cs="Arial" w:ascii="Arial" w:hAnsi="Arial"/>
                <w:b/>
                <w:bCs w:val="false"/>
                <w:color w:val="000000"/>
                <w:sz w:val="18"/>
                <w:szCs w:val="18"/>
              </w:rPr>
              <w:t>Non-Human Primates</w:t>
            </w:r>
          </w:p>
        </w:tc>
        <w:tc>
          <w:tcPr>
            <w:tcW w:w="1867"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i w:val="false"/>
                <w:caps w:val="false"/>
                <w:smallCaps w:val="false"/>
                <w:color w:val="000000"/>
                <w:sz w:val="18"/>
                <w:szCs w:val="18"/>
              </w:rPr>
            </w:pPr>
            <w:r>
              <w:rPr>
                <w:rFonts w:eastAsia="Arial" w:cs="Arial" w:ascii="Arial" w:hAnsi="Arial"/>
                <w:b w:val="false"/>
                <w:bCs w:val="false"/>
                <w:i w:val="false"/>
                <w:caps w:val="false"/>
                <w:smallCaps w:val="false"/>
                <w:color w:val="000000"/>
                <w:sz w:val="18"/>
                <w:szCs w:val="18"/>
              </w:rPr>
              <w:t>Chimpanzee, Macaque</w:t>
            </w:r>
          </w:p>
        </w:tc>
        <w:tc>
          <w:tcPr>
            <w:tcW w:w="245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color w:val="000000"/>
                <w:sz w:val="18"/>
                <w:szCs w:val="18"/>
              </w:rPr>
            </w:pPr>
            <w:r>
              <w:rPr>
                <w:rFonts w:eastAsia="Arial" w:cs="Arial" w:ascii="Arial" w:hAnsi="Arial"/>
                <w:b/>
                <w:bCs w:val="false"/>
                <w:color w:val="000000"/>
                <w:sz w:val="18"/>
                <w:szCs w:val="18"/>
              </w:rPr>
              <w:t>Active Adrenal Androgen:</w:t>
            </w:r>
            <w:r>
              <w:rPr>
                <w:rFonts w:eastAsia="Arial" w:cs="Arial" w:ascii="Arial" w:hAnsi="Arial"/>
                <w:b w:val="false"/>
                <w:bCs w:val="false"/>
                <w:caps w:val="false"/>
                <w:smallCaps w:val="false"/>
                <w:color w:val="000000"/>
                <w:spacing w:val="0"/>
                <w:sz w:val="18"/>
                <w:szCs w:val="18"/>
              </w:rPr>
              <w:t xml:space="preserve"> </w:t>
            </w:r>
            <w:r>
              <w:rPr>
                <w:rFonts w:eastAsia="Arial" w:cs="Arial" w:ascii="Arial" w:hAnsi="Arial"/>
                <w:b w:val="false"/>
                <w:bCs w:val="false"/>
                <w:i w:val="false"/>
                <w:caps w:val="false"/>
                <w:smallCaps w:val="false"/>
                <w:color w:val="000000"/>
                <w:spacing w:val="0"/>
                <w:sz w:val="23"/>
                <w:szCs w:val="18"/>
              </w:rPr>
              <w:t>Circulates at high concentrations, serving as a major precursor and direct active ligand.</w:t>
            </w:r>
          </w:p>
        </w:tc>
        <w:tc>
          <w:tcPr>
            <w:tcW w:w="3542"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r>
          </w:p>
        </w:tc>
      </w:tr>
      <w:tr>
        <w:trPr/>
        <w:tc>
          <w:tcPr>
            <w:tcW w:w="1532"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bCs w:val="false"/>
                <w:color w:val="000000"/>
                <w:sz w:val="18"/>
                <w:szCs w:val="18"/>
              </w:rPr>
            </w:pPr>
            <w:r>
              <w:rPr>
                <w:rFonts w:eastAsia="Arial" w:cs="Arial" w:ascii="Arial" w:hAnsi="Arial"/>
                <w:b/>
                <w:bCs w:val="false"/>
                <w:color w:val="000000"/>
                <w:sz w:val="18"/>
                <w:szCs w:val="18"/>
              </w:rPr>
              <w:t>Humans (Prepubertal)</w:t>
            </w:r>
          </w:p>
        </w:tc>
        <w:tc>
          <w:tcPr>
            <w:tcW w:w="1867"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i w:val="false"/>
                <w:caps w:val="false"/>
                <w:smallCaps w:val="false"/>
                <w:color w:val="000000"/>
                <w:sz w:val="18"/>
                <w:szCs w:val="18"/>
              </w:rPr>
            </w:pPr>
            <w:r>
              <w:rPr>
                <w:rFonts w:eastAsia="Arial" w:cs="Arial" w:ascii="Arial" w:hAnsi="Arial"/>
                <w:b w:val="false"/>
                <w:bCs w:val="false"/>
                <w:i w:val="false"/>
                <w:caps w:val="false"/>
                <w:smallCaps w:val="false"/>
                <w:color w:val="000000"/>
                <w:sz w:val="18"/>
                <w:szCs w:val="18"/>
              </w:rPr>
              <w:t>Human Children (ages 1–7)</w:t>
            </w:r>
          </w:p>
        </w:tc>
        <w:tc>
          <w:tcPr>
            <w:tcW w:w="245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color w:val="000000"/>
                <w:sz w:val="18"/>
                <w:szCs w:val="18"/>
              </w:rPr>
            </w:pPr>
            <w:r>
              <w:rPr>
                <w:rFonts w:eastAsia="Arial" w:cs="Arial" w:ascii="Arial" w:hAnsi="Arial"/>
                <w:b/>
                <w:bCs w:val="false"/>
                <w:color w:val="000000"/>
                <w:sz w:val="18"/>
                <w:szCs w:val="18"/>
              </w:rPr>
              <w:t>Dominant Active Androgen:</w:t>
            </w:r>
            <w:r>
              <w:rPr>
                <w:rFonts w:eastAsia="Arial" w:cs="Arial" w:ascii="Arial" w:hAnsi="Arial"/>
                <w:b w:val="false"/>
                <w:bCs w:val="false"/>
                <w:caps w:val="false"/>
                <w:smallCaps w:val="false"/>
                <w:color w:val="000000"/>
                <w:spacing w:val="0"/>
                <w:sz w:val="18"/>
                <w:szCs w:val="18"/>
              </w:rPr>
              <w:t xml:space="preserve"> </w:t>
            </w:r>
            <w:r>
              <w:rPr>
                <w:rFonts w:eastAsia="Arial" w:cs="Arial" w:ascii="Arial" w:hAnsi="Arial"/>
                <w:b w:val="false"/>
                <w:bCs w:val="false"/>
                <w:i w:val="false"/>
                <w:caps w:val="false"/>
                <w:smallCaps w:val="false"/>
                <w:color w:val="000000"/>
                <w:spacing w:val="0"/>
                <w:sz w:val="23"/>
                <w:szCs w:val="18"/>
              </w:rPr>
              <w:t>Circulates as the primary bioactive androgen during normal and premature adrenarche before the activation of the gonads.</w:t>
            </w:r>
          </w:p>
        </w:tc>
        <w:tc>
          <w:tcPr>
            <w:tcW w:w="3542"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r>
          </w:p>
        </w:tc>
      </w:tr>
      <w:tr>
        <w:trPr/>
        <w:tc>
          <w:tcPr>
            <w:tcW w:w="1532"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bCs w:val="false"/>
                <w:color w:val="000000"/>
                <w:sz w:val="18"/>
                <w:szCs w:val="18"/>
              </w:rPr>
            </w:pPr>
            <w:r>
              <w:rPr>
                <w:rFonts w:eastAsia="Arial" w:cs="Arial" w:ascii="Arial" w:hAnsi="Arial"/>
                <w:b/>
                <w:bCs w:val="false"/>
                <w:color w:val="000000"/>
                <w:sz w:val="18"/>
                <w:szCs w:val="18"/>
              </w:rPr>
            </w:r>
          </w:p>
        </w:tc>
        <w:tc>
          <w:tcPr>
            <w:tcW w:w="1867"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r>
          </w:p>
        </w:tc>
        <w:tc>
          <w:tcPr>
            <w:tcW w:w="245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r>
          </w:p>
        </w:tc>
        <w:tc>
          <w:tcPr>
            <w:tcW w:w="3542"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r>
          </w:p>
        </w:tc>
      </w:tr>
    </w:tbl>
    <w:p>
      <w:pPr>
        <w:pStyle w:val="BodyText"/>
        <w:spacing w:lineRule="auto" w:line="273" w:before="0" w:after="140"/>
        <w:ind w:hanging="0" w:left="0" w:right="0"/>
        <w:rPr>
          <w:rFonts w:ascii="Arial" w:hAnsi="Arial"/>
        </w:rPr>
      </w:pPr>
      <w:r>
        <w:rPr>
          <w:rFonts w:ascii="Arial" w:hAnsi="Arial"/>
        </w:rPr>
        <w:t>.</w:t>
      </w:r>
      <w:r>
        <w:br w:type="page"/>
      </w:r>
    </w:p>
    <w:p>
      <w:pPr>
        <w:pStyle w:val="Heading1"/>
        <w:spacing w:before="360" w:after="200"/>
        <w:rPr>
          <w:rFonts w:ascii="Arial" w:hAnsi="Arial"/>
          <w:b/>
          <w:bCs/>
        </w:rPr>
      </w:pPr>
      <w:r>
        <w:rPr>
          <w:b/>
          <w:bCs/>
        </w:rPr>
        <w:t>Section 3: Blood Type — Rh System + H Antigen</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[1][2][3][9][10][12][14][15][17][28][29][30][31][32]</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3.1 Clinical Context</w:t>
      </w:r>
    </w:p>
    <w:p>
      <w:pPr>
        <w:pStyle w:val="Normal"/>
        <w:spacing w:before="0" w:after="100"/>
        <w:rPr>
          <w:rFonts w:ascii="Arial" w:hAnsi="Arial" w:eastAsia="Arial" w:cs="Arial"/>
          <w:sz w:val="22"/>
          <w:szCs w:val="22"/>
        </w:rPr>
      </w:pPr>
      <w:r>
        <w:rPr>
          <w:rFonts w:eastAsia="Arial" w:cs="Arial" w:ascii="Arial" w:hAnsi="Arial"/>
          <w:sz w:val="22"/>
          <w:szCs w:val="22"/>
        </w:rPr>
        <w:t>Maternal blood type: AB. Individual tests as: O-negative. Under standard ABO inheritance, an AB parent cannot produce a group O child. This is the Bombay paradox — if the H antigen (the foundation all ABO antigens are built on) is absent, the individual types as O regardless of their actual ABO genotype because the test has nothing to bind to [31].</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3.2 FUT1 + FUT2 — H Antigen</w:t>
      </w:r>
    </w:p>
    <w:p>
      <w:pPr>
        <w:pStyle w:val="Normal"/>
        <w:spacing w:before="0" w:after="60"/>
        <w:rPr>
          <w:rFonts w:ascii="Arial" w:hAnsi="Arial"/>
        </w:rPr>
      </w:pPr>
      <w:r>
        <w:rPr>
          <w:rFonts w:eastAsia="Arial" w:cs="Arial" w:ascii="Arial" w:hAnsi="Arial"/>
          <w:b/>
          <w:bCs/>
          <w:sz w:val="22"/>
          <w:szCs w:val="22"/>
        </w:rPr>
        <w:t xml:space="preserve">FUT1 (H enzyme on red cells) — WGS GRCh38 [14][15]: </w:t>
      </w:r>
      <w:r>
        <w:rPr>
          <w:rFonts w:eastAsia="Arial" w:cs="Arial" w:ascii="Arial" w:hAnsi="Arial"/>
          <w:sz w:val="22"/>
          <w:szCs w:val="22"/>
        </w:rPr>
        <w:t>15 variants, 0 homozygous. AncestryDNA: insufficient coverage to call.</w:t>
      </w:r>
    </w:p>
    <w:p>
      <w:pPr>
        <w:pStyle w:val="Normal"/>
        <w:spacing w:before="0" w:after="60"/>
        <w:rPr>
          <w:rFonts w:ascii="Arial" w:hAnsi="Arial"/>
        </w:rPr>
      </w:pPr>
      <w:r>
        <w:rPr>
          <w:rFonts w:eastAsia="Arial" w:cs="Arial" w:ascii="Arial" w:hAnsi="Arial"/>
          <w:b/>
          <w:bCs/>
          <w:sz w:val="22"/>
          <w:szCs w:val="22"/>
        </w:rPr>
        <w:t xml:space="preserve">FUT2 (Secretor enzyme) — WGS GRCh37 [9][10]: </w:t>
      </w:r>
      <w:r>
        <w:rPr>
          <w:rFonts w:eastAsia="Arial" w:cs="Arial" w:ascii="Arial" w:hAnsi="Arial"/>
          <w:sz w:val="22"/>
          <w:szCs w:val="22"/>
        </w:rPr>
        <w:t>14 variants, 3 homozygous.</w:t>
      </w:r>
    </w:p>
    <w:p>
      <w:pPr>
        <w:pStyle w:val="Normal"/>
        <w:spacing w:before="0" w:after="60"/>
        <w:rPr>
          <w:rFonts w:ascii="Arial" w:hAnsi="Arial"/>
        </w:rPr>
      </w:pPr>
      <w:r>
        <w:rPr>
          <w:rFonts w:eastAsia="Arial" w:cs="Arial" w:ascii="Arial" w:hAnsi="Arial"/>
          <w:b/>
          <w:bCs/>
          <w:sz w:val="22"/>
          <w:szCs w:val="22"/>
        </w:rPr>
        <w:t xml:space="preserve">FUT2 — AncestryDNA [3]: </w:t>
      </w:r>
      <w:r>
        <w:rPr>
          <w:rFonts w:eastAsia="Arial" w:cs="Arial" w:ascii="Arial" w:hAnsi="Arial"/>
          <w:sz w:val="22"/>
          <w:szCs w:val="22"/>
        </w:rPr>
        <w:t>rs601338 A/G heterozygous (nonsecretor allele) + rs602662 A/G heterozygous. PLUS stop_gained in EXCEPTIONAL tier, score 305 — the gene is truncated.</w:t>
      </w:r>
    </w:p>
    <w:p>
      <w:pPr>
        <w:pStyle w:val="Normal"/>
        <w:spacing w:before="0" w:after="100"/>
        <w:rPr>
          <w:rFonts w:ascii="Arial" w:hAnsi="Arial" w:eastAsia="Arial" w:cs="Arial"/>
          <w:sz w:val="22"/>
          <w:szCs w:val="22"/>
        </w:rPr>
      </w:pPr>
      <w:r>
        <w:rPr>
          <w:rFonts w:eastAsia="Arial" w:cs="Arial" w:ascii="Arial" w:hAnsi="Arial"/>
          <w:sz w:val="22"/>
          <w:szCs w:val="22"/>
        </w:rPr>
        <w:t>What FUT1 and FUT2 do: They build the H antigen. FUT1 builds it on red blood cells. FUT2 builds it in secretions (saliva, mucosa). The H antigen is the FOUNDATION of the ABO blood group system — A and B antigens are built ON TOP of H. If H is absent, there's nothing for A or B to attach to, and the blood types as O even if the genes for A or B are present [31].</w:t>
      </w:r>
    </w:p>
    <w:p>
      <w:pPr>
        <w:pStyle w:val="Normal"/>
        <w:spacing w:before="0" w:after="100"/>
        <w:rPr>
          <w:rFonts w:ascii="Arial" w:hAnsi="Arial" w:eastAsia="Arial" w:cs="Arial"/>
          <w:sz w:val="22"/>
          <w:szCs w:val="22"/>
        </w:rPr>
      </w:pPr>
      <w:r>
        <w:rPr>
          <w:rFonts w:eastAsia="Arial" w:cs="Arial" w:ascii="Arial" w:hAnsi="Arial"/>
          <w:sz w:val="22"/>
          <w:szCs w:val="22"/>
        </w:rPr>
        <w:t>If both FUT1 AND FUT2 are nonfunctional → classic Bombay phenotype (Oh). No H, no A, no B on cells or in secretions. Anti-H antibodies present. Can ONLY receive Bombay blood [31].</w:t>
      </w:r>
    </w:p>
    <w:p>
      <w:pPr>
        <w:pStyle w:val="Normal"/>
        <w:spacing w:before="0" w:after="100"/>
        <w:rPr>
          <w:rFonts w:ascii="Arial" w:hAnsi="Arial" w:eastAsia="Arial" w:cs="Arial"/>
          <w:sz w:val="22"/>
          <w:szCs w:val="22"/>
        </w:rPr>
      </w:pPr>
      <w:r>
        <w:rPr>
          <w:rFonts w:eastAsia="Arial" w:cs="Arial" w:ascii="Arial" w:hAnsi="Arial"/>
          <w:sz w:val="22"/>
          <w:szCs w:val="22"/>
        </w:rPr>
        <w:t>If FUT1 deficient but FUT2 functional → para-Bombay. Weak/absent red cell H but H present in saliva.</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The genes that build the foundation of blood type testing are modified. FUT2 has a gene-destroying variant (stop_gained) scored at 305 — the highest-scoring single variant in the entire AncestryDNA exceptional tier [3]. FUT1 has 15 WGS variants the microarray couldn't see. If these modifications mean the H antigen isn't built properly, standard blood typing gives the wrong answer. The test says O-negative. The DNA says the surface of red blood cells may not have the molecules the test assumes are there.</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3.3 Rh System</w:t>
      </w:r>
    </w:p>
    <w:tbl>
      <w:tblPr>
        <w:tblW w:w="8300" w:type="dxa"/>
        <w:jc w:val="left"/>
        <w:tblInd w:w="0" w:type="dxa"/>
        <w:tblLayout w:type="fixed"/>
        <w:tblCellMar>
          <w:top w:w="60" w:type="dxa"/>
          <w:left w:w="100" w:type="dxa"/>
          <w:bottom w:w="60" w:type="dxa"/>
          <w:right w:w="100" w:type="dxa"/>
        </w:tblCellMar>
      </w:tblPr>
      <w:tblGrid>
        <w:gridCol w:w="1200"/>
        <w:gridCol w:w="1200"/>
        <w:gridCol w:w="1199"/>
        <w:gridCol w:w="1200"/>
        <w:gridCol w:w="1201"/>
        <w:gridCol w:w="2300"/>
      </w:tblGrid>
      <w:tr>
        <w:trPr/>
        <w:tc>
          <w:tcPr>
            <w:tcW w:w="12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Gene</w:t>
            </w:r>
          </w:p>
        </w:tc>
        <w:tc>
          <w:tcPr>
            <w:tcW w:w="12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WGS G37</w:t>
            </w:r>
          </w:p>
        </w:tc>
        <w:tc>
          <w:tcPr>
            <w:tcW w:w="11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WGS G38</w:t>
            </w:r>
          </w:p>
        </w:tc>
        <w:tc>
          <w:tcPr>
            <w:tcW w:w="12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Ancestry</w:t>
            </w:r>
          </w:p>
        </w:tc>
        <w:tc>
          <w:tcPr>
            <w:tcW w:w="12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Hom</w:t>
            </w:r>
          </w:p>
        </w:tc>
        <w:tc>
          <w:tcPr>
            <w:tcW w:w="23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What the microarray missed</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RHD</w:t>
            </w:r>
          </w:p>
        </w:tc>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8</w:t>
            </w:r>
          </w:p>
        </w:tc>
        <w:tc>
          <w:tcPr>
            <w:tcW w:w="11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4</w:t>
            </w:r>
          </w:p>
        </w:tc>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0</w:t>
            </w:r>
          </w:p>
        </w:tc>
        <w:tc>
          <w:tcPr>
            <w:tcW w:w="12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w:t>
            </w:r>
          </w:p>
        </w:tc>
        <w:tc>
          <w:tcPr>
            <w:tcW w:w="2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ZERO in AncestryDNA. Completely invisible to the microarray.</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RHCE</w:t>
            </w:r>
          </w:p>
        </w:tc>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7</w:t>
            </w:r>
          </w:p>
        </w:tc>
        <w:tc>
          <w:tcPr>
            <w:tcW w:w="11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t>
            </w:r>
          </w:p>
        </w:tc>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w:t>
            </w:r>
          </w:p>
        </w:tc>
        <w:tc>
          <w:tcPr>
            <w:tcW w:w="12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w:t>
            </w:r>
          </w:p>
        </w:tc>
        <w:tc>
          <w:tcPr>
            <w:tcW w:w="2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Nearly invisible. WGS found 3.5x more.</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RHAG</w:t>
            </w:r>
          </w:p>
        </w:tc>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8</w:t>
            </w:r>
          </w:p>
        </w:tc>
        <w:tc>
          <w:tcPr>
            <w:tcW w:w="11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4</w:t>
            </w:r>
          </w:p>
        </w:tc>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D/D cluster</w:t>
            </w:r>
          </w:p>
        </w:tc>
        <w:tc>
          <w:tcPr>
            <w:tcW w:w="12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w:t>
            </w:r>
          </w:p>
        </w:tc>
        <w:tc>
          <w:tcPr>
            <w:tcW w:w="2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rPr>
            </w:pPr>
            <w:r>
              <w:rPr>
                <w:rFonts w:eastAsia="Arial" w:cs="Arial" w:ascii="Arial" w:hAnsi="Arial"/>
                <w:b w:val="false"/>
                <w:bCs w:val="false"/>
                <w:sz w:val="18"/>
                <w:szCs w:val="18"/>
              </w:rPr>
              <w:t>Ancestry found deletion inside ClinVar probe cluster. WGS found 12 variants.</w:t>
            </w:r>
          </w:p>
        </w:tc>
      </w:tr>
    </w:tbl>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What RHD, RHCE, RHAG do: RHD makes the D antigen (the 'positive' or 'negative' in Rh-positive/Rh-negative). RHCE makes the C, c, E, e antigens. RHAG is the scaffold protein that anchors ALL Rh proteins on the red cell surface. If RHAG is nonfunctional, NO Rh antigens are expressed — this is Rh-null (Golden Blood) [29][30][32]. Fewer than 50 people globally have been confirmed Rh-null.</w:t>
      </w:r>
    </w:p>
    <w:p>
      <w:pPr>
        <w:pStyle w:val="Normal"/>
        <w:spacing w:before="0" w:after="100"/>
        <w:rPr>
          <w:rFonts w:ascii="Arial" w:hAnsi="Arial" w:eastAsia="Arial" w:cs="Arial"/>
          <w:sz w:val="22"/>
          <w:szCs w:val="22"/>
        </w:rPr>
      </w:pPr>
      <w:r>
        <w:rPr>
          <w:rFonts w:eastAsia="Arial" w:cs="Arial" w:ascii="Arial" w:hAnsi="Arial"/>
          <w:sz w:val="22"/>
          <w:szCs w:val="22"/>
        </w:rPr>
        <w:t>32 combined Rh variants across all three genes. The microarray was blind to RHD entirely and nearly blind to RHCE. Only WGS revealed the full scope.</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Three genes put Rh markers on red blood cells. The microarray couldn't see one of them at all and barely saw another. The whole genome sequencing found 32 variants across all three. Combined with the H antigen findings — the surface of these red blood cells may present differently across every marker standard blood typing measures. This is a transfusion safety finding. If this blood is not what standard testing says it is, receiving incompatible blood in an emergency could cause a hemolytic transfusion reaction.</w:t>
      </w:r>
      <w:r>
        <w:br w:type="page"/>
      </w:r>
    </w:p>
    <w:p>
      <w:pPr>
        <w:pStyle w:val="Heading1"/>
        <w:spacing w:before="360" w:after="200"/>
        <w:rPr>
          <w:rFonts w:ascii="Arial" w:hAnsi="Arial"/>
          <w:b/>
          <w:bCs/>
        </w:rPr>
      </w:pPr>
      <w:r>
        <w:rPr>
          <w:b/>
          <w:bCs/>
        </w:rPr>
        <w:t>Section 4: Pigmentation — Heterochromia, Two Dominant Eye Color Genes</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[1][9][10][12][14][15][38][39][44][45][46][47]</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4.1 Heterochromia — Two Dominant Eye Color Genes, Two Potential Cell Populations</w:t>
      </w:r>
    </w:p>
    <w:p>
      <w:pPr>
        <w:pStyle w:val="Normal"/>
        <w:spacing w:before="0" w:after="100"/>
        <w:rPr>
          <w:rFonts w:ascii="Arial" w:hAnsi="Arial" w:eastAsia="Arial" w:cs="Arial"/>
          <w:sz w:val="22"/>
          <w:szCs w:val="22"/>
        </w:rPr>
      </w:pPr>
      <w:r>
        <w:rPr>
          <w:rFonts w:eastAsia="Arial" w:cs="Arial" w:ascii="Arial" w:hAnsi="Arial"/>
          <w:sz w:val="22"/>
          <w:szCs w:val="22"/>
        </w:rPr>
        <w:t>Heterochromia (two different colored eyes, or sections of different color within one iris) occurs when pigmentation genes are expressed differently in each iris. The two dominant eye color genes in this data are HERC2 and OCA2. Both are modified. Their interaction determines iris melanin production.</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HERC2 — The Master Eye Color Switch</w:t>
      </w:r>
    </w:p>
    <w:p>
      <w:pPr>
        <w:pStyle w:val="Normal"/>
        <w:spacing w:before="0" w:after="60"/>
        <w:rPr>
          <w:rFonts w:ascii="Arial" w:hAnsi="Arial"/>
        </w:rPr>
      </w:pPr>
      <w:r>
        <w:rPr>
          <w:rFonts w:eastAsia="Arial" w:cs="Arial" w:ascii="Arial" w:hAnsi="Arial"/>
          <w:b/>
          <w:bCs/>
          <w:sz w:val="22"/>
          <w:szCs w:val="22"/>
        </w:rPr>
        <w:t xml:space="preserve">WGS GRCh37 [10]: </w:t>
      </w:r>
      <w:r>
        <w:rPr>
          <w:rFonts w:eastAsia="Arial" w:cs="Arial" w:ascii="Arial" w:hAnsi="Arial"/>
          <w:sz w:val="22"/>
          <w:szCs w:val="22"/>
        </w:rPr>
        <w:t>78 variants total</w:t>
      </w:r>
    </w:p>
    <w:p>
      <w:pPr>
        <w:pStyle w:val="Normal"/>
        <w:spacing w:before="0" w:after="60"/>
        <w:rPr>
          <w:rFonts w:ascii="Arial" w:hAnsi="Arial"/>
        </w:rPr>
      </w:pPr>
      <w:r>
        <w:rPr>
          <w:rFonts w:eastAsia="Arial" w:cs="Arial" w:ascii="Arial" w:hAnsi="Arial"/>
          <w:b/>
          <w:bCs/>
          <w:sz w:val="22"/>
          <w:szCs w:val="22"/>
        </w:rPr>
        <w:t xml:space="preserve">Homozygous (both copies same): </w:t>
      </w:r>
      <w:r>
        <w:rPr>
          <w:rFonts w:eastAsia="Arial" w:cs="Arial" w:ascii="Arial" w:hAnsi="Arial"/>
          <w:sz w:val="22"/>
          <w:szCs w:val="22"/>
        </w:rPr>
        <w:t>34 positions</w:t>
      </w:r>
    </w:p>
    <w:p>
      <w:pPr>
        <w:pStyle w:val="Normal"/>
        <w:spacing w:before="0" w:after="60"/>
        <w:rPr>
          <w:rFonts w:ascii="Arial" w:hAnsi="Arial"/>
        </w:rPr>
      </w:pPr>
      <w:r>
        <w:rPr>
          <w:rFonts w:eastAsia="Arial" w:cs="Arial" w:ascii="Arial" w:hAnsi="Arial"/>
          <w:b/>
          <w:bCs/>
          <w:sz w:val="22"/>
          <w:szCs w:val="22"/>
        </w:rPr>
        <w:t xml:space="preserve">Heterozygous (two different alleles): </w:t>
      </w:r>
      <w:r>
        <w:rPr>
          <w:rFonts w:eastAsia="Arial" w:cs="Arial" w:ascii="Arial" w:hAnsi="Arial"/>
          <w:sz w:val="22"/>
          <w:szCs w:val="22"/>
        </w:rPr>
        <w:t>44 positions</w:t>
      </w:r>
    </w:p>
    <w:p>
      <w:pPr>
        <w:pStyle w:val="Normal"/>
        <w:spacing w:before="0" w:after="100"/>
        <w:rPr>
          <w:rFonts w:ascii="Arial" w:hAnsi="Arial" w:eastAsia="Arial" w:cs="Arial"/>
          <w:sz w:val="22"/>
          <w:szCs w:val="22"/>
        </w:rPr>
      </w:pPr>
      <w:r>
        <w:rPr>
          <w:rFonts w:eastAsia="Arial" w:cs="Arial" w:ascii="Arial" w:hAnsi="Arial"/>
          <w:sz w:val="22"/>
          <w:szCs w:val="22"/>
        </w:rPr>
        <w:t>This split matters. At the 34 homozygous positions, every cell in the body carries the same two copies — these are fixed. At the 44 heterozygous positions, each cell carries TWO DIFFERENT alleles. Which allele a cell uses depends on which copy of chromosome 15 is active in that cell.</w:t>
      </w:r>
    </w:p>
    <w:p>
      <w:pPr>
        <w:pStyle w:val="Normal"/>
        <w:spacing w:before="0" w:after="100"/>
        <w:rPr>
          <w:rFonts w:ascii="Arial" w:hAnsi="Arial" w:eastAsia="Arial" w:cs="Arial"/>
          <w:sz w:val="22"/>
          <w:szCs w:val="22"/>
        </w:rPr>
      </w:pPr>
      <w:r>
        <w:rPr>
          <w:rFonts w:eastAsia="Arial" w:cs="Arial" w:ascii="Arial" w:hAnsi="Arial"/>
          <w:sz w:val="22"/>
          <w:szCs w:val="22"/>
        </w:rPr>
        <w:t>HERC2 intron 86 contains the enhancer that drives OCA2 transcription in iris melanocytes [44][45]. The derived allele at rs12913832 reduces OCA2 expression and produces blue/light eyes. The ancestral allele permits full OCA2 expression and produces brown/dark eyes. If different cells in the iris express different HERC2 alleles at the heterozygous positions — one cell activates OCA2 fully (dark pigment), another cell does not (light pigment) — the result is visible heterochromia.</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OCA2 — The Melanin Producer</w:t>
      </w:r>
    </w:p>
    <w:p>
      <w:pPr>
        <w:pStyle w:val="Normal"/>
        <w:spacing w:before="0" w:after="60"/>
        <w:rPr>
          <w:rFonts w:ascii="Arial" w:hAnsi="Arial"/>
        </w:rPr>
      </w:pPr>
      <w:r>
        <w:rPr>
          <w:rFonts w:eastAsia="Arial" w:cs="Arial" w:ascii="Arial" w:hAnsi="Arial"/>
          <w:b/>
          <w:bCs/>
          <w:sz w:val="22"/>
          <w:szCs w:val="22"/>
        </w:rPr>
        <w:t xml:space="preserve">WGS GRCh37 [10]: </w:t>
      </w:r>
      <w:r>
        <w:rPr>
          <w:rFonts w:eastAsia="Arial" w:cs="Arial" w:ascii="Arial" w:hAnsi="Arial"/>
          <w:sz w:val="22"/>
          <w:szCs w:val="22"/>
        </w:rPr>
        <w:t>2 variants</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Chr15:28231793  T→C  GT:1/1  splice_region_variant  Score:35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Chr15:28267693  T→A  GT:0/1  missense_variant       Score:35  [10]</w:t>
      </w:r>
    </w:p>
    <w:p>
      <w:pPr>
        <w:pStyle w:val="Normal"/>
        <w:spacing w:before="0" w:after="100"/>
        <w:rPr>
          <w:rFonts w:ascii="Arial" w:hAnsi="Arial" w:eastAsia="Arial" w:cs="Arial"/>
          <w:sz w:val="22"/>
          <w:szCs w:val="22"/>
        </w:rPr>
      </w:pPr>
      <w:r>
        <w:rPr>
          <w:rFonts w:eastAsia="Arial" w:cs="Arial" w:ascii="Arial" w:hAnsi="Arial"/>
          <w:sz w:val="22"/>
          <w:szCs w:val="22"/>
        </w:rPr>
        <w:t>The splice_region_variant at 28231793 is HOMOZYGOUS — both copies of OCA2 have this change at the RNA editing boundary. This affects how the OCA2 message is processed before becoming protein. Fixed in all cells.</w:t>
      </w:r>
    </w:p>
    <w:p>
      <w:pPr>
        <w:pStyle w:val="Normal"/>
        <w:spacing w:before="0" w:after="100"/>
        <w:rPr>
          <w:rFonts w:ascii="Arial" w:hAnsi="Arial" w:eastAsia="Arial" w:cs="Arial"/>
          <w:sz w:val="22"/>
          <w:szCs w:val="22"/>
        </w:rPr>
      </w:pPr>
      <w:r>
        <w:rPr>
          <w:rFonts w:eastAsia="Arial" w:cs="Arial" w:ascii="Arial" w:hAnsi="Arial"/>
          <w:sz w:val="22"/>
          <w:szCs w:val="22"/>
        </w:rPr>
        <w:t>The missense_variant at 28267693 is HETEROZYGOUS — one copy has the reference amino acid, one copy has a different amino acid. This physically changes the OCA2 protein on one copy but not the other. Cells that use the reference copy make standard OCA2 protein. Cells that use the variant copy make a structurally different OCA2 protein.</w:t>
      </w:r>
    </w:p>
    <w:p>
      <w:pPr>
        <w:pStyle w:val="Normal"/>
        <w:spacing w:before="0" w:after="100"/>
        <w:rPr>
          <w:rFonts w:ascii="Arial" w:hAnsi="Arial"/>
        </w:rPr>
      </w:pPr>
      <w:r>
        <w:rPr>
          <w:rFonts w:ascii="Arial" w:hAnsi="Arial"/>
        </w:rPr>
      </w:r>
    </w:p>
    <w:p>
      <w:pPr>
        <w:pStyle w:val="Heading3"/>
        <w:spacing w:before="200" w:after="120"/>
        <w:rPr>
          <w:rFonts w:ascii="Arial" w:hAnsi="Arial"/>
        </w:rPr>
      </w:pPr>
      <w:r>
        <w:rPr>
          <w:b/>
          <w:bCs/>
        </w:rPr>
        <w:t>The Heterochromia Mechanism</w:t>
      </w:r>
    </w:p>
    <w:p>
      <w:pPr>
        <w:pStyle w:val="Normal"/>
        <w:spacing w:before="0" w:after="100"/>
        <w:rPr>
          <w:rFonts w:ascii="Arial" w:hAnsi="Arial" w:eastAsia="Arial" w:cs="Arial"/>
          <w:sz w:val="22"/>
          <w:szCs w:val="22"/>
        </w:rPr>
      </w:pPr>
      <w:r>
        <w:rPr>
          <w:rFonts w:eastAsia="Arial" w:cs="Arial" w:ascii="Arial" w:hAnsi="Arial"/>
          <w:sz w:val="22"/>
          <w:szCs w:val="22"/>
        </w:rPr>
        <w:t>HERC2 controls how much OCA2 is expressed. OCA2 makes melanin. The data shows:</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HERC2: 34 positions fixed (homozygous) + 44 positions with two different alleles (heterozygous)</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OCA2: 1 position fixed (splice_region, both copies) + 1 position with two different protein versions (missense, heterozygous)</w:t>
      </w:r>
    </w:p>
    <w:p>
      <w:pPr>
        <w:pStyle w:val="Normal"/>
        <w:spacing w:before="0" w:after="100"/>
        <w:rPr>
          <w:rFonts w:ascii="Arial" w:hAnsi="Arial" w:eastAsia="Arial" w:cs="Arial"/>
          <w:sz w:val="22"/>
          <w:szCs w:val="22"/>
        </w:rPr>
      </w:pPr>
      <w:r>
        <w:rPr>
          <w:rFonts w:eastAsia="Arial" w:cs="Arial" w:ascii="Arial" w:hAnsi="Arial"/>
          <w:sz w:val="22"/>
          <w:szCs w:val="22"/>
        </w:rPr>
        <w:t>In a standard individual (single genome), heterozygous positions in HERC2/OCA2 produce an averaged intermediate phenotype — hazel eyes, for example. But in a chimeric individual with two cell populations [1][38][39], the two populations can carry DIFFERENT genotypes entirely. Population A expresses one set of HERC2/OCA2 alleles → one iris color. Population B expresses a different set → different iris color. The chimerism indicators in this data (520 X variants, 179 Y variants, 3 het X + 5 het Y from AncestryDNA [1]) provide the mechanism for two cell populations to exist.</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Two genes control eye color — HERC2 (the switch that determines how much melanin the iris makes) and OCA2 (the gene that actually makes melanin). HERC2 has 34 positions locked the same on both copies and 44 positions where each copy is different. OCA2 has a physical change in the protein on one copy but not the other. If two cell populations exist (chimerism), one population uses one set of instructions and the other uses a different set. One iris gets one set. The other iris gets the other set. Two different colored eyes.</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4.2 ASIP — Light/Dark Switch</w:t>
      </w:r>
    </w:p>
    <w:p>
      <w:pPr>
        <w:pStyle w:val="Normal"/>
        <w:spacing w:before="0" w:after="60"/>
        <w:rPr>
          <w:rFonts w:ascii="Arial" w:hAnsi="Arial"/>
        </w:rPr>
      </w:pPr>
      <w:r>
        <w:rPr>
          <w:rFonts w:eastAsia="Arial" w:cs="Arial" w:ascii="Arial" w:hAnsi="Arial"/>
          <w:b/>
          <w:bCs/>
          <w:sz w:val="22"/>
          <w:szCs w:val="22"/>
        </w:rPr>
        <w:t xml:space="preserve">WGS GRCh37 [10]: </w:t>
      </w:r>
      <w:r>
        <w:rPr>
          <w:rFonts w:eastAsia="Arial" w:cs="Arial" w:ascii="Arial" w:hAnsi="Arial"/>
          <w:sz w:val="22"/>
          <w:szCs w:val="22"/>
        </w:rPr>
        <w:t>5 variants, ALL 5 HOMOZYGOUS</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Chr20:34259749  GT:1/1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Chr20:34266458  GT:1/1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Chr20:34267989  GT:1/1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Chr20:34269192  GT:1/1  3_prime_UTR_variant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Chr20:34272540  GT:1/1  [10]</w:t>
      </w:r>
    </w:p>
    <w:p>
      <w:pPr>
        <w:pStyle w:val="Normal"/>
        <w:spacing w:before="0" w:after="100"/>
        <w:rPr>
          <w:rFonts w:ascii="Arial" w:hAnsi="Arial" w:eastAsia="Arial" w:cs="Arial"/>
          <w:sz w:val="22"/>
          <w:szCs w:val="22"/>
        </w:rPr>
      </w:pPr>
      <w:r>
        <w:rPr>
          <w:rFonts w:eastAsia="Arial" w:cs="Arial" w:ascii="Arial" w:hAnsi="Arial"/>
          <w:sz w:val="22"/>
          <w:szCs w:val="22"/>
        </w:rPr>
        <w:t>ASIP (agouti signaling peptide) antagonizes MC1R on melanocytes. When ASIP is active, melanocytes switch from producing eumelanin (dark brown/black pigment) to pheomelanin (yellow/red pigment). ASIP is the toggle between dark and light across the entire body — skin, hair, eyes. In mice, agouti mutations produce the classic yellow/brown coat color variants. In horses, agouti determines bay vs black. In dogs, it creates the sable/fawn patterns.</w:t>
      </w:r>
    </w:p>
    <w:p>
      <w:pPr>
        <w:pStyle w:val="Normal"/>
        <w:spacing w:before="0" w:after="100"/>
        <w:rPr>
          <w:rFonts w:ascii="Arial" w:hAnsi="Arial" w:eastAsia="Arial" w:cs="Arial"/>
          <w:sz w:val="22"/>
          <w:szCs w:val="22"/>
        </w:rPr>
      </w:pPr>
      <w:r>
        <w:rPr>
          <w:rFonts w:eastAsia="Arial" w:cs="Arial" w:ascii="Arial" w:hAnsi="Arial"/>
          <w:sz w:val="22"/>
          <w:szCs w:val="22"/>
        </w:rPr>
        <w:t>ALL 5 homozygous. The light/dark toggle is set on BOTH copies at every position found. This is fixed across all cells — no heterozygous variation. The instruction is the same in every cell: the ASIP signal is modified uniformly.</w:t>
      </w:r>
    </w:p>
    <w:p>
      <w:pPr>
        <w:pStyle w:val="Normal"/>
        <w:spacing w:before="0" w:after="100"/>
        <w:rPr>
          <w:rFonts w:ascii="Arial" w:hAnsi="Arial" w:eastAsia="Arial" w:cs="Arial"/>
          <w:sz w:val="22"/>
          <w:szCs w:val="22"/>
        </w:rPr>
      </w:pPr>
      <w:r>
        <w:rPr>
          <w:rFonts w:eastAsia="Arial" w:cs="Arial" w:ascii="Arial" w:hAnsi="Arial"/>
          <w:sz w:val="22"/>
          <w:szCs w:val="22"/>
        </w:rPr>
        <w:t>ASIP connects to heterochromia differently than HERC2/OCA2: ASIP is body-wide (affects all melanocytes), while HERC2/OCA2 heterozygosity allows LOCAL differences in individual irises. ASIP sets the baseline; HERC2/OCA2 heterozygosity creates the variation between left and right.</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ASIP is the master light/dark switch for the whole body. All 5 positions on both copies — the switch is fully set the same everywhere. But HERC2/OCA2 have positions where the two copies disagree, allowing local variation. The body-wide setting is uniform. The eye-specific setting has room for two different outcomes.</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4.3 TPCN2 — Hair Color</w:t>
      </w:r>
    </w:p>
    <w:p>
      <w:pPr>
        <w:pStyle w:val="Normal"/>
        <w:spacing w:before="0" w:after="60"/>
        <w:rPr>
          <w:rFonts w:ascii="Arial" w:hAnsi="Arial"/>
        </w:rPr>
      </w:pPr>
      <w:r>
        <w:rPr>
          <w:rFonts w:eastAsia="Arial" w:cs="Arial" w:ascii="Arial" w:hAnsi="Arial"/>
          <w:b/>
          <w:bCs/>
          <w:sz w:val="22"/>
          <w:szCs w:val="22"/>
        </w:rPr>
        <w:t xml:space="preserve">WGS GRCh37 [10]: </w:t>
      </w:r>
      <w:r>
        <w:rPr>
          <w:rFonts w:eastAsia="Arial" w:cs="Arial" w:ascii="Arial" w:hAnsi="Arial"/>
          <w:sz w:val="22"/>
          <w:szCs w:val="22"/>
        </w:rPr>
        <w:t>3 variants, 2 homozygous, 2 missense</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Chr11:68831364  GT:0/1  missense_variant          Score:45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Chr11:68834968  GT:1/1  splice_region_variant     Score:35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Chr11:68840160  GT:1/1  missense_variant          Score:50  [10]</w:t>
      </w:r>
    </w:p>
    <w:p>
      <w:pPr>
        <w:pStyle w:val="Normal"/>
        <w:spacing w:before="0" w:after="100"/>
        <w:rPr>
          <w:rFonts w:ascii="Arial" w:hAnsi="Arial" w:eastAsia="Arial" w:cs="Arial"/>
          <w:sz w:val="22"/>
          <w:szCs w:val="22"/>
        </w:rPr>
      </w:pPr>
      <w:r>
        <w:rPr>
          <w:rFonts w:eastAsia="Arial" w:cs="Arial" w:ascii="Arial" w:hAnsi="Arial"/>
          <w:sz w:val="22"/>
          <w:szCs w:val="22"/>
        </w:rPr>
        <w:t>TPCN2 determines blond vs brown hair. The specific missense variants Met484Leu and Gly734Glu were identified in a genome-wide study of 5,130 Icelanders as the determinants of blond hair [46]. TPCN2 protein transports calcium inside melanosomes — the organelles that produce melanin. This connects to the calcium signaling theme: RYR2 (133 variants, 78 hom) controls calcium at the cellular level, TPCN2 controls calcium INSIDE the pigment-producing machinery. Calcium dynamics are modified at both scales.</w:t>
      </w:r>
    </w:p>
    <w:p>
      <w:pPr>
        <w:pStyle w:val="Normal"/>
        <w:spacing w:before="0" w:after="100"/>
        <w:rPr>
          <w:rFonts w:ascii="Arial" w:hAnsi="Arial" w:eastAsia="Arial" w:cs="Arial"/>
          <w:sz w:val="22"/>
          <w:szCs w:val="22"/>
        </w:rPr>
      </w:pPr>
      <w:r>
        <w:rPr>
          <w:rFonts w:eastAsia="Arial" w:cs="Arial" w:ascii="Arial" w:hAnsi="Arial"/>
          <w:sz w:val="22"/>
          <w:szCs w:val="22"/>
        </w:rPr>
        <w:t>2 homozygous missense = the hair color protein is physically different at 2 amino acid positions on both copies. The protein that determines blond vs brown is structurally different.</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4.4 SLC45A2 — Skin/Eye Pigment Transport</w:t>
      </w:r>
    </w:p>
    <w:p>
      <w:pPr>
        <w:pStyle w:val="Normal"/>
        <w:spacing w:before="0" w:after="60"/>
        <w:rPr>
          <w:rFonts w:ascii="Arial" w:hAnsi="Arial"/>
        </w:rPr>
      </w:pPr>
      <w:r>
        <w:rPr>
          <w:rFonts w:eastAsia="Arial" w:cs="Arial" w:ascii="Arial" w:hAnsi="Arial"/>
          <w:b/>
          <w:bCs/>
          <w:sz w:val="22"/>
          <w:szCs w:val="22"/>
        </w:rPr>
        <w:t xml:space="preserve">WGS GRCh37 [10]: </w:t>
      </w:r>
      <w:r>
        <w:rPr>
          <w:rFonts w:eastAsia="Arial" w:cs="Arial" w:ascii="Arial" w:hAnsi="Arial"/>
          <w:sz w:val="22"/>
          <w:szCs w:val="22"/>
        </w:rPr>
        <w:t>1 variant, HOMOZYGOUS, MISSENSE</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Chr5:33951693  GT:1/1  missense_variant  Score:70  [10]</w:t>
      </w:r>
    </w:p>
    <w:p>
      <w:pPr>
        <w:pStyle w:val="Normal"/>
        <w:spacing w:before="0" w:after="100"/>
        <w:rPr>
          <w:rFonts w:ascii="Arial" w:hAnsi="Arial" w:eastAsia="Arial" w:cs="Arial"/>
          <w:sz w:val="22"/>
          <w:szCs w:val="22"/>
        </w:rPr>
      </w:pPr>
      <w:r>
        <w:rPr>
          <w:rFonts w:eastAsia="Arial" w:cs="Arial" w:ascii="Arial" w:hAnsi="Arial"/>
          <w:sz w:val="22"/>
          <w:szCs w:val="22"/>
        </w:rPr>
        <w:t>SLC45A2 encodes the MATP transporter that regulates melanosome pH and melanin synthesis. The L374F variant is associated with blond/red hair, pale skin, blue eyes, and freckles [47]. The E272K variant is associated with dark hair and olive skin. A homozygous missense on both copies changes the protein that transports melanin precursors into melanosomes.</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4.5 MC1R — Red Hair / Fair Skin Receptor</w:t>
      </w:r>
    </w:p>
    <w:p>
      <w:pPr>
        <w:pStyle w:val="Normal"/>
        <w:spacing w:before="0" w:after="60"/>
        <w:rPr>
          <w:rFonts w:ascii="Arial" w:hAnsi="Arial"/>
        </w:rPr>
      </w:pPr>
      <w:r>
        <w:rPr>
          <w:rFonts w:eastAsia="Arial" w:cs="Arial" w:ascii="Arial" w:hAnsi="Arial"/>
          <w:b/>
          <w:bCs/>
          <w:sz w:val="22"/>
          <w:szCs w:val="22"/>
        </w:rPr>
        <w:t xml:space="preserve">WGS GRCh37 [10]: </w:t>
      </w:r>
      <w:r>
        <w:rPr>
          <w:rFonts w:eastAsia="Arial" w:cs="Arial" w:ascii="Arial" w:hAnsi="Arial"/>
          <w:sz w:val="22"/>
          <w:szCs w:val="22"/>
        </w:rPr>
        <w:t>1 variant, heterozygous</w:t>
      </w:r>
    </w:p>
    <w:p>
      <w:pPr>
        <w:pStyle w:val="Normal"/>
        <w:spacing w:before="0" w:after="100"/>
        <w:rPr>
          <w:rFonts w:ascii="Arial" w:hAnsi="Arial" w:eastAsia="Arial" w:cs="Arial"/>
          <w:sz w:val="22"/>
          <w:szCs w:val="22"/>
        </w:rPr>
      </w:pPr>
      <w:r>
        <w:rPr>
          <w:rFonts w:eastAsia="Arial" w:cs="Arial" w:ascii="Arial" w:hAnsi="Arial"/>
          <w:sz w:val="22"/>
          <w:szCs w:val="22"/>
        </w:rPr>
        <w:t>MC1R receives the signal that ASIP modulates. When MC1R is active (no ASIP blocking it), melanocytes produce eumelanin (dark). When MC1R is blocked by ASIP or has loss-of-function variants, melanocytes produce pheomelanin (red/yellow). MC1R loss-of-function homozygous = red hair, fair skin, freckles. Heterozygous MC1R carriers often have intermediate pigmentation.</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4.6 Complete Pigmentation Architecture</w:t>
      </w:r>
    </w:p>
    <w:tbl>
      <w:tblPr>
        <w:tblW w:w="9400" w:type="dxa"/>
        <w:jc w:val="left"/>
        <w:tblInd w:w="0" w:type="dxa"/>
        <w:tblLayout w:type="fixed"/>
        <w:tblCellMar>
          <w:top w:w="60" w:type="dxa"/>
          <w:left w:w="100" w:type="dxa"/>
          <w:bottom w:w="60" w:type="dxa"/>
          <w:right w:w="100" w:type="dxa"/>
        </w:tblCellMar>
      </w:tblPr>
      <w:tblGrid>
        <w:gridCol w:w="1500"/>
        <w:gridCol w:w="800"/>
        <w:gridCol w:w="800"/>
        <w:gridCol w:w="800"/>
        <w:gridCol w:w="5500"/>
      </w:tblGrid>
      <w:tr>
        <w:trPr/>
        <w:tc>
          <w:tcPr>
            <w:tcW w:w="15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Gene</w:t>
            </w:r>
          </w:p>
        </w:tc>
        <w:tc>
          <w:tcPr>
            <w:tcW w:w="8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G37</w:t>
            </w:r>
          </w:p>
        </w:tc>
        <w:tc>
          <w:tcPr>
            <w:tcW w:w="8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G38</w:t>
            </w:r>
          </w:p>
        </w:tc>
        <w:tc>
          <w:tcPr>
            <w:tcW w:w="8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Hom</w:t>
            </w:r>
          </w:p>
        </w:tc>
        <w:tc>
          <w:tcPr>
            <w:tcW w:w="55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Role in pigmentation system</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HERC2</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78</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10</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34</w:t>
            </w:r>
          </w:p>
        </w:tc>
        <w:tc>
          <w:tcPr>
            <w:tcW w:w="5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Master switch — controls OCA2 expression → iris melanin. 34 fixed + 44 variable = heterochromia substrate.</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OCA2</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w:t>
            </w:r>
          </w:p>
        </w:tc>
        <w:tc>
          <w:tcPr>
            <w:tcW w:w="5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Melanin producer. 1 splice (fixed) + 1 missense (variable) = two protein versions in circulation.</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ASIP</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5</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3</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5 ALL</w:t>
            </w:r>
          </w:p>
        </w:tc>
        <w:tc>
          <w:tcPr>
            <w:tcW w:w="5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Body-wide light/dark toggle. Fully set on both copies. Uniform instruction.</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TPCN2</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3</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w:t>
            </w:r>
          </w:p>
        </w:tc>
        <w:tc>
          <w:tcPr>
            <w:tcW w:w="5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Hair color. 2 missense (blond/brown determinants). Calcium in melanosomes.</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SLC45A2</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w:t>
            </w:r>
          </w:p>
        </w:tc>
        <w:tc>
          <w:tcPr>
            <w:tcW w:w="5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Melanin transport. Homozygous missense. Transport protein physically different.</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MC1R</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0</w:t>
            </w:r>
          </w:p>
        </w:tc>
        <w:tc>
          <w:tcPr>
            <w:tcW w:w="5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Red/fair receptor. Heterozygous. One copy standard, one variant.</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KITLG</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0</w:t>
            </w:r>
          </w:p>
        </w:tc>
        <w:tc>
          <w:tcPr>
            <w:tcW w:w="5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Melanocyte development. How pigment cells get to where they need to be.</w:t>
            </w:r>
          </w:p>
        </w:tc>
      </w:tr>
    </w:tbl>
    <w:p>
      <w:pPr>
        <w:pStyle w:val="Normal"/>
        <w:spacing w:before="0" w:after="120"/>
        <w:rPr>
          <w:rFonts w:ascii="Arial" w:hAnsi="Arial" w:eastAsia="Arial" w:cs="Arial"/>
          <w:b/>
          <w:bCs/>
          <w:i/>
          <w:i/>
          <w:iCs/>
          <w:color w:val="7B2D26"/>
          <w:sz w:val="22"/>
          <w:szCs w:val="22"/>
        </w:rPr>
      </w:pPr>
      <w:r>
        <w:rPr>
          <w:rFonts w:eastAsia="Arial" w:cs="Arial" w:ascii="Arial" w:hAnsi="Arial"/>
          <w:b/>
          <w:bCs/>
          <w:i/>
          <w:iCs/>
          <w:color w:val="7B2D26"/>
          <w:sz w:val="22"/>
          <w:szCs w:val="22"/>
        </w:rPr>
        <w:t>Plain English: Seven pigmentation genes. The body-wide switch (ASIP) is set uniformly on both copies. The hair color protein (TPCN2) is physically different at the blond/brown positions. The melanin transport (SLC45A2) is changed on both copies. But the eye color system (HERC2/OCA2) has a mix of fixed and variable positions — 44 HERC2 positions where the two copies disagree, and an OCA2 missense where one copy makes a different protein than the other. In a chimeric individual, this is the substrate for heterochromia: two cell populations, each using their own version of the eye color instructions, producing two different iris colors.</w:t>
      </w:r>
      <w:r>
        <w:br w:type="page"/>
      </w:r>
    </w:p>
    <w:p>
      <w:pPr>
        <w:pStyle w:val="Heading1"/>
        <w:spacing w:before="360" w:after="200"/>
        <w:rPr>
          <w:rFonts w:ascii="Arial" w:hAnsi="Arial"/>
          <w:b/>
          <w:bCs/>
        </w:rPr>
      </w:pPr>
      <w:r>
        <w:rPr>
          <w:b/>
          <w:bCs/>
        </w:rPr>
        <w:t>Section 5: Neural Connectivity + Neurotransmitter Receivers</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[9][10][12][14][15][48][49][50][51][54]</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5.1 CNTNAP2 — Neural Wiring</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94 variants, 58 homozygous</w:t>
      </w:r>
    </w:p>
    <w:p>
      <w:pPr>
        <w:pStyle w:val="Normal"/>
        <w:spacing w:before="0" w:after="60"/>
        <w:rPr>
          <w:rFonts w:ascii="Arial" w:hAnsi="Arial"/>
        </w:rPr>
      </w:pPr>
      <w:r>
        <w:rPr>
          <w:rFonts w:eastAsia="Arial" w:cs="Arial" w:ascii="Arial" w:hAnsi="Arial"/>
          <w:b/>
          <w:bCs/>
          <w:sz w:val="22"/>
          <w:szCs w:val="22"/>
        </w:rPr>
        <w:t xml:space="preserve">WGS GRCh38 [14][15]: </w:t>
      </w:r>
      <w:r>
        <w:rPr>
          <w:rFonts w:eastAsia="Arial" w:cs="Arial" w:ascii="Arial" w:hAnsi="Arial"/>
          <w:sz w:val="22"/>
          <w:szCs w:val="22"/>
        </w:rPr>
        <w:t>35 variants, 23 homozygous</w:t>
      </w:r>
    </w:p>
    <w:p>
      <w:pPr>
        <w:pStyle w:val="Normal"/>
        <w:spacing w:before="0" w:after="100"/>
        <w:rPr>
          <w:rFonts w:ascii="Arial" w:hAnsi="Arial" w:eastAsia="Arial" w:cs="Arial"/>
          <w:sz w:val="22"/>
          <w:szCs w:val="22"/>
        </w:rPr>
      </w:pPr>
      <w:r>
        <w:rPr>
          <w:rFonts w:eastAsia="Arial" w:cs="Arial" w:ascii="Arial" w:hAnsi="Arial"/>
          <w:sz w:val="22"/>
          <w:szCs w:val="22"/>
        </w:rPr>
        <w:t>Consequence types [10]: 8 are 3_prime_UTR_variant (affect mRNA stability/translation), 2 synonymous, 1 splice_region_variant (affects RNA splicing — how the gene's message is edited before becoming protein), 1 5_prime_UTR_variant. The remaining 82 are in intronic/intergenic regions within the gene body.</w:t>
      </w:r>
    </w:p>
    <w:p>
      <w:pPr>
        <w:pStyle w:val="Normal"/>
        <w:spacing w:before="0" w:after="100"/>
        <w:rPr>
          <w:rFonts w:ascii="Arial" w:hAnsi="Arial" w:eastAsia="Arial" w:cs="Arial"/>
          <w:sz w:val="22"/>
          <w:szCs w:val="22"/>
        </w:rPr>
      </w:pPr>
      <w:r>
        <w:rPr>
          <w:rFonts w:eastAsia="Arial" w:cs="Arial" w:ascii="Arial" w:hAnsi="Arial"/>
          <w:sz w:val="22"/>
          <w:szCs w:val="22"/>
        </w:rPr>
        <w:t>What CNTNAP2 does: Encodes CASPR2, a single-pass transmembrane protein with an extracellular region that sticks out of the cell and grabs onto other cells [48]. It clusters potassium channels at nodes of Ranvier — the gaps in the myelin insulation of nerve fibers where electrical signals jump from node to node (saltatory conduction). This is what makes nerve signals fast. Without proper CNTNAP2, signals propagate slowly and neural circuits form differently [48][49].</w:t>
      </w:r>
    </w:p>
    <w:p>
      <w:pPr>
        <w:pStyle w:val="Normal"/>
        <w:spacing w:before="0" w:after="100"/>
        <w:rPr>
          <w:rFonts w:ascii="Arial" w:hAnsi="Arial" w:eastAsia="Arial" w:cs="Arial"/>
          <w:sz w:val="22"/>
          <w:szCs w:val="22"/>
        </w:rPr>
      </w:pPr>
      <w:r>
        <w:rPr>
          <w:rFonts w:eastAsia="Arial" w:cs="Arial" w:ascii="Arial" w:hAnsi="Arial"/>
          <w:sz w:val="22"/>
          <w:szCs w:val="22"/>
        </w:rPr>
        <w:t>CNTNAP2 is sexually dimorphic and androgen-responsive [50]. In Cntnap2-null mice, the social and synaptic deficits are MALE-SPECIFIC — males show disrupted connectivity and increased microglial pruning of synapses, females do not [50]. This male-specificity is driven by androgen signaling through AR. Because 11-KT is a non-aromatizable pure AR agonist (same mechanism as DHT), it would drive the same male-specific program.</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The gene that builds the wiring between nerve cells and determines how fast signals travel. The second most modified gene in the entire genome (after RYR2). 58 positions where both copies are changed. In animal studies, disrupting this gene affects males differently than females — and that difference is driven by whatever androgen is acting on the brain. In this profile, that androgen is 11-KT.</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5.2 NRXN1 — Synapse Construction</w:t>
      </w:r>
    </w:p>
    <w:p>
      <w:pPr>
        <w:pStyle w:val="Normal"/>
        <w:spacing w:before="0" w:after="60"/>
        <w:rPr>
          <w:rFonts w:ascii="Arial" w:hAnsi="Arial"/>
        </w:rPr>
      </w:pPr>
      <w:r>
        <w:rPr>
          <w:rFonts w:eastAsia="Arial" w:cs="Arial" w:ascii="Arial" w:hAnsi="Arial"/>
          <w:b/>
          <w:bCs/>
          <w:sz w:val="22"/>
          <w:szCs w:val="22"/>
        </w:rPr>
        <w:t xml:space="preserve">WGS GRCh37 [10]: </w:t>
      </w:r>
      <w:r>
        <w:rPr>
          <w:rFonts w:eastAsia="Arial" w:cs="Arial" w:ascii="Arial" w:hAnsi="Arial"/>
          <w:sz w:val="22"/>
          <w:szCs w:val="22"/>
        </w:rPr>
        <w:t>63 variants, 36 homozygous</w:t>
      </w:r>
    </w:p>
    <w:p>
      <w:pPr>
        <w:pStyle w:val="Normal"/>
        <w:spacing w:before="0" w:after="60"/>
        <w:rPr>
          <w:rFonts w:ascii="Arial" w:hAnsi="Arial"/>
        </w:rPr>
      </w:pPr>
      <w:r>
        <w:rPr>
          <w:rFonts w:eastAsia="Arial" w:cs="Arial" w:ascii="Arial" w:hAnsi="Arial"/>
          <w:b/>
          <w:bCs/>
          <w:sz w:val="22"/>
          <w:szCs w:val="22"/>
        </w:rPr>
        <w:t xml:space="preserve">WGS GRCh38 [15]: </w:t>
      </w:r>
      <w:r>
        <w:rPr>
          <w:rFonts w:eastAsia="Arial" w:cs="Arial" w:ascii="Arial" w:hAnsi="Arial"/>
          <w:sz w:val="22"/>
          <w:szCs w:val="22"/>
        </w:rPr>
        <w:t>51 variants, 30 homozygous</w:t>
      </w:r>
    </w:p>
    <w:p>
      <w:pPr>
        <w:pStyle w:val="Normal"/>
        <w:spacing w:before="0" w:after="100"/>
        <w:rPr>
          <w:rFonts w:ascii="Arial" w:hAnsi="Arial" w:eastAsia="Arial" w:cs="Arial"/>
          <w:sz w:val="22"/>
          <w:szCs w:val="22"/>
        </w:rPr>
      </w:pPr>
      <w:r>
        <w:rPr>
          <w:rFonts w:eastAsia="Arial" w:cs="Arial" w:ascii="Arial" w:hAnsi="Arial"/>
          <w:sz w:val="22"/>
          <w:szCs w:val="22"/>
        </w:rPr>
        <w:t>What NRXN1 does: Neurexin 1. A presynaptic cell adhesion molecule that physically builds the junction between two communicating neurons. It sticks out of the sending neuron and grabs neuroligin on the receiving neuron, forming a bridge. This bridge is the synapse — where neurotransmitters cross. Without proper neurexins, synapses don't form correctly or maintain properly [49].</w:t>
      </w:r>
    </w:p>
    <w:p>
      <w:pPr>
        <w:pStyle w:val="Normal"/>
        <w:spacing w:before="0" w:after="100"/>
        <w:rPr>
          <w:rFonts w:ascii="Arial" w:hAnsi="Arial" w:eastAsia="Arial" w:cs="Arial"/>
          <w:sz w:val="22"/>
          <w:szCs w:val="22"/>
        </w:rPr>
      </w:pPr>
      <w:r>
        <w:rPr>
          <w:rFonts w:eastAsia="Arial" w:cs="Arial" w:ascii="Arial" w:hAnsi="Arial"/>
          <w:sz w:val="22"/>
          <w:szCs w:val="22"/>
        </w:rPr>
        <w:t>CNTNAP2 + NRXN1 combined (GRCh37): 157 variants, 94 homozygous. The two genes that build neural connections — the wiring (CNTNAP2) and the junctions (NRXN1) — have 157 variants with 94 on both copies.</w:t>
      </w:r>
    </w:p>
    <w:p>
      <w:pPr>
        <w:pStyle w:val="Normal"/>
        <w:spacing w:before="0" w:after="100"/>
        <w:rPr>
          <w:rFonts w:ascii="Arial" w:hAnsi="Arial"/>
        </w:rPr>
      </w:pPr>
      <w:r>
        <w:rPr>
          <w:rFonts w:ascii="Arial" w:hAnsi="Arial"/>
        </w:rPr>
      </w:r>
    </w:p>
    <w:p>
      <w:pPr>
        <w:pStyle w:val="Heading2"/>
        <w:spacing w:before="240" w:after="150"/>
        <w:rPr>
          <w:rFonts w:ascii="Arial" w:hAnsi="Arial"/>
        </w:rPr>
      </w:pPr>
      <w:r>
        <w:rPr>
          <w:b/>
          <w:bCs/>
        </w:rPr>
        <w:t>5.3 Neurotransmitter Receivers</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OPRM1 — Endorphin Receiver</w:t>
      </w:r>
    </w:p>
    <w:p>
      <w:pPr>
        <w:pStyle w:val="Normal"/>
        <w:spacing w:before="0" w:after="60"/>
        <w:rPr>
          <w:rFonts w:ascii="Arial" w:hAnsi="Arial"/>
        </w:rPr>
      </w:pPr>
      <w:r>
        <w:rPr>
          <w:rFonts w:eastAsia="Arial" w:cs="Arial" w:ascii="Arial" w:hAnsi="Arial"/>
          <w:b/>
          <w:bCs/>
          <w:sz w:val="22"/>
          <w:szCs w:val="22"/>
        </w:rPr>
        <w:t xml:space="preserve">WGS GRCh37 [10]: </w:t>
      </w:r>
      <w:r>
        <w:rPr>
          <w:rFonts w:eastAsia="Arial" w:cs="Arial" w:ascii="Arial" w:hAnsi="Arial"/>
          <w:sz w:val="22"/>
          <w:szCs w:val="22"/>
        </w:rPr>
        <w:t>47 variants (7 homozygous, 40 heterozygous)</w:t>
      </w:r>
    </w:p>
    <w:p>
      <w:pPr>
        <w:pStyle w:val="Normal"/>
        <w:spacing w:before="0" w:after="60"/>
        <w:rPr>
          <w:rFonts w:ascii="Arial" w:hAnsi="Arial"/>
        </w:rPr>
      </w:pPr>
      <w:r>
        <w:rPr>
          <w:rFonts w:eastAsia="Arial" w:cs="Arial" w:ascii="Arial" w:hAnsi="Arial"/>
          <w:b/>
          <w:bCs/>
          <w:sz w:val="22"/>
          <w:szCs w:val="22"/>
        </w:rPr>
        <w:t xml:space="preserve">WGS GRCh38 [15]: </w:t>
      </w:r>
      <w:r>
        <w:rPr>
          <w:rFonts w:eastAsia="Arial" w:cs="Arial" w:ascii="Arial" w:hAnsi="Arial"/>
          <w:sz w:val="22"/>
          <w:szCs w:val="22"/>
        </w:rPr>
        <w:t>32 variants, 6 homozygous</w:t>
      </w:r>
    </w:p>
    <w:p>
      <w:pPr>
        <w:pStyle w:val="Normal"/>
        <w:spacing w:before="0" w:after="100"/>
        <w:rPr>
          <w:rFonts w:ascii="Arial" w:hAnsi="Arial" w:eastAsia="Arial" w:cs="Arial"/>
          <w:sz w:val="22"/>
          <w:szCs w:val="22"/>
        </w:rPr>
      </w:pPr>
      <w:r>
        <w:rPr>
          <w:rFonts w:eastAsia="Arial" w:cs="Arial" w:ascii="Arial" w:hAnsi="Arial"/>
          <w:sz w:val="22"/>
          <w:szCs w:val="22"/>
        </w:rPr>
        <w:t>What OPRM1 does: The mu-opioid receptor. Receives endorphins (beta-endorphin, enkephalins) — the body's own pain relief and pleasure molecules. Also the target of opioid drugs. A SINGLE known variant (A118G) changes pain sensitivity, opioid drug response, stress response, reward processing, and social bonding [51]. 47 variants means the entire receptor landscape is modified far beyond what any previously studied population variant covers.</w:t>
      </w:r>
    </w:p>
    <w:p>
      <w:pPr>
        <w:pStyle w:val="Normal"/>
        <w:spacing w:before="0" w:after="100"/>
        <w:rPr>
          <w:rFonts w:ascii="Arial" w:hAnsi="Arial" w:eastAsia="Arial" w:cs="Arial"/>
          <w:sz w:val="22"/>
          <w:szCs w:val="22"/>
        </w:rPr>
      </w:pPr>
      <w:r>
        <w:rPr>
          <w:rFonts w:eastAsia="Arial" w:cs="Arial" w:ascii="Arial" w:hAnsi="Arial"/>
          <w:sz w:val="22"/>
          <w:szCs w:val="22"/>
        </w:rPr>
        <w:t>OPRM1 and androgens: The androgen receptor (AR) binds directly to the OPRM1 gene and regulates its expression. Testosterone upregulates mu-opioid receptor expression in brain neurons — this is an AR-dependent effect [cited in extended research]. 11-KT acts through AR. The androgen-opioid link is direct and bidirectional.</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HTR2A — Serotonin Receiver</w:t>
      </w:r>
    </w:p>
    <w:p>
      <w:pPr>
        <w:pStyle w:val="Normal"/>
        <w:spacing w:before="0" w:after="60"/>
        <w:rPr>
          <w:rFonts w:ascii="Arial" w:hAnsi="Arial"/>
        </w:rPr>
      </w:pPr>
      <w:r>
        <w:rPr>
          <w:rFonts w:eastAsia="Arial" w:cs="Arial" w:ascii="Arial" w:hAnsi="Arial"/>
          <w:b/>
          <w:bCs/>
          <w:sz w:val="22"/>
          <w:szCs w:val="22"/>
        </w:rPr>
        <w:t xml:space="preserve">WGS GRCh37 [10]: </w:t>
      </w:r>
      <w:r>
        <w:rPr>
          <w:rFonts w:eastAsia="Arial" w:cs="Arial" w:ascii="Arial" w:hAnsi="Arial"/>
          <w:sz w:val="22"/>
          <w:szCs w:val="22"/>
        </w:rPr>
        <w:t>16 variants, 11 homozygous. Sample lines:</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Chr13:47401007   GT:1/1  Score:50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Chr13:47411985   GT:1/1  Score:65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Chr13:47440560   GT:1/1  Score:50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Chr13:47466781   GT:1/1  Score:50  [10]</w:t>
      </w:r>
    </w:p>
    <w:p>
      <w:pPr>
        <w:pStyle w:val="Normal"/>
        <w:spacing w:before="0" w:after="100"/>
        <w:rPr>
          <w:rFonts w:ascii="Arial" w:hAnsi="Arial" w:eastAsia="Arial" w:cs="Arial"/>
          <w:sz w:val="22"/>
          <w:szCs w:val="22"/>
        </w:rPr>
      </w:pPr>
      <w:r>
        <w:rPr>
          <w:rFonts w:eastAsia="Arial" w:cs="Arial" w:ascii="Arial" w:hAnsi="Arial"/>
          <w:sz w:val="22"/>
          <w:szCs w:val="22"/>
        </w:rPr>
        <w:t>What HTR2A does: Serotonin 5-HT2A receptor. Receives serotonin — mood, perception, cognition. This specific receptor subtype is the primary pharmacological target for psychedelic compounds (psilocybin, LSD, DMT). It mediates cortical excitatory/inhibitory balance. 11 homozygous = the serotonin receiver is different on both copies at 11 positions.</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DRD3 — Dopamine Receiver</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14 variants, 11 homozygous</w:t>
      </w:r>
    </w:p>
    <w:p>
      <w:pPr>
        <w:pStyle w:val="Normal"/>
        <w:spacing w:before="0" w:after="100"/>
        <w:rPr>
          <w:rFonts w:ascii="Arial" w:hAnsi="Arial" w:eastAsia="Arial" w:cs="Arial"/>
          <w:sz w:val="22"/>
          <w:szCs w:val="22"/>
        </w:rPr>
      </w:pPr>
      <w:r>
        <w:rPr>
          <w:rFonts w:eastAsia="Arial" w:cs="Arial" w:ascii="Arial" w:hAnsi="Arial"/>
          <w:sz w:val="22"/>
          <w:szCs w:val="22"/>
        </w:rPr>
        <w:t>What DRD3 does: Dopamine D3 receptor. Receives dopamine in mesolimbic and mesocortical circuits — reward, motivation, executive function, motor control. 11 homozygous = the dopamine receiver is different on both copies at 11 positions.</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COMT — Catecholamine Clearance</w:t>
      </w:r>
    </w:p>
    <w:p>
      <w:pPr>
        <w:pStyle w:val="Normal"/>
        <w:spacing w:before="0" w:after="60"/>
        <w:rPr>
          <w:rFonts w:ascii="Arial" w:hAnsi="Arial"/>
        </w:rPr>
      </w:pPr>
      <w:r>
        <w:rPr>
          <w:rFonts w:eastAsia="Arial" w:cs="Arial" w:ascii="Arial" w:hAnsi="Arial"/>
          <w:b/>
          <w:bCs/>
          <w:sz w:val="22"/>
          <w:szCs w:val="22"/>
        </w:rPr>
        <w:t xml:space="preserve">WGS GRCh37 [10]: </w:t>
      </w:r>
      <w:r>
        <w:rPr>
          <w:rFonts w:eastAsia="Arial" w:cs="Arial" w:ascii="Arial" w:hAnsi="Arial"/>
          <w:sz w:val="22"/>
          <w:szCs w:val="22"/>
        </w:rPr>
        <w:t>22 variants, 18 homozygous. Sample lines:</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Chr22:19936025  G→A  GT:1/1  Score:65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Chr22:19938837  A→G  GT:1/1  Score:65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Chr22:19938879  C→CT GT:1/1  Score:65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Chr22:19938880  C→T  GT:1/1  Score:65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Chr22:19938881  C→A  GT:1/1  Score:65  [10]</w:t>
      </w:r>
    </w:p>
    <w:p>
      <w:pPr>
        <w:pStyle w:val="Normal"/>
        <w:spacing w:before="0" w:after="40"/>
        <w:rPr>
          <w:rFonts w:ascii="Arial" w:hAnsi="Arial"/>
        </w:rPr>
      </w:pPr>
      <w:r>
        <w:rPr>
          <w:rFonts w:eastAsia="Courier New" w:cs="Courier New" w:ascii="Arial" w:hAnsi="Arial"/>
          <w:color w:val="333333"/>
          <w:sz w:val="20"/>
          <w:szCs w:val="20"/>
        </w:rPr>
        <w:t>Chr22:19957023  C→T  GT:1/1  3_prime_UTR_variant  Score:50  [10]</w:t>
      </w:r>
    </w:p>
    <w:p>
      <w:pPr>
        <w:pStyle w:val="Normal"/>
        <w:spacing w:before="0" w:after="100"/>
        <w:rPr>
          <w:rFonts w:ascii="Arial" w:hAnsi="Arial" w:eastAsia="Arial" w:cs="Arial"/>
          <w:sz w:val="22"/>
          <w:szCs w:val="22"/>
        </w:rPr>
      </w:pPr>
      <w:r>
        <w:rPr>
          <w:rFonts w:eastAsia="Arial" w:cs="Arial" w:ascii="Arial" w:hAnsi="Arial"/>
          <w:sz w:val="22"/>
          <w:szCs w:val="22"/>
        </w:rPr>
        <w:t>What COMT does: Catechol-O-methyltransferase. It breaks down dopamine, norepinephrine, and epinephrine by adding a methyl group. It ALSO breaks down catechol estrogens (metabolites of estrogen). The famous Val158Met polymorphism creates a 3-4 fold difference in enzyme activity — Val/Val clears catecholamines fast (lower tonic dopamine), Met/Met clears them slowly (higher tonic dopamine). 18 homozygous = COMT is fixed at one extreme of catecholamine clearance.</w:t>
      </w:r>
    </w:p>
    <w:p>
      <w:pPr>
        <w:pStyle w:val="Normal"/>
        <w:spacing w:before="0" w:after="100"/>
        <w:rPr>
          <w:rFonts w:ascii="Arial" w:hAnsi="Arial" w:eastAsia="Arial" w:cs="Arial"/>
          <w:sz w:val="22"/>
          <w:szCs w:val="22"/>
        </w:rPr>
      </w:pPr>
      <w:r>
        <w:rPr>
          <w:rFonts w:eastAsia="Arial" w:cs="Arial" w:ascii="Arial" w:hAnsi="Arial"/>
          <w:sz w:val="22"/>
          <w:szCs w:val="22"/>
        </w:rPr>
        <w:t>The adrenal connection: COMT clears the EXACT catecholamines the adrenal medulla produces (epinephrine, norepinephrine). The adrenal cortex — physically adjacent to the medulla in the same organ — produces 11-KT. Modified COMT changes how long adrenal catecholamines stay active.</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Three neurotransmitter receivers (endorphin, serotonin, dopamine) and the enzyme that clears catecholamines are extensively modified. The endorphin receiver has 47 variants. The serotonin receiver has 11 homozygous. The dopamine receiver has 11 homozygous. The catecholamine clearance enzyme has 18 homozygous. How pain, pleasure, mood, motivation, and perception are received and processed is built from different instructions. The catecholamine cleaner connects directly to the adrenal gland where 11-KT is made.</w:t>
      </w:r>
      <w:r>
        <w:br w:type="page"/>
      </w:r>
    </w:p>
    <w:p>
      <w:pPr>
        <w:pStyle w:val="Heading1"/>
        <w:spacing w:before="360" w:after="200"/>
        <w:rPr>
          <w:rFonts w:ascii="Arial" w:hAnsi="Arial"/>
          <w:b/>
          <w:bCs/>
        </w:rPr>
      </w:pPr>
      <w:r>
        <w:rPr>
          <w:b/>
          <w:bCs/>
        </w:rPr>
        <w:t>Section 6: Immune System</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[9][10][14][15]</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6.1 T-Cell System</w:t>
      </w:r>
    </w:p>
    <w:p>
      <w:pPr>
        <w:pStyle w:val="Normal"/>
        <w:spacing w:before="0" w:after="60"/>
        <w:rPr>
          <w:rFonts w:ascii="Arial" w:hAnsi="Arial"/>
        </w:rPr>
      </w:pPr>
      <w:r>
        <w:rPr>
          <w:rFonts w:eastAsia="Arial" w:cs="Arial" w:ascii="Arial" w:hAnsi="Arial"/>
          <w:b/>
          <w:bCs/>
          <w:sz w:val="22"/>
          <w:szCs w:val="22"/>
        </w:rPr>
        <w:t xml:space="preserve">TRBV genes [9][10]: </w:t>
      </w:r>
      <w:r>
        <w:rPr>
          <w:rFonts w:eastAsia="Arial" w:cs="Arial" w:ascii="Arial" w:hAnsi="Arial"/>
          <w:sz w:val="22"/>
          <w:szCs w:val="22"/>
        </w:rPr>
        <w:t>175+ variants across 22+ segments. T-cell receptor variable regions — the targeting system.</w:t>
      </w:r>
    </w:p>
    <w:p>
      <w:pPr>
        <w:pStyle w:val="Normal"/>
        <w:spacing w:before="0" w:after="60"/>
        <w:rPr>
          <w:rFonts w:ascii="Arial" w:hAnsi="Arial"/>
        </w:rPr>
      </w:pPr>
      <w:r>
        <w:rPr>
          <w:rFonts w:eastAsia="Arial" w:cs="Arial" w:ascii="Arial" w:hAnsi="Arial"/>
          <w:b/>
          <w:bCs/>
          <w:sz w:val="22"/>
          <w:szCs w:val="22"/>
        </w:rPr>
        <w:t xml:space="preserve">CTLA4 [10]: </w:t>
      </w:r>
      <w:r>
        <w:rPr>
          <w:rFonts w:eastAsia="Arial" w:cs="Arial" w:ascii="Arial" w:hAnsi="Arial"/>
          <w:sz w:val="22"/>
          <w:szCs w:val="22"/>
        </w:rPr>
        <w:t>7 variants, ALL 7 HOMOZYGOUS:</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Chr2:204730901  T→C  GT:1/1  Score:85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Chr2:204731089  G→A  GT:1/1  Score:85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Chr2:204731240  T→A  GT:1/1  Score:85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Chr2:204732223  T→A  GT:1/1  Score:85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Chr2:204732850  A→G  GT:1/1  Score:85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Chr2:204738725  C→T  GT:1/1  Score:85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Chr2:204738919  G→A  GT:1/1  Score:95  [10]</w:t>
      </w:r>
    </w:p>
    <w:p>
      <w:pPr>
        <w:pStyle w:val="Normal"/>
        <w:spacing w:before="0" w:after="100"/>
        <w:rPr>
          <w:rFonts w:ascii="Arial" w:hAnsi="Arial" w:eastAsia="Arial" w:cs="Arial"/>
          <w:sz w:val="22"/>
          <w:szCs w:val="22"/>
        </w:rPr>
      </w:pPr>
      <w:r>
        <w:rPr>
          <w:rFonts w:eastAsia="Arial" w:cs="Arial" w:ascii="Arial" w:hAnsi="Arial"/>
          <w:sz w:val="22"/>
          <w:szCs w:val="22"/>
        </w:rPr>
        <w:t>What CTLA4 does: The immune checkpoint. When T-cells activate and attack, CTLA4 is the signal that tells them to STOP. It competes with CD28 for binding to B7 on antigen-presenting cells — when CTLA4 wins, the T-cell stands down. CTLA4 is the target of the cancer immunotherapy drug ipilimumab, which BLOCKS CTLA4 to unleash T-cells against tumors. ALL 7 positions on BOTH copies — the brake pedal on immune activation is fully remodeled.</w:t>
      </w:r>
    </w:p>
    <w:p>
      <w:pPr>
        <w:pStyle w:val="Normal"/>
        <w:spacing w:before="0" w:after="60"/>
        <w:rPr>
          <w:rFonts w:ascii="Arial" w:hAnsi="Arial"/>
        </w:rPr>
      </w:pPr>
      <w:r>
        <w:rPr>
          <w:rFonts w:eastAsia="Arial" w:cs="Arial" w:ascii="Arial" w:hAnsi="Arial"/>
          <w:b/>
          <w:bCs/>
          <w:sz w:val="22"/>
          <w:szCs w:val="22"/>
        </w:rPr>
        <w:t xml:space="preserve">PTPN22 [9][10]: </w:t>
      </w:r>
      <w:r>
        <w:rPr>
          <w:rFonts w:eastAsia="Arial" w:cs="Arial" w:ascii="Arial" w:hAnsi="Arial"/>
          <w:sz w:val="22"/>
          <w:szCs w:val="22"/>
        </w:rPr>
        <w:t>6 variants, 2 homozygous. T-cell activation modulator — the volume knob.</w:t>
      </w:r>
    </w:p>
    <w:p>
      <w:pPr>
        <w:pStyle w:val="Normal"/>
        <w:spacing w:before="0" w:after="60"/>
        <w:rPr>
          <w:rFonts w:ascii="Arial" w:hAnsi="Arial"/>
        </w:rPr>
      </w:pPr>
      <w:r>
        <w:rPr>
          <w:rFonts w:eastAsia="Arial" w:cs="Arial" w:ascii="Arial" w:hAnsi="Arial"/>
          <w:b/>
          <w:bCs/>
          <w:sz w:val="22"/>
          <w:szCs w:val="22"/>
        </w:rPr>
        <w:t xml:space="preserve">IRF5 [9][10]: </w:t>
      </w:r>
      <w:r>
        <w:rPr>
          <w:rFonts w:eastAsia="Arial" w:cs="Arial" w:ascii="Arial" w:hAnsi="Arial"/>
          <w:sz w:val="22"/>
          <w:szCs w:val="22"/>
        </w:rPr>
        <w:t>5 variants, 4 homozygous. Interferon regulatory factor — viral alarm system.</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6.2 Immune Identity (HLA)</w:t>
      </w:r>
    </w:p>
    <w:p>
      <w:pPr>
        <w:pStyle w:val="Normal"/>
        <w:spacing w:before="0" w:after="60"/>
        <w:rPr>
          <w:rFonts w:ascii="Arial" w:hAnsi="Arial"/>
        </w:rPr>
      </w:pPr>
      <w:r>
        <w:rPr>
          <w:rFonts w:eastAsia="Arial" w:cs="Arial" w:ascii="Arial" w:hAnsi="Arial"/>
          <w:b/>
          <w:bCs/>
          <w:sz w:val="22"/>
          <w:szCs w:val="22"/>
        </w:rPr>
        <w:t xml:space="preserve">HLA-DRB1 [9][10]: </w:t>
      </w:r>
      <w:r>
        <w:rPr>
          <w:rFonts w:eastAsia="Arial" w:cs="Arial" w:ascii="Arial" w:hAnsi="Arial"/>
          <w:sz w:val="22"/>
          <w:szCs w:val="22"/>
        </w:rPr>
        <w:t>59 variants, all heterozygous</w:t>
      </w:r>
    </w:p>
    <w:p>
      <w:pPr>
        <w:pStyle w:val="Normal"/>
        <w:spacing w:before="0" w:after="60"/>
        <w:rPr>
          <w:rFonts w:ascii="Arial" w:hAnsi="Arial"/>
        </w:rPr>
      </w:pPr>
      <w:r>
        <w:rPr>
          <w:rFonts w:eastAsia="Arial" w:cs="Arial" w:ascii="Arial" w:hAnsi="Arial"/>
          <w:b/>
          <w:bCs/>
          <w:sz w:val="22"/>
          <w:szCs w:val="22"/>
        </w:rPr>
        <w:t xml:space="preserve">HLA-DRB5 [9][10]: </w:t>
      </w:r>
      <w:r>
        <w:rPr>
          <w:rFonts w:eastAsia="Arial" w:cs="Arial" w:ascii="Arial" w:hAnsi="Arial"/>
          <w:sz w:val="22"/>
          <w:szCs w:val="22"/>
        </w:rPr>
        <w:t>47 variants, all heterozygous</w:t>
      </w:r>
    </w:p>
    <w:p>
      <w:pPr>
        <w:pStyle w:val="Normal"/>
        <w:spacing w:before="0" w:after="60"/>
        <w:rPr>
          <w:rFonts w:ascii="Arial" w:hAnsi="Arial"/>
        </w:rPr>
      </w:pPr>
      <w:r>
        <w:rPr>
          <w:rFonts w:eastAsia="Arial" w:cs="Arial" w:ascii="Arial" w:hAnsi="Arial"/>
          <w:b/>
          <w:bCs/>
          <w:sz w:val="22"/>
          <w:szCs w:val="22"/>
        </w:rPr>
        <w:t xml:space="preserve">HLA-DQA1 [9][10]: </w:t>
      </w:r>
      <w:r>
        <w:rPr>
          <w:rFonts w:eastAsia="Arial" w:cs="Arial" w:ascii="Arial" w:hAnsi="Arial"/>
          <w:sz w:val="22"/>
          <w:szCs w:val="22"/>
        </w:rPr>
        <w:t>29 variants</w:t>
      </w:r>
    </w:p>
    <w:p>
      <w:pPr>
        <w:pStyle w:val="Normal"/>
        <w:spacing w:before="0" w:after="60"/>
        <w:rPr>
          <w:rFonts w:ascii="Arial" w:hAnsi="Arial"/>
        </w:rPr>
      </w:pPr>
      <w:r>
        <w:rPr>
          <w:rFonts w:eastAsia="Arial" w:cs="Arial" w:ascii="Arial" w:hAnsi="Arial"/>
          <w:b/>
          <w:bCs/>
          <w:sz w:val="22"/>
          <w:szCs w:val="22"/>
        </w:rPr>
        <w:t xml:space="preserve">HLA-C [9][10]: </w:t>
      </w:r>
      <w:r>
        <w:rPr>
          <w:rFonts w:eastAsia="Arial" w:cs="Arial" w:ascii="Arial" w:hAnsi="Arial"/>
          <w:sz w:val="22"/>
          <w:szCs w:val="22"/>
        </w:rPr>
        <w:t>17 variants</w:t>
      </w:r>
    </w:p>
    <w:p>
      <w:pPr>
        <w:pStyle w:val="Normal"/>
        <w:spacing w:before="0" w:after="100"/>
        <w:rPr>
          <w:rFonts w:ascii="Arial" w:hAnsi="Arial" w:eastAsia="Arial" w:cs="Arial"/>
          <w:sz w:val="22"/>
          <w:szCs w:val="22"/>
        </w:rPr>
      </w:pPr>
      <w:r>
        <w:rPr>
          <w:rFonts w:eastAsia="Arial" w:cs="Arial" w:ascii="Arial" w:hAnsi="Arial"/>
          <w:sz w:val="22"/>
          <w:szCs w:val="22"/>
        </w:rPr>
        <w:t>170+ combined HLA variants across 4 genes. ALL heterozygous — one reference copy, one variant copy at every position. Maximum diversity in immune recognition.</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The immune system's targeting (TRBV, 175+), volume knob (PTPN22), brake pedal (CTLA4, all 7 homozygous), alarm system (IRF5, 4 homozygous), and identity markers (HLA, 170+) are all modified. The brake pedal being fully remodeled on both copies while the targeting is diversified across 22+ segments means the immune system is configured with a different set of controls.</w:t>
      </w:r>
      <w:r>
        <w:br w:type="page"/>
      </w:r>
    </w:p>
    <w:p>
      <w:pPr>
        <w:pStyle w:val="Heading1"/>
        <w:spacing w:before="360" w:after="200"/>
        <w:rPr>
          <w:rFonts w:ascii="Arial" w:hAnsi="Arial"/>
          <w:b/>
          <w:bCs/>
        </w:rPr>
      </w:pPr>
      <w:r>
        <w:rPr>
          <w:b/>
          <w:bCs/>
        </w:rPr>
        <w:t>Section 7: Cell Surface Architecture</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[1][3][9][10][12][14][15][17][28][29][30][31][32]</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7.1 Mucins — 350+ variants across 16+ genes [9][10]</w:t>
      </w:r>
    </w:p>
    <w:p>
      <w:pPr>
        <w:pStyle w:val="Normal"/>
        <w:spacing w:before="0" w:after="100"/>
        <w:rPr>
          <w:rFonts w:ascii="Arial" w:hAnsi="Arial" w:eastAsia="Arial" w:cs="Arial"/>
          <w:sz w:val="22"/>
          <w:szCs w:val="22"/>
        </w:rPr>
      </w:pPr>
      <w:r>
        <w:rPr>
          <w:rFonts w:eastAsia="Arial" w:cs="Arial" w:ascii="Arial" w:hAnsi="Arial"/>
          <w:sz w:val="22"/>
          <w:szCs w:val="22"/>
        </w:rPr>
        <w:t>MUC3A (85), MUC16 (81), MUC6 (75), MUC4 (53), MUC12 (50), MUC19 (24), MUC22 (22), MUC8 (15), MUC5B (5), MUC2 (9), MUC7 (3). The glycoprotein coating on every epithelial cell surface — the interface between cells and the world. Over 350 variants. Combined with FUT2 truncation (changes how sugars attach to proteins) and Rh modifications (changes red blood cell surface), the entire external presentation is built differently.</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7.2 HRNR — Skin Barrier [9][10]</w:t>
      </w:r>
    </w:p>
    <w:p>
      <w:pPr>
        <w:pStyle w:val="Normal"/>
        <w:spacing w:before="0" w:after="60"/>
        <w:rPr>
          <w:rFonts w:ascii="Arial" w:hAnsi="Arial" w:eastAsia="Arial" w:cs="Arial"/>
          <w:sz w:val="22"/>
          <w:szCs w:val="22"/>
        </w:rPr>
      </w:pPr>
      <w:r>
        <w:rPr>
          <w:rFonts w:eastAsia="Arial" w:cs="Arial" w:ascii="Arial" w:hAnsi="Arial"/>
          <w:sz w:val="22"/>
          <w:szCs w:val="22"/>
        </w:rPr>
        <w:t>40 variants, 17 homozygous. Hornerin. Skin barrier protein. Determines how the outermost protective layer of skin is constructed.</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7.3 Olfactory Receptors — 455+ variants across 130+ OR genes [9][10]</w:t>
      </w:r>
    </w:p>
    <w:p>
      <w:pPr>
        <w:pStyle w:val="Normal"/>
        <w:spacing w:before="0" w:after="100"/>
        <w:rPr>
          <w:rFonts w:ascii="Arial" w:hAnsi="Arial" w:eastAsia="Arial" w:cs="Arial"/>
          <w:sz w:val="22"/>
          <w:szCs w:val="22"/>
        </w:rPr>
      </w:pPr>
      <w:r>
        <w:rPr>
          <w:rFonts w:eastAsia="Arial" w:cs="Arial" w:ascii="Arial" w:hAnsi="Arial"/>
          <w:sz w:val="22"/>
          <w:szCs w:val="22"/>
        </w:rPr>
        <w:t>Chemical sensors throughout the body — nose, kidney, gut, skin, reproductive tissue. In 11-KT dominant species, olfactory receptors are directly wired to reproductive hormonal cascades. The single largest gene family finding in the dataset. Top: OR4C5 (41), OR8U1 (31), OR4C3 (27), OR9G1 (22).</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The coating on cells (mucins, 350+), the skin barrier (HRNR, 40), and the chemical sensing network (olfactory, 455+) are all extensively modified. The body's interface with the outside world — what cells look like, how skin is built, and how chemicals are detected — is constructed from different instructions across over 800 combined variants.</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r>
    </w:p>
    <w:p>
      <w:pPr>
        <w:pStyle w:val="Heading1"/>
        <w:spacing w:before="360" w:after="200"/>
        <w:rPr>
          <w:rFonts w:ascii="Arial" w:hAnsi="Arial"/>
          <w:b/>
          <w:bCs/>
        </w:rPr>
      </w:pPr>
      <w:r>
        <w:rPr>
          <w:b/>
          <w:bCs/>
        </w:rPr>
        <w:t>Section 7B: Olfactory Receptors — Connection to 11-KT Species</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[9][10][55][56][57]</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7B.1 Scale</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455+ variants across 130+ OR genes</w:t>
      </w:r>
    </w:p>
    <w:p>
      <w:pPr>
        <w:pStyle w:val="Normal"/>
        <w:spacing w:before="0" w:after="100"/>
        <w:rPr>
          <w:rFonts w:ascii="Arial" w:hAnsi="Arial" w:eastAsia="Arial" w:cs="Arial"/>
          <w:sz w:val="22"/>
          <w:szCs w:val="22"/>
        </w:rPr>
      </w:pPr>
      <w:r>
        <w:rPr>
          <w:rFonts w:eastAsia="Arial" w:cs="Arial" w:ascii="Arial" w:hAnsi="Arial"/>
          <w:sz w:val="22"/>
          <w:szCs w:val="22"/>
        </w:rPr>
        <w:t>Top genes: OR4C5 (41), OR8U1 (31), OR4C3 (27), OR9G1 (22), OR2T8 (9), OR8G5 (8), OR52E6 (8), OR8D4 (7), OR2W3 (7), OR10J1 (6), OR4C46 (6), OR10X1 (5), OR2T35 (5)</w:t>
      </w:r>
    </w:p>
    <w:p>
      <w:pPr>
        <w:pStyle w:val="Normal"/>
        <w:spacing w:before="0" w:after="100"/>
        <w:rPr>
          <w:rFonts w:ascii="Arial" w:hAnsi="Arial" w:eastAsia="Arial" w:cs="Arial"/>
          <w:sz w:val="22"/>
          <w:szCs w:val="22"/>
        </w:rPr>
      </w:pPr>
      <w:r>
        <w:rPr>
          <w:rFonts w:eastAsia="Arial" w:cs="Arial" w:ascii="Arial" w:hAnsi="Arial"/>
          <w:sz w:val="22"/>
          <w:szCs w:val="22"/>
        </w:rPr>
        <w:t>The single largest gene family finding in the entire dataset. More variants than any individual gene except RYR2.</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7B.2 Olfactory Receptors Are Not Just for Smell</w:t>
      </w:r>
    </w:p>
    <w:p>
      <w:pPr>
        <w:pStyle w:val="Normal"/>
        <w:spacing w:before="0" w:after="100"/>
        <w:rPr>
          <w:rFonts w:ascii="Arial" w:hAnsi="Arial" w:eastAsia="Arial" w:cs="Arial"/>
          <w:sz w:val="22"/>
          <w:szCs w:val="22"/>
        </w:rPr>
      </w:pPr>
      <w:r>
        <w:rPr>
          <w:rFonts w:eastAsia="Arial" w:cs="Arial" w:ascii="Arial" w:hAnsi="Arial"/>
          <w:sz w:val="22"/>
          <w:szCs w:val="22"/>
        </w:rPr>
        <w:t>Olfactory receptors (ORs) are G protein-coupled receptors. The human genome has ~400 functional OR genes — the largest gene family. They were discovered in nasal epithelium, but they are now known to be expressed in:</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Kidney (chemical sensing in renal tubules)</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Sperm (chemotaxis — guiding sperm toward the egg)</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Prostate</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Gut (nutrient and toxin sensing)</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Skin (wound healing signaling)</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Liver</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Heart</w:t>
      </w:r>
    </w:p>
    <w:p>
      <w:pPr>
        <w:pStyle w:val="Normal"/>
        <w:spacing w:before="0" w:after="100"/>
        <w:rPr>
          <w:rFonts w:ascii="Arial" w:hAnsi="Arial" w:eastAsia="Arial" w:cs="Arial"/>
          <w:sz w:val="22"/>
          <w:szCs w:val="22"/>
        </w:rPr>
      </w:pPr>
      <w:r>
        <w:rPr>
          <w:rFonts w:eastAsia="Arial" w:cs="Arial" w:ascii="Arial" w:hAnsi="Arial"/>
          <w:sz w:val="22"/>
          <w:szCs w:val="22"/>
        </w:rPr>
        <w:t>These non-nasal ORs function as chemical sensors — they detect specific molecules and trigger intracellular signaling cascades. They are part of the body's chemical communication system.</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7B.3 Olfactory-Hormonal Link in 11-KT Species [55][56][57]</w:t>
      </w:r>
    </w:p>
    <w:p>
      <w:pPr>
        <w:pStyle w:val="Normal"/>
        <w:spacing w:before="0" w:after="100"/>
        <w:rPr>
          <w:rFonts w:ascii="Arial" w:hAnsi="Arial" w:eastAsia="Arial" w:cs="Arial"/>
          <w:sz w:val="22"/>
          <w:szCs w:val="22"/>
        </w:rPr>
      </w:pPr>
      <w:r>
        <w:rPr>
          <w:rFonts w:eastAsia="Arial" w:cs="Arial" w:ascii="Arial" w:hAnsi="Arial"/>
          <w:sz w:val="22"/>
          <w:szCs w:val="22"/>
        </w:rPr>
        <w:t>In teleost fish — 11-KT dominant species — the olfactory system is directly wired to reproductive hormonal cascades:</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Male fish release pheromones (prostaglandins, steroid glucuronides) into the water</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Female olfactory neurons detect these chemicals through olfactory receptors</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Detection triggers a neuroendocrine cascade: GnRH release → LH surge → ovulation</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In males, 11-KT drives pheromone production AND responds to detected pheromones by modulating territorial/courtship behavior [55][56]</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The olfactory → hormonal axis in fish is direct: smell → brain → hormone release. No intermediate cognitive processing. The olfactory receptor triggers the endocrine response.</w:t>
      </w:r>
    </w:p>
    <w:p>
      <w:pPr>
        <w:pStyle w:val="Normal"/>
        <w:spacing w:before="0" w:after="100"/>
        <w:rPr>
          <w:rFonts w:ascii="Arial" w:hAnsi="Arial" w:eastAsia="Arial" w:cs="Arial"/>
          <w:sz w:val="22"/>
          <w:szCs w:val="22"/>
        </w:rPr>
      </w:pPr>
      <w:r>
        <w:rPr>
          <w:rFonts w:eastAsia="Arial" w:cs="Arial" w:ascii="Arial" w:hAnsi="Arial"/>
          <w:sz w:val="22"/>
          <w:szCs w:val="22"/>
        </w:rPr>
        <w:t>This is not limited to fish. In mammals, the vomeronasal organ (VNO) detects pheromones and triggers hormonal responses through the accessory olfactory bulb → hypothalamus → GnRH pathway. Humans have a vestigial VNO but express olfactory receptors in tissues throughout the body.</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7B.4 455+ OR Variants in Context</w:t>
      </w:r>
    </w:p>
    <w:p>
      <w:pPr>
        <w:pStyle w:val="Normal"/>
        <w:spacing w:before="0" w:after="100"/>
        <w:rPr>
          <w:rFonts w:ascii="Arial" w:hAnsi="Arial" w:eastAsia="Arial" w:cs="Arial"/>
          <w:sz w:val="22"/>
          <w:szCs w:val="22"/>
        </w:rPr>
      </w:pPr>
      <w:r>
        <w:rPr>
          <w:rFonts w:eastAsia="Arial" w:cs="Arial" w:ascii="Arial" w:hAnsi="Arial"/>
          <w:sz w:val="22"/>
          <w:szCs w:val="22"/>
        </w:rPr>
        <w:t>455+ variants across 130+ olfactory receptors means the chemical sensing network is extensively modified at the gene level. These modifications could affect:</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What chemicals the receptors detect (ligand specificity)</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How strongly they respond (signaling efficiency)</w:t>
      </w:r>
    </w:p>
    <w:p>
      <w:pPr>
        <w:pStyle w:val="Normal"/>
        <w:spacing w:before="0" w:after="100"/>
        <w:rPr>
          <w:rFonts w:ascii="Arial" w:hAnsi="Arial"/>
        </w:rPr>
      </w:pPr>
      <w:r>
        <w:rPr>
          <w:rFonts w:eastAsia="Arial" w:cs="Arial" w:ascii="Arial" w:hAnsi="Arial"/>
          <w:sz w:val="22"/>
          <w:szCs w:val="22"/>
        </w:rPr>
        <w:t xml:space="preserve">• </w:t>
      </w:r>
      <w:r>
        <w:rPr>
          <w:rFonts w:eastAsia="Arial" w:cs="Arial" w:ascii="Arial" w:hAnsi="Arial"/>
          <w:sz w:val="22"/>
          <w:szCs w:val="22"/>
        </w:rPr>
        <w:t>Which tissues they're expressed in (tissue-specific regulation)</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How they interact with the endocrine system (neuroendocrine coupling)</w:t>
      </w:r>
    </w:p>
    <w:p>
      <w:pPr>
        <w:pStyle w:val="Normal"/>
        <w:spacing w:before="0" w:after="100"/>
        <w:rPr>
          <w:rFonts w:ascii="Arial" w:hAnsi="Arial" w:eastAsia="Arial" w:cs="Arial"/>
          <w:sz w:val="22"/>
          <w:szCs w:val="22"/>
        </w:rPr>
      </w:pPr>
      <w:r>
        <w:rPr>
          <w:rFonts w:eastAsia="Arial" w:cs="Arial" w:ascii="Arial" w:hAnsi="Arial"/>
          <w:sz w:val="22"/>
          <w:szCs w:val="22"/>
        </w:rPr>
        <w:t>In the context of a genome where the 11-KT pathway is comprehensively modified, the olfactory system modification is consistent with a pattern where androgen-related chemical sensing is built from different instructions. In 11-KT dominant species, the olfactory system IS the hormonal trigger system. 455+ variants in the chemical sensing network sit alongside 10/10 11-KT pathway modifications.</w:t>
      </w:r>
    </w:p>
    <w:p>
      <w:pPr>
        <w:pStyle w:val="Normal"/>
        <w:spacing w:before="0" w:after="120"/>
        <w:rPr>
          <w:rFonts w:ascii="Arial" w:hAnsi="Arial"/>
        </w:rPr>
      </w:pPr>
      <w:r>
        <w:rPr>
          <w:rFonts w:ascii="Arial" w:hAnsi="Arial"/>
        </w:rPr>
        <w:t>Plain English: In fish that run on 11-KT, the smell system is directly connected to the hormone system — detecting a chemical triggers hormone release with no thinking in between. Humans have the same types of receptors, expressed throughout the body, not just the nose. 455+ variants across 130+ different chemical sensor types. The chemical communication network is extensively different, in a genome where the 11-KT hormone production system is also comprehensively modified.</w:t>
      </w:r>
      <w:r>
        <w:br w:type="page"/>
      </w:r>
    </w:p>
    <w:p>
      <w:pPr>
        <w:pStyle w:val="Normal"/>
        <w:spacing w:before="0" w:after="120"/>
        <w:rPr>
          <w:rFonts w:ascii="Arial" w:hAnsi="Arial" w:eastAsia="Arial" w:cs="Arial"/>
          <w:b w:val="false"/>
          <w:bCs w:val="false"/>
          <w:i/>
          <w:i/>
          <w:iCs/>
          <w:color w:val="7B2D26"/>
          <w:sz w:val="18"/>
          <w:szCs w:val="18"/>
        </w:rPr>
      </w:pPr>
      <w:r>
        <w:rPr>
          <w:rFonts w:eastAsia="Arial" w:cs="Arial" w:ascii="Arial" w:hAnsi="Arial"/>
          <w:b w:val="false"/>
          <w:bCs w:val="false"/>
          <w:i/>
          <w:iCs/>
          <w:color w:val="7B2D26"/>
          <w:sz w:val="18"/>
          <w:szCs w:val="18"/>
        </w:rPr>
        <w:t>Fast-twitch muscle fiber protein. Determines power vs endurance fiber type. Androgens build the muscle ACTN3 organizes.</w:t>
      </w:r>
      <w:r>
        <w:br w:type="page"/>
      </w:r>
    </w:p>
    <w:p>
      <w:pPr>
        <w:pStyle w:val="Heading1"/>
        <w:spacing w:before="360" w:after="200"/>
        <w:rPr>
          <w:rFonts w:ascii="Arial" w:hAnsi="Arial"/>
          <w:b/>
          <w:bCs/>
        </w:rPr>
      </w:pPr>
      <w:r>
        <w:rPr>
          <w:b/>
          <w:bCs/>
        </w:rPr>
        <w:t>Section 8: Structural Proteins</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[9][10]</w:t>
      </w:r>
    </w:p>
    <w:p>
      <w:pPr>
        <w:pStyle w:val="Normal"/>
        <w:spacing w:before="0" w:after="100"/>
        <w:rPr>
          <w:rFonts w:ascii="Arial" w:hAnsi="Arial"/>
        </w:rPr>
      </w:pPr>
      <w:r>
        <w:rPr>
          <w:rFonts w:ascii="Arial" w:hAnsi="Arial"/>
        </w:rPr>
      </w:r>
    </w:p>
    <w:tbl>
      <w:tblPr>
        <w:tblW w:w="9400" w:type="dxa"/>
        <w:jc w:val="left"/>
        <w:tblInd w:w="0" w:type="dxa"/>
        <w:tblLayout w:type="fixed"/>
        <w:tblCellMar>
          <w:top w:w="60" w:type="dxa"/>
          <w:left w:w="100" w:type="dxa"/>
          <w:bottom w:w="60" w:type="dxa"/>
          <w:right w:w="100" w:type="dxa"/>
        </w:tblCellMar>
      </w:tblPr>
      <w:tblGrid>
        <w:gridCol w:w="1200"/>
        <w:gridCol w:w="2199"/>
        <w:gridCol w:w="800"/>
        <w:gridCol w:w="800"/>
        <w:gridCol w:w="4401"/>
      </w:tblGrid>
      <w:tr>
        <w:trPr/>
        <w:tc>
          <w:tcPr>
            <w:tcW w:w="12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Gene</w:t>
            </w:r>
          </w:p>
        </w:tc>
        <w:tc>
          <w:tcPr>
            <w:tcW w:w="21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Type</w:t>
            </w:r>
          </w:p>
        </w:tc>
        <w:tc>
          <w:tcPr>
            <w:tcW w:w="8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G37</w:t>
            </w:r>
          </w:p>
        </w:tc>
        <w:tc>
          <w:tcPr>
            <w:tcW w:w="8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Hom</w:t>
            </w:r>
          </w:p>
        </w:tc>
        <w:tc>
          <w:tcPr>
            <w:tcW w:w="44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What it builds</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FBN1</w:t>
            </w:r>
          </w:p>
        </w:tc>
        <w:tc>
          <w:tcPr>
            <w:tcW w:w="21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Fibrillin-1</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16</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15</w:t>
            </w:r>
          </w:p>
        </w:tc>
        <w:tc>
          <w:tcPr>
            <w:tcW w:w="44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Elastic tissue scaffold. Microfibrils in skin, vessels, ligaments. 15 of 16 HOMOZYGOUS — the elastic framework is different on both copies at nearly every position.</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COL3A1</w:t>
            </w:r>
          </w:p>
        </w:tc>
        <w:tc>
          <w:tcPr>
            <w:tcW w:w="21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Collagen III</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14</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4</w:t>
            </w:r>
          </w:p>
        </w:tc>
        <w:tc>
          <w:tcPr>
            <w:tcW w:w="44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Structural protein in skin, blood vessels, hollow organs.</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ACTA2</w:t>
            </w:r>
          </w:p>
        </w:tc>
        <w:tc>
          <w:tcPr>
            <w:tcW w:w="21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Smooth muscle actin</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9</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6</w:t>
            </w:r>
          </w:p>
        </w:tc>
        <w:tc>
          <w:tcPr>
            <w:tcW w:w="44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Smooth muscle. Blood vessel walls, gut, airways. 6 homozygous.</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FBN3</w:t>
            </w:r>
          </w:p>
        </w:tc>
        <w:tc>
          <w:tcPr>
            <w:tcW w:w="21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Fibrillin-3</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9</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t>
            </w:r>
          </w:p>
        </w:tc>
        <w:tc>
          <w:tcPr>
            <w:tcW w:w="44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Third fibrillin component.</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COL6A5</w:t>
            </w:r>
          </w:p>
        </w:tc>
        <w:tc>
          <w:tcPr>
            <w:tcW w:w="21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Collagen VI</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11</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t>
            </w:r>
          </w:p>
        </w:tc>
        <w:tc>
          <w:tcPr>
            <w:tcW w:w="44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Connective tissue matrix.</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ACTN3</w:t>
            </w:r>
          </w:p>
        </w:tc>
        <w:tc>
          <w:tcPr>
            <w:tcW w:w="21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Alpha-actinin-3</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6</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w:t>
            </w:r>
          </w:p>
        </w:tc>
        <w:tc>
          <w:tcPr>
            <w:tcW w:w="44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Fast-twitch muscle fiber protein. Determines power vs endurance fiber type. Androgens build the muscle ACTN3 organizes.</w:t>
            </w:r>
          </w:p>
        </w:tc>
      </w:tr>
    </w:tbl>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Plain English: The structural scaffolding the body is built on. Fibrillin (elastic tissue) at 15 of 16 homozygous — the elastic framework is different on both copies. Collagen (structural protein in skin and organs). Actin (muscle). Actinin (muscle fiber type). The materials the body is built from are specified by a different blueprint.</w:t>
      </w:r>
      <w:r>
        <w:br w:type="page"/>
      </w:r>
    </w:p>
    <w:p>
      <w:pPr>
        <w:pStyle w:val="Heading1"/>
        <w:spacing w:before="360" w:after="200"/>
        <w:rPr>
          <w:rFonts w:ascii="Arial" w:hAnsi="Arial"/>
          <w:b/>
          <w:bCs/>
        </w:rPr>
      </w:pPr>
      <w:r>
        <w:rPr>
          <w:b/>
          <w:bCs/>
        </w:rPr>
        <w:t>Section 9: Ion Channels — Electrical Signaling</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[9][10][14][15]</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RYR2 — Most Modified Gene in the Genome</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133 variants, 78 homozygous. Sample:</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Chr1:237270672  T→C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Chr1:237339415  T→C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Chr1:237339552  T→A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Chr1:237339587  A→AT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Chr1:237350733  G→A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...78 homozygous total across 133 variants  [9][10]</w:t>
      </w:r>
    </w:p>
    <w:p>
      <w:pPr>
        <w:pStyle w:val="Normal"/>
        <w:spacing w:before="0" w:after="60"/>
        <w:rPr>
          <w:rFonts w:ascii="Arial" w:hAnsi="Arial"/>
        </w:rPr>
      </w:pPr>
      <w:r>
        <w:rPr>
          <w:rFonts w:eastAsia="Arial" w:cs="Arial" w:ascii="Arial" w:hAnsi="Arial"/>
          <w:b/>
          <w:bCs/>
          <w:sz w:val="22"/>
          <w:szCs w:val="22"/>
        </w:rPr>
        <w:t xml:space="preserve">NOT_IN_ANY_DB [12]: </w:t>
      </w:r>
      <w:r>
        <w:rPr>
          <w:rFonts w:eastAsia="Arial" w:cs="Arial" w:ascii="Arial" w:hAnsi="Arial"/>
          <w:sz w:val="22"/>
          <w:szCs w:val="22"/>
        </w:rPr>
        <w:t>5 additional in RYR2 region.</w:t>
      </w:r>
    </w:p>
    <w:p>
      <w:pPr>
        <w:pStyle w:val="Normal"/>
        <w:spacing w:before="0" w:after="100"/>
        <w:rPr>
          <w:rFonts w:ascii="Arial" w:hAnsi="Arial" w:eastAsia="Arial" w:cs="Arial"/>
          <w:sz w:val="22"/>
          <w:szCs w:val="22"/>
        </w:rPr>
      </w:pPr>
      <w:r>
        <w:rPr>
          <w:rFonts w:eastAsia="Arial" w:cs="Arial" w:ascii="Arial" w:hAnsi="Arial"/>
          <w:sz w:val="22"/>
          <w:szCs w:val="22"/>
        </w:rPr>
        <w:t>What RYR2 does: Ryanodine receptor 2. The calcium release channel in the sarcoplasmic/endoplasmic reticulum. When it opens, calcium floods into the cell. This calcium does two things: (1) triggers muscle contraction, and (2) activates StAR protein which moves cholesterol into mitochondria to START steroid production. RYR2 is the ignition key for both muscle function and steroidogenesis. 78 homozygous — the most modified gene in the entire genome — means the calcium dynamics that drive both muscle and hormone production are different on both copies at 78 positions.</w:t>
      </w:r>
    </w:p>
    <w:p>
      <w:pPr>
        <w:pStyle w:val="Normal"/>
        <w:spacing w:before="0" w:after="100"/>
        <w:rPr>
          <w:rFonts w:ascii="Arial" w:hAnsi="Arial"/>
        </w:rPr>
      </w:pPr>
      <w:r>
        <w:rPr>
          <w:rFonts w:ascii="Arial" w:hAnsi="Arial"/>
        </w:rPr>
      </w:r>
    </w:p>
    <w:tbl>
      <w:tblPr>
        <w:tblW w:w="9400" w:type="dxa"/>
        <w:jc w:val="left"/>
        <w:tblInd w:w="0" w:type="dxa"/>
        <w:tblLayout w:type="fixed"/>
        <w:tblCellMar>
          <w:top w:w="60" w:type="dxa"/>
          <w:left w:w="100" w:type="dxa"/>
          <w:bottom w:w="60" w:type="dxa"/>
          <w:right w:w="100" w:type="dxa"/>
        </w:tblCellMar>
      </w:tblPr>
      <w:tblGrid>
        <w:gridCol w:w="1200"/>
        <w:gridCol w:w="1499"/>
        <w:gridCol w:w="800"/>
        <w:gridCol w:w="800"/>
        <w:gridCol w:w="5101"/>
      </w:tblGrid>
      <w:tr>
        <w:trPr/>
        <w:tc>
          <w:tcPr>
            <w:tcW w:w="12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Gene</w:t>
            </w:r>
          </w:p>
        </w:tc>
        <w:tc>
          <w:tcPr>
            <w:tcW w:w="14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Ion</w:t>
            </w:r>
          </w:p>
        </w:tc>
        <w:tc>
          <w:tcPr>
            <w:tcW w:w="8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G37</w:t>
            </w:r>
          </w:p>
        </w:tc>
        <w:tc>
          <w:tcPr>
            <w:tcW w:w="8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Hom</w:t>
            </w:r>
          </w:p>
        </w:tc>
        <w:tc>
          <w:tcPr>
            <w:tcW w:w="51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What it does</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SCN5A</w:t>
            </w:r>
          </w:p>
        </w:tc>
        <w:tc>
          <w:tcPr>
            <w:tcW w:w="14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Sodium</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17</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11</w:t>
            </w:r>
          </w:p>
        </w:tc>
        <w:tc>
          <w:tcPr>
            <w:tcW w:w="51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Generates electrical signals. 11 homozygous.</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KCNQ1</w:t>
            </w:r>
          </w:p>
        </w:tc>
        <w:tc>
          <w:tcPr>
            <w:tcW w:w="14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Potassium</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15</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14</w:t>
            </w:r>
          </w:p>
        </w:tc>
        <w:tc>
          <w:tcPr>
            <w:tcW w:w="51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Resets cells after firing. 14 of 15 homozygous.</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KCNH2</w:t>
            </w:r>
          </w:p>
        </w:tc>
        <w:tc>
          <w:tcPr>
            <w:tcW w:w="14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Potassium (hERG)</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20</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w:t>
            </w:r>
          </w:p>
        </w:tc>
        <w:tc>
          <w:tcPr>
            <w:tcW w:w="51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Second potassium channel.</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KCNJ12</w:t>
            </w:r>
          </w:p>
        </w:tc>
        <w:tc>
          <w:tcPr>
            <w:tcW w:w="14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Potassium (inward)</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31</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t>
            </w:r>
          </w:p>
        </w:tc>
        <w:tc>
          <w:tcPr>
            <w:tcW w:w="51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Third potassium type.</w:t>
            </w:r>
          </w:p>
        </w:tc>
      </w:tr>
    </w:tbl>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Plain English: Four ion channel types controlling electrical signaling are all modified. Calcium (133 variants, 78 homozygous), sodium (17, 11 hom), potassium KCNQ1 (15, 14 hom), potassium KCNH2 (20), potassium KCNJ12 (31). The electrical signaling system — how cells generate, transmit, and reset signals — is built from different specifications.</w:t>
      </w:r>
      <w:r>
        <w:br w:type="page"/>
      </w:r>
    </w:p>
    <w:p>
      <w:pPr>
        <w:pStyle w:val="Heading1"/>
        <w:spacing w:before="360" w:after="200"/>
        <w:rPr>
          <w:rFonts w:ascii="Arial" w:hAnsi="Arial"/>
          <w:b/>
          <w:bCs/>
        </w:rPr>
      </w:pPr>
      <w:r>
        <w:rPr>
          <w:b/>
          <w:bCs/>
        </w:rPr>
        <w:t>Section 10: DNA Repair</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[1][2][9][10][14][15][40][41][42][43]</w:t>
      </w:r>
    </w:p>
    <w:p>
      <w:pPr>
        <w:pStyle w:val="Normal"/>
        <w:spacing w:before="0" w:after="100"/>
        <w:rPr>
          <w:rFonts w:ascii="Arial" w:hAnsi="Arial"/>
        </w:rPr>
      </w:pPr>
      <w:r>
        <w:rPr>
          <w:rFonts w:ascii="Arial" w:hAnsi="Arial"/>
        </w:rPr>
      </w:r>
    </w:p>
    <w:tbl>
      <w:tblPr>
        <w:tblW w:w="9400" w:type="dxa"/>
        <w:jc w:val="left"/>
        <w:tblInd w:w="0" w:type="dxa"/>
        <w:tblLayout w:type="fixed"/>
        <w:tblCellMar>
          <w:top w:w="60" w:type="dxa"/>
          <w:left w:w="100" w:type="dxa"/>
          <w:bottom w:w="60" w:type="dxa"/>
          <w:right w:w="100" w:type="dxa"/>
        </w:tblCellMar>
      </w:tblPr>
      <w:tblGrid>
        <w:gridCol w:w="1200"/>
        <w:gridCol w:w="2199"/>
        <w:gridCol w:w="800"/>
        <w:gridCol w:w="800"/>
        <w:gridCol w:w="600"/>
        <w:gridCol w:w="3801"/>
      </w:tblGrid>
      <w:tr>
        <w:trPr/>
        <w:tc>
          <w:tcPr>
            <w:tcW w:w="12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Gene</w:t>
            </w:r>
          </w:p>
        </w:tc>
        <w:tc>
          <w:tcPr>
            <w:tcW w:w="21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Repair Type</w:t>
            </w:r>
          </w:p>
        </w:tc>
        <w:tc>
          <w:tcPr>
            <w:tcW w:w="8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G37</w:t>
            </w:r>
          </w:p>
        </w:tc>
        <w:tc>
          <w:tcPr>
            <w:tcW w:w="8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G38</w:t>
            </w:r>
          </w:p>
        </w:tc>
        <w:tc>
          <w:tcPr>
            <w:tcW w:w="6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Hom</w:t>
            </w:r>
          </w:p>
        </w:tc>
        <w:tc>
          <w:tcPr>
            <w:tcW w:w="38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Cross-reference</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BRCA1</w:t>
            </w:r>
          </w:p>
        </w:tc>
        <w:tc>
          <w:tcPr>
            <w:tcW w:w="21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Double-strand break</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41</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31</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6</w:t>
            </w:r>
          </w:p>
        </w:tc>
        <w:tc>
          <w:tcPr>
            <w:tcW w:w="3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Ancestry [1]: 10 D/I + Chr17 3x density. WGS: 41 variants (4x expansion).</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BRCA2</w:t>
            </w:r>
          </w:p>
        </w:tc>
        <w:tc>
          <w:tcPr>
            <w:tcW w:w="21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Double-strand break</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50</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33</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20</w:t>
            </w:r>
          </w:p>
        </w:tc>
        <w:tc>
          <w:tcPr>
            <w:tcW w:w="3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Ancestry [1]: 5 D/I + 3 pathogenic frameshifts. WGS: 50 variants. 20 homozygous.</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TP53</w:t>
            </w:r>
          </w:p>
        </w:tc>
        <w:tc>
          <w:tcPr>
            <w:tcW w:w="21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Cell life/death decision</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20</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11</w:t>
            </w:r>
          </w:p>
        </w:tc>
        <w:tc>
          <w:tcPr>
            <w:tcW w:w="3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NOT IN ANCESTRY. NEW WGS FINDING. 11 homozygous.</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MLH1</w:t>
            </w:r>
          </w:p>
        </w:tc>
        <w:tc>
          <w:tcPr>
            <w:tcW w:w="21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Mismatch repair</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9</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8</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9</w:t>
            </w:r>
          </w:p>
        </w:tc>
        <w:tc>
          <w:tcPr>
            <w:tcW w:w="3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Ancestry scoring [2]: 73 exceptional. WGS: ALL 9 homozygous.</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MSH2</w:t>
            </w:r>
          </w:p>
        </w:tc>
        <w:tc>
          <w:tcPr>
            <w:tcW w:w="21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Mismatch detection</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16</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13</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7</w:t>
            </w:r>
          </w:p>
        </w:tc>
        <w:tc>
          <w:tcPr>
            <w:tcW w:w="3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Ancestry scoring [2]: 130 exceptional.</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APC</w:t>
            </w:r>
          </w:p>
        </w:tc>
        <w:tc>
          <w:tcPr>
            <w:tcW w:w="21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Cell division</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27</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8</w:t>
            </w:r>
          </w:p>
        </w:tc>
        <w:tc>
          <w:tcPr>
            <w:tcW w:w="3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rPr>
            </w:pPr>
            <w:r>
              <w:rPr>
                <w:rFonts w:ascii="Arial" w:hAnsi="Arial"/>
              </w:rPr>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FANCC</w:t>
            </w:r>
          </w:p>
        </w:tc>
        <w:tc>
          <w:tcPr>
            <w:tcW w:w="21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Crosslink repair</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10</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12</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6</w:t>
            </w:r>
          </w:p>
        </w:tc>
        <w:tc>
          <w:tcPr>
            <w:tcW w:w="3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Ancestry [1]: D/I 110bp from ClinVar probe.</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FANCA</w:t>
            </w:r>
          </w:p>
        </w:tc>
        <w:tc>
          <w:tcPr>
            <w:tcW w:w="21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Fanconi pathway</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7</w:t>
            </w:r>
          </w:p>
        </w:tc>
        <w:tc>
          <w:tcPr>
            <w:tcW w:w="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7</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w:t>
            </w:r>
          </w:p>
        </w:tc>
        <w:tc>
          <w:tcPr>
            <w:tcW w:w="3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rPr>
            </w:pPr>
            <w:r>
              <w:rPr>
                <w:rFonts w:ascii="Arial" w:hAnsi="Arial"/>
              </w:rPr>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TP53 — New WGS Finding</w:t>
      </w:r>
    </w:p>
    <w:p>
      <w:pPr>
        <w:pStyle w:val="Normal"/>
        <w:spacing w:before="0" w:after="60"/>
        <w:rPr>
          <w:rFonts w:ascii="Arial" w:hAnsi="Arial"/>
        </w:rPr>
      </w:pPr>
      <w:r>
        <w:rPr>
          <w:rFonts w:eastAsia="Arial" w:cs="Arial" w:ascii="Arial" w:hAnsi="Arial"/>
          <w:b/>
          <w:bCs/>
          <w:sz w:val="22"/>
          <w:szCs w:val="22"/>
        </w:rPr>
        <w:t xml:space="preserve">WGS GRCh37 [9]: </w:t>
      </w:r>
      <w:r>
        <w:rPr>
          <w:rFonts w:eastAsia="Arial" w:cs="Arial" w:ascii="Arial" w:hAnsi="Arial"/>
          <w:sz w:val="22"/>
          <w:szCs w:val="22"/>
        </w:rPr>
        <w:t>20 variants, 11 homozygous. Sample:</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Chr17:7566979   A→G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Chr17:7569698   A→C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Chr17:7570878   G→A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Chr17:7570929   C→T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Chr17:7576276   T→A  GT:1/1  Score:110  [9]</w:t>
      </w:r>
    </w:p>
    <w:p>
      <w:pPr>
        <w:pStyle w:val="Normal"/>
        <w:spacing w:before="0" w:after="100"/>
        <w:rPr>
          <w:rFonts w:ascii="Arial" w:hAnsi="Arial" w:eastAsia="Arial" w:cs="Arial"/>
          <w:sz w:val="22"/>
          <w:szCs w:val="22"/>
        </w:rPr>
      </w:pPr>
      <w:r>
        <w:rPr>
          <w:rFonts w:eastAsia="Arial" w:cs="Arial" w:ascii="Arial" w:hAnsi="Arial"/>
          <w:sz w:val="22"/>
          <w:szCs w:val="22"/>
        </w:rPr>
        <w:t>What TP53 does: The guardian of the genome. When a cell's DNA is damaged, TP53 decides: repair it or destroy it (apoptosis). If the damage is fixable, TP53 stops the cell cycle and lets repair enzymes work. If the damage is too severe, TP53 triggers self-destruction. 20 variants with 11 homozygous means the guardian itself — the master decision-maker for cellular life and death — is extensively modified on both copies.</w:t>
      </w:r>
    </w:p>
    <w:p>
      <w:pPr>
        <w:pStyle w:val="Normal"/>
        <w:spacing w:before="0" w:after="100"/>
        <w:rPr>
          <w:rFonts w:ascii="Arial" w:hAnsi="Arial" w:eastAsia="Arial" w:cs="Arial"/>
          <w:sz w:val="22"/>
          <w:szCs w:val="22"/>
        </w:rPr>
      </w:pPr>
      <w:r>
        <w:rPr>
          <w:rFonts w:eastAsia="Arial" w:cs="Arial" w:ascii="Arial" w:hAnsi="Arial"/>
          <w:sz w:val="22"/>
          <w:szCs w:val="22"/>
        </w:rPr>
        <w:t>This was NOT in the AncestryDNA analysis. The microarray did not flag TP53. The whole genome sequencing found 20 variants. This is a genuinely new finding.</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Plain English: The DNA repair toolkit is modified across every major repair mechanism. The crew that fixes snapped strands (BRCA1/2: 91 combined, 26 homozygous). The crew that fixes copying errors (MLH1/MSH2: 25 combined, MLH1 ALL 9 homozygous). The crew that fixes stuck strands (FANCC/FANCA: 17 combined). And the foreman who decides whether damaged cells live or die (TP53: 20 variants, 11 homozygous) — found only by WGS, invisible to the microarray.</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Section 7B: Olfactory Receptors — Connection to 11-KT Species</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Citations: [9][10][55][56][57]</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7B.1 Scale</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WGS GRCh37 [9][10]: 455+ variants across 130+ OR genes</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Top genes: OR4C5 (41), OR8U1 (31), OR4C3 (27), OR9G1 (22), OR2T8 (9), OR8G5 (8), OR52E6 (8), OR8D4 (7), OR2W3 (7), OR10J1 (6), OR4C46 (6), OR10X1 (5), OR2T35 (5)</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The single largest gene family finding in the entire dataset. More variants than any individual gene except RYR2.</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7B.2 Olfactory Receptors Are Not Just for Smell</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Olfactory receptors (ORs) are G protein-coupled receptors. The human genome has ~400 functional OR genes — the largest gene family. They were discovered in nasal epithelium, but they are now known to be expressed in:</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 xml:space="preserve">• </w:t>
      </w:r>
      <w:r>
        <w:rPr>
          <w:rFonts w:eastAsia="Arial" w:cs="Arial" w:ascii="Arial" w:hAnsi="Arial"/>
          <w:b w:val="false"/>
          <w:bCs w:val="false"/>
          <w:i/>
          <w:iCs/>
          <w:color w:val="7B2D26"/>
          <w:sz w:val="22"/>
          <w:szCs w:val="22"/>
        </w:rPr>
        <w:t>Kidney (chemical sensing in renal tubules)</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 xml:space="preserve">• </w:t>
      </w:r>
      <w:r>
        <w:rPr>
          <w:rFonts w:eastAsia="Arial" w:cs="Arial" w:ascii="Arial" w:hAnsi="Arial"/>
          <w:b w:val="false"/>
          <w:bCs w:val="false"/>
          <w:i/>
          <w:iCs/>
          <w:color w:val="7B2D26"/>
          <w:sz w:val="22"/>
          <w:szCs w:val="22"/>
        </w:rPr>
        <w:t>Sperm (chemotaxis — guiding sperm toward the egg)</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 xml:space="preserve">• </w:t>
      </w:r>
      <w:r>
        <w:rPr>
          <w:rFonts w:eastAsia="Arial" w:cs="Arial" w:ascii="Arial" w:hAnsi="Arial"/>
          <w:b w:val="false"/>
          <w:bCs w:val="false"/>
          <w:i/>
          <w:iCs/>
          <w:color w:val="7B2D26"/>
          <w:sz w:val="22"/>
          <w:szCs w:val="22"/>
        </w:rPr>
        <w:t>Prostate</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 xml:space="preserve">• </w:t>
      </w:r>
      <w:r>
        <w:rPr>
          <w:rFonts w:eastAsia="Arial" w:cs="Arial" w:ascii="Arial" w:hAnsi="Arial"/>
          <w:b w:val="false"/>
          <w:bCs w:val="false"/>
          <w:i/>
          <w:iCs/>
          <w:color w:val="7B2D26"/>
          <w:sz w:val="22"/>
          <w:szCs w:val="22"/>
        </w:rPr>
        <w:t>Gut (nutrient and toxin sensing)</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 xml:space="preserve">• </w:t>
      </w:r>
      <w:r>
        <w:rPr>
          <w:rFonts w:eastAsia="Arial" w:cs="Arial" w:ascii="Arial" w:hAnsi="Arial"/>
          <w:b w:val="false"/>
          <w:bCs w:val="false"/>
          <w:i/>
          <w:iCs/>
          <w:color w:val="7B2D26"/>
          <w:sz w:val="22"/>
          <w:szCs w:val="22"/>
        </w:rPr>
        <w:t>Skin (wound healing signaling)</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 xml:space="preserve">• </w:t>
      </w:r>
      <w:r>
        <w:rPr>
          <w:rFonts w:eastAsia="Arial" w:cs="Arial" w:ascii="Arial" w:hAnsi="Arial"/>
          <w:b w:val="false"/>
          <w:bCs w:val="false"/>
          <w:i/>
          <w:iCs/>
          <w:color w:val="7B2D26"/>
          <w:sz w:val="22"/>
          <w:szCs w:val="22"/>
        </w:rPr>
        <w:t>Liver</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 xml:space="preserve">• </w:t>
      </w:r>
      <w:r>
        <w:rPr>
          <w:rFonts w:eastAsia="Arial" w:cs="Arial" w:ascii="Arial" w:hAnsi="Arial"/>
          <w:b w:val="false"/>
          <w:bCs w:val="false"/>
          <w:i/>
          <w:iCs/>
          <w:color w:val="7B2D26"/>
          <w:sz w:val="22"/>
          <w:szCs w:val="22"/>
        </w:rPr>
        <w:t>Heart</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These non-nasal ORs function as chemical sensors — they detect specific molecules and trigger intracellular signaling cascades. They are part of the body's chemical communication system.</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7B.3 Olfactory-Hormonal Link in 11-KT Species [55][56][57]</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In teleost fish — 11-KT dominant species — the olfactory system is directly wired to reproductive hormonal cascades:</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 xml:space="preserve">• </w:t>
      </w:r>
      <w:r>
        <w:rPr>
          <w:rFonts w:eastAsia="Arial" w:cs="Arial" w:ascii="Arial" w:hAnsi="Arial"/>
          <w:b w:val="false"/>
          <w:bCs w:val="false"/>
          <w:i/>
          <w:iCs/>
          <w:color w:val="7B2D26"/>
          <w:sz w:val="22"/>
          <w:szCs w:val="22"/>
        </w:rPr>
        <w:t>Male fish release pheromones (prostaglandins, steroid glucuronides) into the water</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 xml:space="preserve">• </w:t>
      </w:r>
      <w:r>
        <w:rPr>
          <w:rFonts w:eastAsia="Arial" w:cs="Arial" w:ascii="Arial" w:hAnsi="Arial"/>
          <w:b w:val="false"/>
          <w:bCs w:val="false"/>
          <w:i/>
          <w:iCs/>
          <w:color w:val="7B2D26"/>
          <w:sz w:val="22"/>
          <w:szCs w:val="22"/>
        </w:rPr>
        <w:t>Female olfactory neurons detect these chemicals through olfactory receptors</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 xml:space="preserve">• </w:t>
      </w:r>
      <w:r>
        <w:rPr>
          <w:rFonts w:eastAsia="Arial" w:cs="Arial" w:ascii="Arial" w:hAnsi="Arial"/>
          <w:b w:val="false"/>
          <w:bCs w:val="false"/>
          <w:i/>
          <w:iCs/>
          <w:color w:val="7B2D26"/>
          <w:sz w:val="22"/>
          <w:szCs w:val="22"/>
        </w:rPr>
        <w:t>Detection triggers a neuroendocrine cascade: GnRH release → LH surge → ovulation</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 xml:space="preserve">• </w:t>
      </w:r>
      <w:r>
        <w:rPr>
          <w:rFonts w:eastAsia="Arial" w:cs="Arial" w:ascii="Arial" w:hAnsi="Arial"/>
          <w:b w:val="false"/>
          <w:bCs w:val="false"/>
          <w:i/>
          <w:iCs/>
          <w:color w:val="7B2D26"/>
          <w:sz w:val="22"/>
          <w:szCs w:val="22"/>
        </w:rPr>
        <w:t>In males, 11-KT drives pheromone production AND responds to detected pheromones by modulating territorial/courtship behavior [55][56]</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 xml:space="preserve">• </w:t>
      </w:r>
      <w:r>
        <w:rPr>
          <w:rFonts w:eastAsia="Arial" w:cs="Arial" w:ascii="Arial" w:hAnsi="Arial"/>
          <w:b w:val="false"/>
          <w:bCs w:val="false"/>
          <w:i/>
          <w:iCs/>
          <w:color w:val="7B2D26"/>
          <w:sz w:val="22"/>
          <w:szCs w:val="22"/>
        </w:rPr>
        <w:t>The olfactory → hormonal axis in fish is direct: smell → brain → hormone release. No intermediate cognitive processing. The olfactory receptor triggers the endocrine response.</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This is not limited to fish. In mammals, the vomeronasal organ (VNO) detects pheromones and triggers hormonal responses through the accessory olfactory bulb → hypothalamus → GnRH pathway. Humans have a vestigial VNO but express olfactory receptors in tissues throughout the body.</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7B.4 455+ OR Variants in Context</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455+ variants across 130+ olfactory receptors means the chemical sensing network is extensively modified at the gene level. These modifications could affect:</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 xml:space="preserve">• </w:t>
      </w:r>
      <w:r>
        <w:rPr>
          <w:rFonts w:eastAsia="Arial" w:cs="Arial" w:ascii="Arial" w:hAnsi="Arial"/>
          <w:b w:val="false"/>
          <w:bCs w:val="false"/>
          <w:i/>
          <w:iCs/>
          <w:color w:val="7B2D26"/>
          <w:sz w:val="22"/>
          <w:szCs w:val="22"/>
        </w:rPr>
        <w:t>What chemicals the receptors detect (ligand specificity)</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 xml:space="preserve">• </w:t>
      </w:r>
      <w:r>
        <w:rPr>
          <w:rFonts w:eastAsia="Arial" w:cs="Arial" w:ascii="Arial" w:hAnsi="Arial"/>
          <w:b w:val="false"/>
          <w:bCs w:val="false"/>
          <w:i/>
          <w:iCs/>
          <w:color w:val="7B2D26"/>
          <w:sz w:val="22"/>
          <w:szCs w:val="22"/>
        </w:rPr>
        <w:t>How strongly they respond (signaling efficiency)</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 xml:space="preserve">• </w:t>
      </w:r>
      <w:r>
        <w:rPr>
          <w:rFonts w:eastAsia="Arial" w:cs="Arial" w:ascii="Arial" w:hAnsi="Arial"/>
          <w:b w:val="false"/>
          <w:bCs w:val="false"/>
          <w:i/>
          <w:iCs/>
          <w:color w:val="7B2D26"/>
          <w:sz w:val="22"/>
          <w:szCs w:val="22"/>
        </w:rPr>
        <w:t>Which tissues they're expressed in (tissue-specific regulation)</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 xml:space="preserve">• </w:t>
      </w:r>
      <w:r>
        <w:rPr>
          <w:rFonts w:eastAsia="Arial" w:cs="Arial" w:ascii="Arial" w:hAnsi="Arial"/>
          <w:b w:val="false"/>
          <w:bCs w:val="false"/>
          <w:i/>
          <w:iCs/>
          <w:color w:val="7B2D26"/>
          <w:sz w:val="22"/>
          <w:szCs w:val="22"/>
        </w:rPr>
        <w:t>How they interact with the endocrine system (neuroendocrine coupling)</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In the context of a genome where the 11-KT pathway is comprehensively modified, the olfactory system modification is consistent with a pattern where androgen-related chemical sensing is built from different instructions. In 11-KT dominant species, the olfactory system IS the hormonal trigger system. 455+ variants in the chemical sensing network sit alongside 10/10 11-KT pathway modifications.</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Plain English: In fish that run on 11-KT, the smell system is directly connected to the hormone system — detecting a chemical triggers hormone release with no thinking in between. Humans have the same types of receptors, expressed throughout the body, not just the nose. 455+ variants across 130+ different chemical sensor types. The chemical communication network is extensively different, in a genome where the 11-KT hormone production system is also comprehensively modified.</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r>
    </w:p>
    <w:p>
      <w:pPr>
        <w:pStyle w:val="Heading1"/>
        <w:spacing w:before="360" w:after="200"/>
        <w:rPr>
          <w:rFonts w:ascii="Arial" w:hAnsi="Arial"/>
          <w:b/>
          <w:bCs/>
        </w:rPr>
      </w:pPr>
      <w:r>
        <w:rPr>
          <w:b/>
          <w:bCs/>
        </w:rPr>
        <w:t>Section 10C: Lynch Syndrome Genes — MSH2 and MLH1</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[2][3][9][10]</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10C.1 AncestryDNA Scoring [2][3]</w:t>
      </w:r>
    </w:p>
    <w:p>
      <w:pPr>
        <w:pStyle w:val="Normal"/>
        <w:spacing w:before="0" w:after="60"/>
        <w:rPr>
          <w:rFonts w:ascii="Arial" w:hAnsi="Arial"/>
        </w:rPr>
      </w:pPr>
      <w:r>
        <w:rPr>
          <w:rFonts w:eastAsia="Arial" w:cs="Arial" w:ascii="Arial" w:hAnsi="Arial"/>
          <w:b/>
          <w:bCs/>
          <w:sz w:val="22"/>
          <w:szCs w:val="22"/>
        </w:rPr>
        <w:t xml:space="preserve">MSH2 EXCEPTIONAL [3]: </w:t>
      </w:r>
      <w:r>
        <w:rPr>
          <w:rFonts w:eastAsia="Arial" w:cs="Arial" w:ascii="Arial" w:hAnsi="Arial"/>
          <w:sz w:val="22"/>
          <w:szCs w:val="22"/>
        </w:rPr>
        <w:t>130 variants scored ≥200 — the highest count of any gene in the EXCEPTIONAL tier</w:t>
      </w:r>
    </w:p>
    <w:p>
      <w:pPr>
        <w:pStyle w:val="Normal"/>
        <w:spacing w:before="0" w:after="60"/>
        <w:rPr>
          <w:rFonts w:ascii="Arial" w:hAnsi="Arial"/>
        </w:rPr>
      </w:pPr>
      <w:r>
        <w:rPr>
          <w:rFonts w:eastAsia="Arial" w:cs="Arial" w:ascii="Arial" w:hAnsi="Arial"/>
          <w:b/>
          <w:bCs/>
          <w:sz w:val="22"/>
          <w:szCs w:val="22"/>
        </w:rPr>
        <w:t xml:space="preserve">MLH1 EXCEPTIONAL [3]: </w:t>
      </w:r>
      <w:r>
        <w:rPr>
          <w:rFonts w:eastAsia="Arial" w:cs="Arial" w:ascii="Arial" w:hAnsi="Arial"/>
          <w:sz w:val="22"/>
          <w:szCs w:val="22"/>
        </w:rPr>
        <w:t>73 variants scored ≥200</w:t>
      </w:r>
    </w:p>
    <w:p>
      <w:pPr>
        <w:pStyle w:val="Normal"/>
        <w:spacing w:before="0" w:after="60"/>
        <w:rPr>
          <w:rFonts w:ascii="Arial" w:hAnsi="Arial"/>
        </w:rPr>
      </w:pPr>
      <w:r>
        <w:rPr>
          <w:rFonts w:eastAsia="Arial" w:cs="Arial" w:ascii="Arial" w:hAnsi="Arial"/>
          <w:b/>
          <w:bCs/>
          <w:sz w:val="22"/>
          <w:szCs w:val="22"/>
        </w:rPr>
        <w:t xml:space="preserve">Combined: </w:t>
      </w:r>
      <w:r>
        <w:rPr>
          <w:rFonts w:eastAsia="Arial" w:cs="Arial" w:ascii="Arial" w:hAnsi="Arial"/>
          <w:sz w:val="22"/>
          <w:szCs w:val="22"/>
        </w:rPr>
        <w:t>203 EXCEPTIONAL-tier variants in the two mismatch repair genes</w:t>
      </w:r>
    </w:p>
    <w:p>
      <w:pPr>
        <w:pStyle w:val="Normal"/>
        <w:spacing w:before="0" w:after="100"/>
        <w:rPr>
          <w:rFonts w:ascii="Arial" w:hAnsi="Arial" w:eastAsia="Arial" w:cs="Arial"/>
          <w:sz w:val="22"/>
          <w:szCs w:val="22"/>
        </w:rPr>
      </w:pPr>
      <w:r>
        <w:rPr>
          <w:rFonts w:eastAsia="Arial" w:cs="Arial" w:ascii="Arial" w:hAnsi="Arial"/>
          <w:sz w:val="22"/>
          <w:szCs w:val="22"/>
        </w:rPr>
        <w:t>These were the highest-count genes in the AncestryDNA EXCEPTIONAL tier, driven by the rsID-based VEP annotation returning ClinVar pathogenic/likely_pathogenic classifications that boosted scores above the 200 threshold.</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10C.2 WGS Findings</w:t>
      </w:r>
    </w:p>
    <w:p>
      <w:pPr>
        <w:pStyle w:val="Heading3"/>
        <w:spacing w:before="200" w:after="120"/>
        <w:rPr>
          <w:rFonts w:ascii="Arial" w:hAnsi="Arial"/>
          <w:b/>
          <w:bCs/>
        </w:rPr>
      </w:pPr>
      <w:r>
        <w:rPr>
          <w:b/>
          <w:bCs/>
        </w:rPr>
        <w:t>MSH2 — Mismatch Detection</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16 variants, 7 homozygous</w:t>
      </w:r>
    </w:p>
    <w:p>
      <w:pPr>
        <w:pStyle w:val="Normal"/>
        <w:spacing w:before="0" w:after="100"/>
        <w:rPr>
          <w:rFonts w:ascii="Arial" w:hAnsi="Arial"/>
        </w:rPr>
      </w:pPr>
      <w:r>
        <w:rPr>
          <w:rFonts w:eastAsia="Arial" w:cs="Arial" w:ascii="Arial" w:hAnsi="Arial"/>
          <w:sz w:val="22"/>
          <w:szCs w:val="22"/>
        </w:rPr>
        <w:t>Data lines — all homozygous positions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Chr2:47648038  A→G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Chr2:47653283  T→A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Chr2:47653499  G→A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Chr2:47655466  A→G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Chr2:47661535  C→T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Chr2:47703241  A→G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Chr2:47703379  C→T  GT:1/1  Score:110  [9]</w:t>
      </w:r>
    </w:p>
    <w:p>
      <w:pPr>
        <w:pStyle w:val="Normal"/>
        <w:spacing w:before="0" w:after="100"/>
        <w:rPr>
          <w:rFonts w:ascii="Arial" w:hAnsi="Arial" w:eastAsia="Arial" w:cs="Arial"/>
          <w:sz w:val="22"/>
          <w:szCs w:val="22"/>
        </w:rPr>
      </w:pPr>
      <w:r>
        <w:rPr>
          <w:rFonts w:eastAsia="Arial" w:cs="Arial" w:ascii="Arial" w:hAnsi="Arial"/>
          <w:sz w:val="22"/>
          <w:szCs w:val="22"/>
        </w:rPr>
        <w:t>What MSH2 does: MSH2 walks along newly copied DNA looking for mismatches — positions where the copy doesn't match the template. When it finds one, it flags it for repair. MSH2 is the DETECTOR. It forms a heterodimer with MSH6 to scan DNA. 7 homozygous = the mismatch detector is modified on both copies at 7 positions.</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MLH1 — Mismatch Repair Execution</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9 variants, ALL 9 HOMOZYGOUS</w:t>
      </w:r>
    </w:p>
    <w:p>
      <w:pPr>
        <w:pStyle w:val="Normal"/>
        <w:spacing w:before="0" w:after="100"/>
        <w:rPr>
          <w:rFonts w:ascii="Arial" w:hAnsi="Arial" w:eastAsia="Arial" w:cs="Arial"/>
          <w:sz w:val="22"/>
          <w:szCs w:val="22"/>
        </w:rPr>
      </w:pPr>
      <w:r>
        <w:rPr>
          <w:rFonts w:eastAsia="Arial" w:cs="Arial" w:ascii="Arial" w:hAnsi="Arial"/>
          <w:sz w:val="22"/>
          <w:szCs w:val="22"/>
        </w:rPr>
        <w:t>Data lines — every single one is 1/1 [9][10]: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Chr3:37047583  A→G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Chr3:37048633  A→G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Chr3:37066369  T→C  GT:1/1  Score:110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Chr3:37066373  T→A  GT:1/1  Score:110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Chr3:37067050  A→G  GT:1/1  Score:110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Chr3:37068257  C→T  GT:1/1  Score:110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Chr3:37068969  G→A  GT:1/1  Score:110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Chr3:37070106  C→T  GT:1/1  Score:110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Chr3:37083740  A→G  GT:1/1  Score:110  [10]</w:t>
      </w:r>
    </w:p>
    <w:p>
      <w:pPr>
        <w:pStyle w:val="Normal"/>
        <w:spacing w:before="0" w:after="100"/>
        <w:rPr>
          <w:rFonts w:ascii="Arial" w:hAnsi="Arial" w:eastAsia="Arial" w:cs="Arial"/>
          <w:sz w:val="22"/>
          <w:szCs w:val="22"/>
        </w:rPr>
      </w:pPr>
      <w:r>
        <w:rPr>
          <w:rFonts w:eastAsia="Arial" w:cs="Arial" w:ascii="Arial" w:hAnsi="Arial"/>
          <w:sz w:val="22"/>
          <w:szCs w:val="22"/>
        </w:rPr>
        <w:t>What MLH1 does: Once MSH2 detects a mismatch, MLH1 executes the repair. MLH1 forms a heterodimer with PMS2 that cuts the DNA strand containing the error, removes the wrong section, and allows repolymerization with the correct base. MLH1 is the FIXER. 9 variants, EVERY SINGLE ONE homozygous. The mismatch repair executor is modified on both copies at every position found. No reference alleles remain at any MLH1 variant site.</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10C.3 The Combined Picture</w:t>
      </w:r>
    </w:p>
    <w:p>
      <w:pPr>
        <w:pStyle w:val="Normal"/>
        <w:spacing w:before="0" w:after="100"/>
        <w:rPr>
          <w:rFonts w:ascii="Arial" w:hAnsi="Arial" w:eastAsia="Arial" w:cs="Arial"/>
          <w:sz w:val="22"/>
          <w:szCs w:val="22"/>
        </w:rPr>
      </w:pPr>
      <w:r>
        <w:rPr>
          <w:rFonts w:eastAsia="Arial" w:cs="Arial" w:ascii="Arial" w:hAnsi="Arial"/>
          <w:sz w:val="22"/>
          <w:szCs w:val="22"/>
        </w:rPr>
        <w:t>The mismatch repair system has two steps: detection (MSH2) and repair (MLH1). Both are modified:</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MSH2 (detector): 16 variants, 7 homozygous — modified on both copies at 7 positions</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MLH1 (fixer): 9 variants, ALL 9 homozygous — modified on both copies at EVERY position</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MSH6 (MSH2's partner): not yet checked in detail</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PMS2 (MLH1's partner): not yet checked in detail</w:t>
      </w:r>
    </w:p>
    <w:p>
      <w:pPr>
        <w:pStyle w:val="Normal"/>
        <w:spacing w:before="0" w:after="100"/>
        <w:rPr>
          <w:rFonts w:ascii="Arial" w:hAnsi="Arial" w:eastAsia="Arial" w:cs="Arial"/>
          <w:sz w:val="22"/>
          <w:szCs w:val="22"/>
        </w:rPr>
      </w:pPr>
      <w:r>
        <w:rPr>
          <w:rFonts w:eastAsia="Arial" w:cs="Arial" w:ascii="Arial" w:hAnsi="Arial"/>
          <w:sz w:val="22"/>
          <w:szCs w:val="22"/>
        </w:rPr>
        <w:t>AncestryDNA scored 203 combined EXCEPTIONAL-tier variants in these two genes [3]. The WGS finds fewer total variants (25) but confirms extensive homozygous modification, particularly MLH1 at 100% homozygous rate.</w:t>
      </w:r>
    </w:p>
    <w:p>
      <w:pPr>
        <w:pStyle w:val="Normal"/>
        <w:spacing w:before="0" w:after="120"/>
        <w:rPr>
          <w:rFonts w:ascii="Arial" w:hAnsi="Arial"/>
        </w:rPr>
      </w:pPr>
      <w:r>
        <w:rPr>
          <w:rFonts w:ascii="Arial" w:hAnsi="Arial"/>
        </w:rPr>
        <w:t>Plain English: The DNA copying error detection system (MSH2) and the error repair system (MLH1) are both modified. The repair system (MLH1) is modified on BOTH copies at every single position found — 9 for 9 homozygous. There are zero reference alleles left at any MLH1 variant site. The mismatch repair instructions are completely different from reference at every position the sequencer found.</w:t>
      </w:r>
      <w:r>
        <w:br w:type="page"/>
      </w:r>
    </w:p>
    <w:p>
      <w:pPr>
        <w:pStyle w:val="Heading1"/>
        <w:spacing w:before="360" w:after="200"/>
        <w:rPr>
          <w:rFonts w:ascii="Arial" w:hAnsi="Arial"/>
          <w:b/>
          <w:bCs/>
        </w:rPr>
      </w:pPr>
      <w:r>
        <w:rPr>
          <w:b/>
          <w:bCs/>
        </w:rPr>
        <w:t>Section 11: Pharmacogenomics — 14 Drug-Processing Genes</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[9][10][11][14][15][16][52][53][54]</w:t>
      </w:r>
    </w:p>
    <w:p>
      <w:pPr>
        <w:pStyle w:val="Normal"/>
        <w:spacing w:before="0" w:after="100"/>
        <w:rPr>
          <w:rFonts w:ascii="Arial" w:hAnsi="Arial"/>
        </w:rPr>
      </w:pPr>
      <w:r>
        <w:rPr>
          <w:rFonts w:ascii="Arial" w:hAnsi="Arial"/>
        </w:rPr>
      </w:r>
    </w:p>
    <w:p>
      <w:pPr>
        <w:pStyle w:val="Normal"/>
        <w:spacing w:before="0" w:after="60"/>
        <w:rPr>
          <w:rFonts w:ascii="Arial" w:hAnsi="Arial"/>
        </w:rPr>
      </w:pPr>
      <w:r>
        <w:rPr>
          <w:rFonts w:eastAsia="Arial" w:cs="Arial" w:ascii="Arial" w:hAnsi="Arial"/>
          <w:b/>
          <w:bCs/>
          <w:sz w:val="22"/>
          <w:szCs w:val="22"/>
        </w:rPr>
        <w:t xml:space="preserve">Total pharma-flagged: </w:t>
      </w:r>
      <w:r>
        <w:rPr>
          <w:rFonts w:eastAsia="Arial" w:cs="Arial" w:ascii="Arial" w:hAnsi="Arial"/>
          <w:sz w:val="22"/>
          <w:szCs w:val="22"/>
        </w:rPr>
        <w:t>246 (GRCh37 [11]) | 233 (GRCh38 [16])</w:t>
      </w:r>
    </w:p>
    <w:p>
      <w:pPr>
        <w:pStyle w:val="Normal"/>
        <w:spacing w:before="0" w:after="100"/>
        <w:rPr>
          <w:rFonts w:ascii="Arial" w:hAnsi="Arial"/>
        </w:rPr>
      </w:pPr>
      <w:r>
        <w:rPr>
          <w:rFonts w:ascii="Arial" w:hAnsi="Arial"/>
        </w:rPr>
      </w:r>
    </w:p>
    <w:tbl>
      <w:tblPr>
        <w:tblW w:w="10000" w:type="dxa"/>
        <w:jc w:val="left"/>
        <w:tblInd w:w="0" w:type="dxa"/>
        <w:tblLayout w:type="fixed"/>
        <w:tblCellMar>
          <w:top w:w="60" w:type="dxa"/>
          <w:left w:w="100" w:type="dxa"/>
          <w:bottom w:w="60" w:type="dxa"/>
          <w:right w:w="100" w:type="dxa"/>
        </w:tblCellMar>
      </w:tblPr>
      <w:tblGrid>
        <w:gridCol w:w="1200"/>
        <w:gridCol w:w="2400"/>
        <w:gridCol w:w="700"/>
        <w:gridCol w:w="700"/>
        <w:gridCol w:w="5000"/>
      </w:tblGrid>
      <w:tr>
        <w:trPr/>
        <w:tc>
          <w:tcPr>
            <w:tcW w:w="12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Gene</w:t>
            </w:r>
          </w:p>
        </w:tc>
        <w:tc>
          <w:tcPr>
            <w:tcW w:w="24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Function</w:t>
            </w:r>
          </w:p>
        </w:tc>
        <w:tc>
          <w:tcPr>
            <w:tcW w:w="7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G37</w:t>
            </w:r>
          </w:p>
        </w:tc>
        <w:tc>
          <w:tcPr>
            <w:tcW w:w="7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G38</w:t>
            </w:r>
          </w:p>
        </w:tc>
        <w:tc>
          <w:tcPr>
            <w:tcW w:w="50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What it means for drugs and hormones</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ABCB1</w:t>
            </w:r>
          </w:p>
        </w:tc>
        <w:tc>
          <w:tcPr>
            <w:tcW w:w="2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P-glycoprotein drug/steroid transporter</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52</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48</w:t>
            </w:r>
          </w:p>
        </w:tc>
        <w:tc>
          <w:tcPr>
            <w:tcW w:w="5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Pumps drugs AND cortisol/aldosterone out of cells [53]. Expressed in adrenal gland. 52 variants = drug efflux and steroid transport are different.</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CYP2D6</w:t>
            </w:r>
          </w:p>
        </w:tc>
        <w:tc>
          <w:tcPr>
            <w:tcW w:w="2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Metabolizes 25% of all drugs</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0*</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24</w:t>
            </w:r>
          </w:p>
        </w:tc>
        <w:tc>
          <w:tcPr>
            <w:tcW w:w="5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*GRCh37 couldn't resolve. GRCh38: 24 variants, 14 hom. Likely POOR METABOLIZER. Also hydroxylates PROGESTERONE [54] — 6β-, 16α-, 21-hydroxylation. PM status = progesterone clears more slowly = lower doses achieve same effect.</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CYP2B6</w:t>
            </w:r>
          </w:p>
        </w:tc>
        <w:tc>
          <w:tcPr>
            <w:tcW w:w="2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Drug metabolism</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24</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19</w:t>
            </w:r>
          </w:p>
        </w:tc>
        <w:tc>
          <w:tcPr>
            <w:tcW w:w="5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Bupropion, efavirenz, cyclophosphamide.</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SLCO1B1</w:t>
            </w:r>
          </w:p>
        </w:tc>
        <w:tc>
          <w:tcPr>
            <w:tcW w:w="2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Liver drug uptake</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40</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36</w:t>
            </w:r>
          </w:p>
        </w:tc>
        <w:tc>
          <w:tcPr>
            <w:tcW w:w="5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Brings drugs into liver cells. Statin sensitivity.</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UGT2B7</w:t>
            </w:r>
          </w:p>
        </w:tc>
        <w:tc>
          <w:tcPr>
            <w:tcW w:w="2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Drug/steroid conjugation</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38</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28</w:t>
            </w:r>
          </w:p>
        </w:tc>
        <w:tc>
          <w:tcPr>
            <w:tcW w:w="5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Glucuronidation for excretion.</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DPYD</w:t>
            </w:r>
          </w:p>
        </w:tc>
        <w:tc>
          <w:tcPr>
            <w:tcW w:w="2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5-FU metabolism</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21</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16</w:t>
            </w:r>
          </w:p>
        </w:tc>
        <w:tc>
          <w:tcPr>
            <w:tcW w:w="5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Ancestry [2]: rs773499329 likely_pathogenic frameshift. 5-FU toxicity flag.</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CYP3A4</w:t>
            </w:r>
          </w:p>
        </w:tc>
        <w:tc>
          <w:tcPr>
            <w:tcW w:w="2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Metabolizes 50% of all drugs</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8</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10</w:t>
            </w:r>
          </w:p>
        </w:tc>
        <w:tc>
          <w:tcPr>
            <w:tcW w:w="5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The single biggest drug metabolism enzyme.</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CYP2C19</w:t>
            </w:r>
          </w:p>
        </w:tc>
        <w:tc>
          <w:tcPr>
            <w:tcW w:w="2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Drug metabolism</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10</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9</w:t>
            </w:r>
          </w:p>
        </w:tc>
        <w:tc>
          <w:tcPr>
            <w:tcW w:w="5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ALL 10 homozygous in GRCh37. Clopidogrel, PPIs, some antidepressants.</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TPMT</w:t>
            </w:r>
          </w:p>
        </w:tc>
        <w:tc>
          <w:tcPr>
            <w:tcW w:w="2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Thiopurine metabolism</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15</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11</w:t>
            </w:r>
          </w:p>
        </w:tc>
        <w:tc>
          <w:tcPr>
            <w:tcW w:w="5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Azathioprine, 6-mercaptopurine.</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VKORC1</w:t>
            </w:r>
          </w:p>
        </w:tc>
        <w:tc>
          <w:tcPr>
            <w:tcW w:w="2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Warfarin sensitivity</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9</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8</w:t>
            </w:r>
          </w:p>
        </w:tc>
        <w:tc>
          <w:tcPr>
            <w:tcW w:w="5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Vitamin K cycle. Warfarin dosing.</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CYP3A5</w:t>
            </w:r>
          </w:p>
        </w:tc>
        <w:tc>
          <w:tcPr>
            <w:tcW w:w="2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Drug metabolism</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3</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3</w:t>
            </w:r>
          </w:p>
        </w:tc>
        <w:tc>
          <w:tcPr>
            <w:tcW w:w="5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Partner to CYP3A4.</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NAT2</w:t>
            </w:r>
          </w:p>
        </w:tc>
        <w:tc>
          <w:tcPr>
            <w:tcW w:w="2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Acetylation</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4</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t>
            </w:r>
          </w:p>
        </w:tc>
        <w:tc>
          <w:tcPr>
            <w:tcW w:w="5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Fast/slow acetylator status.</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CYP2C9</w:t>
            </w:r>
          </w:p>
        </w:tc>
        <w:tc>
          <w:tcPr>
            <w:tcW w:w="2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Drug metabolism</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4</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6</w:t>
            </w:r>
          </w:p>
        </w:tc>
        <w:tc>
          <w:tcPr>
            <w:tcW w:w="5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Warfarin, phenytoin, NSAIDs.</w:t>
            </w:r>
          </w:p>
        </w:tc>
      </w:tr>
      <w:tr>
        <w:trPr/>
        <w:tc>
          <w:tcPr>
            <w:tcW w:w="12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CYP2C8</w:t>
            </w:r>
          </w:p>
        </w:tc>
        <w:tc>
          <w:tcPr>
            <w:tcW w:w="2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Drug metabolism</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16</w:t>
            </w:r>
          </w:p>
        </w:tc>
        <w:tc>
          <w:tcPr>
            <w:tcW w:w="7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14</w:t>
            </w:r>
          </w:p>
        </w:tc>
        <w:tc>
          <w:tcPr>
            <w:tcW w:w="50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Paclitaxel, repaglinide.</w:t>
            </w:r>
          </w:p>
        </w:tc>
      </w:tr>
    </w:tbl>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Plain English: 14 drug-processing genes are modified. CYP2D6 at 24 variants with 14 homozygous likely means poor metabolizer — drugs processed by CYP2D6 clear slowly and need lower doses. CYP2D6 also breaks down progesterone [54]. If progesterone is prescribed and CYP2D6 is a poor metabolizer, progesterone stays active longer per dose. Combined with CYP2C19 (all 10 homozygous) and CYP3A4 (8-10 variants), the three enzyme families that process the majority of all drugs are all modified.</w:t>
      </w:r>
      <w:r>
        <w:br w:type="page"/>
      </w:r>
    </w:p>
    <w:p>
      <w:pPr>
        <w:pStyle w:val="Heading1"/>
        <w:spacing w:before="360" w:after="200"/>
        <w:rPr>
          <w:rFonts w:ascii="Arial" w:hAnsi="Arial"/>
          <w:b/>
          <w:bCs/>
        </w:rPr>
      </w:pPr>
      <w:r>
        <w:rPr>
          <w:b/>
          <w:bCs/>
        </w:rPr>
        <w:t>Section 12: Coagulation — Blood Clotting System</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[9][10][14][15]</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12.1 What Blood Clotting Is (Plain English)</w:t>
      </w:r>
    </w:p>
    <w:p>
      <w:pPr>
        <w:pStyle w:val="Normal"/>
        <w:spacing w:before="0" w:after="100"/>
        <w:rPr>
          <w:rFonts w:ascii="Arial" w:hAnsi="Arial" w:eastAsia="Arial" w:cs="Arial"/>
          <w:sz w:val="22"/>
          <w:szCs w:val="22"/>
        </w:rPr>
      </w:pPr>
      <w:r>
        <w:rPr>
          <w:rFonts w:eastAsia="Arial" w:cs="Arial" w:ascii="Arial" w:hAnsi="Arial"/>
          <w:sz w:val="22"/>
          <w:szCs w:val="22"/>
        </w:rPr>
        <w:t>When a blood vessel is cut, the body needs to plug the hole fast. It does this through a cascade — a chain reaction where one clotting protein activates the next, which activates the next, building up to a solid plug (clot) that seals the wound. The cascade has two sides: proteins that BUILD clots and proteins that REGULATE (slow or stop) clotting so it doesn't go too far. Both sides are modified in this data.</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12.2 Factor V (F5)</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21 variants, 9 homozygous</w:t>
      </w:r>
    </w:p>
    <w:p>
      <w:pPr>
        <w:pStyle w:val="Normal"/>
        <w:spacing w:before="0" w:after="60"/>
        <w:rPr>
          <w:rFonts w:ascii="Arial" w:hAnsi="Arial"/>
        </w:rPr>
      </w:pPr>
      <w:r>
        <w:rPr>
          <w:rFonts w:eastAsia="Arial" w:cs="Arial" w:ascii="Arial" w:hAnsi="Arial"/>
          <w:b/>
          <w:bCs/>
          <w:sz w:val="22"/>
          <w:szCs w:val="22"/>
        </w:rPr>
        <w:t xml:space="preserve">WGS GRCh38 [14][15]: </w:t>
      </w:r>
      <w:r>
        <w:rPr>
          <w:rFonts w:eastAsia="Arial" w:cs="Arial" w:ascii="Arial" w:hAnsi="Arial"/>
          <w:sz w:val="22"/>
          <w:szCs w:val="22"/>
        </w:rPr>
        <w:t>18 variants</w:t>
      </w:r>
    </w:p>
    <w:p>
      <w:pPr>
        <w:pStyle w:val="Normal"/>
        <w:spacing w:before="0" w:after="60"/>
        <w:rPr>
          <w:rFonts w:ascii="Arial" w:hAnsi="Arial"/>
        </w:rPr>
      </w:pPr>
      <w:r>
        <w:rPr>
          <w:rFonts w:eastAsia="Arial" w:cs="Arial" w:ascii="Arial" w:hAnsi="Arial"/>
          <w:b/>
          <w:bCs/>
          <w:sz w:val="22"/>
          <w:szCs w:val="22"/>
        </w:rPr>
        <w:t xml:space="preserve">AncestryDNA: </w:t>
      </w:r>
      <w:r>
        <w:rPr>
          <w:rFonts w:eastAsia="Arial" w:cs="Arial" w:ascii="Arial" w:hAnsi="Arial"/>
          <w:sz w:val="22"/>
          <w:szCs w:val="22"/>
        </w:rPr>
        <w:t>5 HIGH + 15 MODERATE</w:t>
      </w:r>
    </w:p>
    <w:p>
      <w:pPr>
        <w:pStyle w:val="Normal"/>
        <w:spacing w:before="0" w:after="100"/>
        <w:rPr>
          <w:rFonts w:ascii="Arial" w:hAnsi="Arial" w:eastAsia="Arial" w:cs="Arial"/>
          <w:sz w:val="22"/>
          <w:szCs w:val="22"/>
        </w:rPr>
      </w:pPr>
      <w:r>
        <w:rPr>
          <w:rFonts w:eastAsia="Arial" w:cs="Arial" w:ascii="Arial" w:hAnsi="Arial"/>
          <w:sz w:val="22"/>
          <w:szCs w:val="22"/>
        </w:rPr>
        <w:t>Data lines — homozygous positions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Chr1:169519049  T→C  GT:1/1  missense_variant  Score:115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Chr1:169481121  T→A  GT:1/1  Score:85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Chr1:169481176  A→T  GT:1/1  Score:85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Chr1:169481223  C→G  GT:1/1  Score:85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Chr1:169498834  T→C  GT:1/1  Score:85  [10]</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What Factor V does: It's a cofactor in the clotting cascade — it accelerates the conversion of prothrombin (Factor II) to thrombin, which then converts fibrinogen to fibrin to form the actual clot meshwork. Factor V is the accelerator pedal in clot formation. The missense variant at Chr1:169519049 physically changes the protein — a different amino acid is inserted, which changes how the protein folds and how efficiently it accelerates clotting.</w:t>
      </w:r>
    </w:p>
    <w:p>
      <w:pPr>
        <w:pStyle w:val="Normal"/>
        <w:spacing w:before="0" w:after="100"/>
        <w:rPr>
          <w:rFonts w:ascii="Arial" w:hAnsi="Arial" w:eastAsia="Arial" w:cs="Arial"/>
          <w:sz w:val="22"/>
          <w:szCs w:val="22"/>
        </w:rPr>
      </w:pPr>
      <w:r>
        <w:rPr>
          <w:rFonts w:eastAsia="Arial" w:cs="Arial" w:ascii="Arial" w:hAnsi="Arial"/>
          <w:sz w:val="22"/>
          <w:szCs w:val="22"/>
        </w:rPr>
        <w:t>9 positions changed on both copies means the clotting accelerator is built from different instructions on both copies of its gene. Whether this makes clotting faster or slower depends on which specific amino acid changes occurred. The missense at 169519049 is the one that directly changes the protein structure.</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The protein that speeds up blood clot formation has a physical change in its structure (missense) plus 8 more positions changed on both copies. The accelerator pedal for clotting is shaped differently.</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12.3 Factor II / Prothrombin (F2)</w:t>
      </w:r>
    </w:p>
    <w:p>
      <w:pPr>
        <w:pStyle w:val="Normal"/>
        <w:spacing w:before="0" w:after="60"/>
        <w:rPr>
          <w:rFonts w:ascii="Arial" w:hAnsi="Arial"/>
        </w:rPr>
      </w:pPr>
      <w:r>
        <w:rPr>
          <w:rFonts w:eastAsia="Arial" w:cs="Arial" w:ascii="Arial" w:hAnsi="Arial"/>
          <w:b/>
          <w:bCs/>
          <w:sz w:val="22"/>
          <w:szCs w:val="22"/>
        </w:rPr>
        <w:t xml:space="preserve">WGS GRCh37 [10]: </w:t>
      </w:r>
      <w:r>
        <w:rPr>
          <w:rFonts w:eastAsia="Arial" w:cs="Arial" w:ascii="Arial" w:hAnsi="Arial"/>
          <w:sz w:val="22"/>
          <w:szCs w:val="22"/>
        </w:rPr>
        <w:t>10 variants, 3 homozygous</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Chr11:46745444  G→GA  GT:1/1  Score:85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Chr11:46752958  T→C   GT:1/1  Score:85  [10]</w:t>
      </w:r>
    </w:p>
    <w:p>
      <w:pPr>
        <w:pStyle w:val="Normal"/>
        <w:spacing w:before="0" w:after="40"/>
        <w:rPr>
          <w:rFonts w:ascii="Arial" w:hAnsi="Arial"/>
        </w:rPr>
      </w:pPr>
      <w:r>
        <w:rPr>
          <w:rFonts w:eastAsia="Courier New" w:cs="Courier New" w:ascii="Arial" w:hAnsi="Arial"/>
          <w:color w:val="333333"/>
          <w:sz w:val="20"/>
          <w:szCs w:val="20"/>
        </w:rPr>
        <w:t>Chr11:46758037  G→A   GT:1/1  Score:85  [10]</w:t>
      </w:r>
    </w:p>
    <w:p>
      <w:pPr>
        <w:pStyle w:val="Normal"/>
        <w:spacing w:before="0" w:after="100"/>
        <w:rPr>
          <w:rFonts w:ascii="Arial" w:hAnsi="Arial" w:eastAsia="Arial" w:cs="Arial"/>
          <w:sz w:val="22"/>
          <w:szCs w:val="22"/>
        </w:rPr>
      </w:pPr>
      <w:r>
        <w:rPr>
          <w:rFonts w:eastAsia="Arial" w:cs="Arial" w:ascii="Arial" w:hAnsi="Arial"/>
          <w:sz w:val="22"/>
          <w:szCs w:val="22"/>
        </w:rPr>
        <w:t>What Prothrombin does: It's the protein that gets CONVERTED into thrombin — the central enzyme of clotting. Thrombin is what actually builds the clot by cutting fibrinogen into fibrin strands. The G→GA insertion at position 46745444 adds a nucleotide — this is a frameshift at the DNA level, which shifts the reading frame and changes what protein gets built from that point forward. 3 homozygous means the raw material for the central clotting enzyme is different on both copies.</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The raw material that becomes the clot-building enzyme has an insertion (extra nucleotide added) on both copies plus 2 more changes on both copies. The ingredient the body uses to build clots is made from different instructions.</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12.4 Factor XIII (F13A1)</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22 variants, 17 homozygous</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Chr6:6152137  C→G  GT:1/1  missense_variant  Score:105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Chr6:6174866  G→A  GT:1/1  missense_variant  Score:105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Chr6:6144857  C→A  GT:1/1  3_prime_UTR_variant  Score:80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Chr6:6145692  C→T  GT:1/1  3_prime_UTR_variant  Score:80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Chr6:6145726  A→G  GT:1/1  3_prime_UTR_variant  Score:80  [10]</w:t>
      </w:r>
    </w:p>
    <w:p>
      <w:pPr>
        <w:pStyle w:val="Normal"/>
        <w:spacing w:before="0" w:after="100"/>
        <w:rPr>
          <w:rFonts w:ascii="Arial" w:hAnsi="Arial" w:eastAsia="Arial" w:cs="Arial"/>
          <w:sz w:val="22"/>
          <w:szCs w:val="22"/>
        </w:rPr>
      </w:pPr>
      <w:r>
        <w:rPr>
          <w:rFonts w:eastAsia="Arial" w:cs="Arial" w:ascii="Arial" w:hAnsi="Arial"/>
          <w:sz w:val="22"/>
          <w:szCs w:val="22"/>
        </w:rPr>
        <w:t>What Factor XIII does: After the clot is formed, Factor XIII acts as the welder — it cross-links the fibrin strands to make the clot STABLE. Without Factor XIII, clots form but fall apart. TWO missense variants (both homozygous) = the welding protein has two physical changes in its structure on both copies. 17 of 22 total are homozygous. The clot stabilizer is extensively remodeled.</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The protein that welds clots together so they don't fall apart has 2 physical changes in its protein structure plus 15 more positions changed on both copies. 17 of 22 variants are on both copies. The clot welder is built differently.</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12.5 Protein S (PROS1)</w:t>
      </w:r>
    </w:p>
    <w:p>
      <w:pPr>
        <w:pStyle w:val="Normal"/>
        <w:spacing w:before="0" w:after="60"/>
        <w:rPr>
          <w:rFonts w:ascii="Arial" w:hAnsi="Arial"/>
        </w:rPr>
      </w:pPr>
      <w:r>
        <w:rPr>
          <w:rFonts w:eastAsia="Arial" w:cs="Arial" w:ascii="Arial" w:hAnsi="Arial"/>
          <w:b/>
          <w:bCs/>
          <w:sz w:val="22"/>
          <w:szCs w:val="22"/>
        </w:rPr>
        <w:t xml:space="preserve">WGS GRCh37 [10]: </w:t>
      </w:r>
      <w:r>
        <w:rPr>
          <w:rFonts w:eastAsia="Arial" w:cs="Arial" w:ascii="Arial" w:hAnsi="Arial"/>
          <w:sz w:val="22"/>
          <w:szCs w:val="22"/>
        </w:rPr>
        <w:t>7 variants, 6 homozygous</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Chr3:93592569  T→G  GT:1/1  3_prime_UTR_variant  Score:90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Chr3:93593119  T→C  GT:1/1  synonymous_variant   Score:87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Chr3:93629784  C→T  GT:1/1  Score:85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Chr3:93639320  C→T  GT:1/1  Score:85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Chr3:93646396  C→T  GT:1/1  Score:85  [10]</w:t>
      </w:r>
    </w:p>
    <w:p>
      <w:pPr>
        <w:pStyle w:val="Normal"/>
        <w:spacing w:before="0" w:after="100"/>
        <w:rPr>
          <w:rFonts w:ascii="Arial" w:hAnsi="Arial" w:eastAsia="Arial" w:cs="Arial"/>
          <w:sz w:val="22"/>
          <w:szCs w:val="22"/>
        </w:rPr>
      </w:pPr>
      <w:r>
        <w:rPr>
          <w:rFonts w:eastAsia="Arial" w:cs="Arial" w:ascii="Arial" w:hAnsi="Arial"/>
          <w:sz w:val="22"/>
          <w:szCs w:val="22"/>
        </w:rPr>
        <w:t>What Protein S does: The OPPOSITE of the factors above. Protein S is an ANTICOAGULANT — it helps Protein C inactivate Factor V and Factor VIII, SLOWING clotting. It's the counterbalance. 6 of 7 homozygous = the anticoagulant regulator is modified on both copies at almost every position found.</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The protein that slows down clotting to prevent it from going too far is modified on both copies at 6 of 7 positions. The accelerator (Factor V, 9 hom), the raw material (Factor II, 3 hom), the welder (Factor XIII, 17 hom), AND the brake (Protein S, 6 hom) are all modified. Both sides of the clotting balance are built differently.</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12.6 Coagulation Summary</w:t>
      </w:r>
    </w:p>
    <w:p>
      <w:pPr>
        <w:pStyle w:val="Normal"/>
        <w:spacing w:before="0" w:after="10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Four clotting genes modified: the accelerator (F5, 21 variants, 9 hom including missense), the substrate (F2, 10, 3 hom including insertion), the stabilizer (F13A1, 22, 17 hom including 2 missense), and the anticoagulant (PROS1, 7, 6 hom). Both the clot-forming and clot-regulating sides are modified on both copies. The clotting system is configured differently from reference — how fast clots form, what the central enzyme looks like, how stable clots are, and how strongly clotting is regulated are all specified by a different set of instructions.</w:t>
      </w:r>
      <w:r>
        <w:br w:type="page"/>
      </w:r>
    </w:p>
    <w:p>
      <w:pPr>
        <w:pStyle w:val="Heading1"/>
        <w:spacing w:before="360" w:after="200"/>
        <w:rPr>
          <w:rFonts w:ascii="Arial" w:hAnsi="Arial"/>
          <w:b/>
          <w:bCs/>
        </w:rPr>
      </w:pPr>
      <w:r>
        <w:rPr>
          <w:b/>
          <w:bCs/>
        </w:rPr>
        <w:t>Section 13: Growth, Tissue Remodeling, and Oxygen Sensing</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[1][9][10][14][15]</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13.1 NF1 — Neurofibromin</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55 variants (14 HIGH, 41 MODERATE), 12 homozygous</w:t>
      </w:r>
    </w:p>
    <w:p>
      <w:pPr>
        <w:pStyle w:val="Normal"/>
        <w:spacing w:before="0" w:after="60"/>
        <w:rPr>
          <w:rFonts w:ascii="Arial" w:hAnsi="Arial"/>
        </w:rPr>
      </w:pPr>
      <w:r>
        <w:rPr>
          <w:rFonts w:eastAsia="Arial" w:cs="Arial" w:ascii="Arial" w:hAnsi="Arial"/>
          <w:b/>
          <w:bCs/>
          <w:sz w:val="22"/>
          <w:szCs w:val="22"/>
        </w:rPr>
        <w:t xml:space="preserve">WGS GRCh38 [14][15]: </w:t>
      </w:r>
      <w:r>
        <w:rPr>
          <w:rFonts w:eastAsia="Arial" w:cs="Arial" w:ascii="Arial" w:hAnsi="Arial"/>
          <w:sz w:val="22"/>
          <w:szCs w:val="22"/>
        </w:rPr>
        <w:t>39 variants, 10 homozygous</w:t>
      </w:r>
    </w:p>
    <w:p>
      <w:pPr>
        <w:pStyle w:val="Normal"/>
        <w:spacing w:before="0" w:after="100"/>
        <w:rPr>
          <w:rFonts w:ascii="Arial" w:hAnsi="Arial" w:eastAsia="Arial" w:cs="Arial"/>
          <w:sz w:val="22"/>
          <w:szCs w:val="22"/>
        </w:rPr>
      </w:pPr>
      <w:r>
        <w:rPr>
          <w:rFonts w:eastAsia="Arial" w:cs="Arial" w:ascii="Arial" w:hAnsi="Arial"/>
          <w:sz w:val="22"/>
          <w:szCs w:val="22"/>
        </w:rPr>
        <w:t>Data lines — HIGH tier homozygous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Chr17:29455021  G→A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Chr17:29537586  G→A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Chr17:29545431  T→A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Chr17:29558293  T→G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Chr17:29578724  C→T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Chr17:29595555  G→A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Chr17:29595756  G→T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Chr17:29599954  C→G  GT:1/1  Score:110  [9]</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What NF1 does: Neurofibromin is a large protein with two critical jobs. Job 1: It's a RAS-GTPase activating protein (GAP). RAS is a molecular switch that tells cells to grow and divide. NF1 turns RAS OFF — it's the brakes on cell growth. When NF1 is reduced, RAS stays on longer, cells receive more growth signaling. Job 2: NF1 is expressed in the adrenal medulla — the inner part of the adrenal gland that makes epinephrine and norepinephrine. NF1 loss in adrenal chromaffin cells can lead to pheochromocytoma (catecholamine-secreting tumors).</w:t>
      </w:r>
    </w:p>
    <w:p>
      <w:pPr>
        <w:pStyle w:val="Normal"/>
        <w:spacing w:before="0" w:after="100"/>
        <w:rPr>
          <w:rFonts w:ascii="Arial" w:hAnsi="Arial" w:eastAsia="Arial" w:cs="Arial"/>
          <w:sz w:val="22"/>
          <w:szCs w:val="22"/>
        </w:rPr>
      </w:pPr>
      <w:r>
        <w:rPr>
          <w:rFonts w:eastAsia="Arial" w:cs="Arial" w:ascii="Arial" w:hAnsi="Arial"/>
          <w:sz w:val="22"/>
          <w:szCs w:val="22"/>
        </w:rPr>
        <w:t>The adrenal connection matters in this profile because the adrenal cortex (the outer layer, right next to the medulla) is where 11-KT precursors are made via CYP11B1. NF1 sits in the same organ. 55 variants with 12 homozygous means the gene that regulates cell growth AND participates in adrenal medullary function is extensively modified.</w:t>
      </w:r>
    </w:p>
    <w:p>
      <w:pPr>
        <w:pStyle w:val="Normal"/>
        <w:spacing w:before="0" w:after="100"/>
        <w:rPr>
          <w:rFonts w:ascii="Arial" w:hAnsi="Arial" w:eastAsia="Arial" w:cs="Arial"/>
          <w:sz w:val="22"/>
          <w:szCs w:val="22"/>
        </w:rPr>
      </w:pPr>
      <w:r>
        <w:rPr>
          <w:rFonts w:eastAsia="Arial" w:cs="Arial" w:ascii="Arial" w:hAnsi="Arial"/>
          <w:sz w:val="22"/>
          <w:szCs w:val="22"/>
        </w:rPr>
        <w:t>NF1 is on chromosome 17 — the same chromosome the AncestryDNA report [1] flagged for 3x above-expected structural density. The WGS confirms: chr17 carries NF1 (55), BRCA1 (41), and other heavily modified genes. The chromosome-level structural density anomaly is real.</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NF1 does two things — it puts the brakes on cell growth, and it works in the adrenal gland where your catecholamines (adrenaline, noradrenaline) are made. The adrenal gland is also where 11-KT production starts. 55 variants, 12 on both copies. The brakes on growth and the adrenal medullary gene are both modified in the same protein.</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13.2 TGFBR2 — TGF-Beta Receptor 2</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16 variants (13 HIGH, 3 MODERATE), 11 homozygous</w:t>
      </w:r>
    </w:p>
    <w:p>
      <w:pPr>
        <w:pStyle w:val="Normal"/>
        <w:spacing w:before="0" w:after="100"/>
        <w:rPr>
          <w:rFonts w:ascii="Arial" w:hAnsi="Arial" w:eastAsia="Arial" w:cs="Arial"/>
          <w:sz w:val="22"/>
          <w:szCs w:val="22"/>
        </w:rPr>
      </w:pPr>
      <w:r>
        <w:rPr>
          <w:rFonts w:eastAsia="Arial" w:cs="Arial" w:ascii="Arial" w:hAnsi="Arial"/>
          <w:sz w:val="22"/>
          <w:szCs w:val="22"/>
        </w:rPr>
        <w:t>Data lines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Chr3:30647160   A→G  GT:1/1  Score:110  [9]</w:t>
      </w:r>
    </w:p>
    <w:p>
      <w:pPr>
        <w:pStyle w:val="Normal"/>
        <w:spacing w:before="0" w:after="40"/>
        <w:rPr>
          <w:rFonts w:ascii="Arial" w:hAnsi="Arial"/>
        </w:rPr>
      </w:pPr>
      <w:r>
        <w:rPr>
          <w:rFonts w:eastAsia="Courier New" w:cs="Courier New" w:ascii="Arial" w:hAnsi="Arial"/>
          <w:color w:val="333333"/>
          <w:sz w:val="20"/>
          <w:szCs w:val="20"/>
        </w:rPr>
        <w:t>Chr3:30656168   G→A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Chr3:30656474   C→A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Chr3:30676343   G→C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Chr3:30677559   G→C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Chr3:30678214   A→C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Chr3:30686414   A→G  GT:0/1  splice_region_variant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Chr3:30687273   C→T  GT:1/1  Score:110  [9]</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What TGFBR2 does: Receives TGF-beta — one of the most powerful signaling molecules in the body. TGF-beta controls cell growth, cell death, differentiation (what type of cell something becomes), wound healing, immune regulation, and tissue remodeling. TGFBR2 is the receptor on the cell surface that catches the TGF-beta signal and passes it inside. The splice_region_variant at 30686414 affects how the gene's message (mRNA) is edited before becoming protein — potentially changing which version of the receptor gets built.</w:t>
      </w:r>
    </w:p>
    <w:p>
      <w:pPr>
        <w:pStyle w:val="Normal"/>
        <w:spacing w:before="0" w:after="100"/>
        <w:rPr>
          <w:rFonts w:ascii="Arial" w:hAnsi="Arial" w:eastAsia="Arial" w:cs="Arial"/>
          <w:sz w:val="22"/>
          <w:szCs w:val="22"/>
        </w:rPr>
      </w:pPr>
      <w:r>
        <w:rPr>
          <w:rFonts w:eastAsia="Arial" w:cs="Arial" w:ascii="Arial" w:hAnsi="Arial"/>
          <w:sz w:val="22"/>
          <w:szCs w:val="22"/>
        </w:rPr>
        <w:t>11 of 16 homozygous. The receptor for one of the body's master tissue remodeling signals is different on both copies at 11 positions.</w:t>
      </w:r>
    </w:p>
    <w:p>
      <w:pPr>
        <w:pStyle w:val="Normal"/>
        <w:spacing w:before="0" w:after="60"/>
        <w:rPr>
          <w:rFonts w:ascii="Arial" w:hAnsi="Arial"/>
        </w:rPr>
      </w:pPr>
      <w:r>
        <w:rPr>
          <w:rFonts w:eastAsia="Arial" w:cs="Arial" w:ascii="Arial" w:hAnsi="Arial"/>
          <w:b/>
          <w:bCs/>
          <w:sz w:val="22"/>
          <w:szCs w:val="22"/>
        </w:rPr>
        <w:t xml:space="preserve">TGFBR1 [9]: </w:t>
      </w:r>
      <w:r>
        <w:rPr>
          <w:rFonts w:eastAsia="Arial" w:cs="Arial" w:ascii="Arial" w:hAnsi="Arial"/>
          <w:sz w:val="22"/>
          <w:szCs w:val="22"/>
        </w:rPr>
        <w:t>5 variants, all heterozygous. The partner receptor. One copy changed at each position.</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TGF-beta tells cells when to grow, when to stop, what to become, and how to rebuild tissue. TGFBR2 is the antenna that catches that signal. 11 of 16 positions on both copies = the antenna for the master remodeling signal is shaped differently.</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13.3 RET — Growth Factor Receptor</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33 variants (21 HIGH, 12 MODERATE), 18 homozygous</w:t>
      </w:r>
    </w:p>
    <w:p>
      <w:pPr>
        <w:pStyle w:val="Normal"/>
        <w:spacing w:before="0" w:after="100"/>
        <w:rPr>
          <w:rFonts w:ascii="Arial" w:hAnsi="Arial" w:eastAsia="Arial" w:cs="Arial"/>
          <w:sz w:val="22"/>
          <w:szCs w:val="22"/>
        </w:rPr>
      </w:pPr>
      <w:r>
        <w:rPr>
          <w:rFonts w:eastAsia="Arial" w:cs="Arial" w:ascii="Arial" w:hAnsi="Arial"/>
          <w:sz w:val="22"/>
          <w:szCs w:val="22"/>
        </w:rPr>
        <w:t>Data lines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Chr10:43571010   C→G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Chr10:43572507   A→G  GT:1/1  5_prime_UTR_variant  Score:115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Chr10:43594995   A→C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Chr10:43595968   A→G  GT:1/1  synonymous_variant  Score:112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Chr10:43600689   A→G  GT:1/1  Score:110  [9]</w:t>
      </w:r>
    </w:p>
    <w:p>
      <w:pPr>
        <w:pStyle w:val="Normal"/>
        <w:spacing w:before="0" w:after="100"/>
        <w:rPr>
          <w:rFonts w:ascii="Arial" w:hAnsi="Arial" w:eastAsia="Arial" w:cs="Arial"/>
          <w:sz w:val="22"/>
          <w:szCs w:val="22"/>
        </w:rPr>
      </w:pPr>
      <w:r>
        <w:rPr>
          <w:rFonts w:eastAsia="Arial" w:cs="Arial" w:ascii="Arial" w:hAnsi="Arial"/>
          <w:sz w:val="22"/>
          <w:szCs w:val="22"/>
        </w:rPr>
        <w:t>What RET does: A receptor tyrosine kinase — receives growth signals from GDNF (glial cell-derived neurotrophic factor) and related molecules. RET drives the development of the enteric nervous system (the nervous system of the gut), the kidneys, and the adrenal medulla. It also regulates spermatogonial stem cells. The 5_prime_UTR_variant at 43572507 affects the untranslated region upstream of the protein-coding sequence — this region controls HOW MUCH protein gets made, not what protein gets made.</w:t>
      </w:r>
    </w:p>
    <w:p>
      <w:pPr>
        <w:pStyle w:val="Normal"/>
        <w:spacing w:before="0" w:after="100"/>
        <w:rPr>
          <w:rFonts w:ascii="Arial" w:hAnsi="Arial" w:eastAsia="Arial" w:cs="Arial"/>
          <w:sz w:val="22"/>
          <w:szCs w:val="22"/>
        </w:rPr>
      </w:pPr>
      <w:r>
        <w:rPr>
          <w:rFonts w:eastAsia="Arial" w:cs="Arial" w:ascii="Arial" w:hAnsi="Arial"/>
          <w:sz w:val="22"/>
          <w:szCs w:val="22"/>
        </w:rPr>
        <w:t>18 homozygous. The growth receptor that develops the gut nervous system, kidneys, and adrenal medulla is modified on both copies at 18 positions.</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RET is a growth signal receiver that builds the gut's nervous system, the kidneys, and the adrenal medulla (where adrenaline is made — same organ where 11-KT production starts). 18 of 33 on both copies.</w:t>
      </w:r>
    </w:p>
    <w:p>
      <w:pPr>
        <w:pStyle w:val="Normal"/>
        <w:spacing w:before="0" w:after="100"/>
        <w:rPr>
          <w:rFonts w:ascii="Arial" w:hAnsi="Arial"/>
        </w:rPr>
      </w:pPr>
      <w:r>
        <w:rPr>
          <w:rFonts w:ascii="Arial" w:hAnsi="Arial"/>
        </w:rPr>
      </w:r>
    </w:p>
    <w:p>
      <w:pPr>
        <w:pStyle w:val="Heading2"/>
        <w:spacing w:before="240" w:after="150"/>
        <w:rPr>
          <w:rFonts w:ascii="Arial" w:hAnsi="Arial"/>
        </w:rPr>
      </w:pPr>
      <w:r>
        <w:rPr>
          <w:b/>
          <w:bCs/>
        </w:rPr>
        <w:t>13.4 VHL — Oxygen Sensing</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14 variants (12 HIGH, 2 MODERATE), 8 homozygous</w:t>
      </w:r>
    </w:p>
    <w:p>
      <w:pPr>
        <w:pStyle w:val="Normal"/>
        <w:spacing w:before="0" w:after="100"/>
        <w:rPr>
          <w:rFonts w:ascii="Arial" w:hAnsi="Arial" w:eastAsia="Arial" w:cs="Arial"/>
          <w:sz w:val="22"/>
          <w:szCs w:val="22"/>
        </w:rPr>
      </w:pPr>
      <w:r>
        <w:rPr>
          <w:rFonts w:eastAsia="Arial" w:cs="Arial" w:ascii="Arial" w:hAnsi="Arial"/>
          <w:sz w:val="22"/>
          <w:szCs w:val="22"/>
        </w:rPr>
        <w:t>Data lines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Chr3:10188428  T→G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Chr3:10188884  C→T  GT:1/1  Score:110  [9]</w:t>
      </w:r>
    </w:p>
    <w:p>
      <w:pPr>
        <w:pStyle w:val="Normal"/>
        <w:spacing w:before="0" w:after="100"/>
        <w:rPr>
          <w:rFonts w:ascii="Arial" w:hAnsi="Arial" w:eastAsia="Arial" w:cs="Arial"/>
          <w:sz w:val="22"/>
          <w:szCs w:val="22"/>
        </w:rPr>
      </w:pPr>
      <w:r>
        <w:rPr>
          <w:rFonts w:eastAsia="Arial" w:cs="Arial" w:ascii="Arial" w:hAnsi="Arial"/>
          <w:sz w:val="22"/>
          <w:szCs w:val="22"/>
        </w:rPr>
        <w:t>What VHL does: Von Hippel-Lindau protein. It's the oxygen sensor. When oxygen is normal, VHL tags a protein called HIF (hypoxia-inducible factor) for destruction. When oxygen drops, VHL stops tagging HIF, HIF accumulates, and HIF turns on genes for angiogenesis (blood vessel growth), erythropoiesis (red blood cell production), and metabolic adaptation to low oxygen. 8 homozygous = the oxygen sensing system is modified on both copies. How the body detects and responds to oxygen levels is specified differently.</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The protein that detects oxygen levels and decides whether to grow new blood vessels and make more red blood cells. 8 of 14 on both copies. The oxygen sensor is built differently.</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13.5 SMAD4</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7 variants (5 HIGH, 2 MODERATE), 2 homozygous</w:t>
      </w:r>
    </w:p>
    <w:p>
      <w:pPr>
        <w:pStyle w:val="Normal"/>
        <w:spacing w:before="0" w:after="60"/>
        <w:rPr>
          <w:rFonts w:ascii="Arial" w:hAnsi="Arial"/>
        </w:rPr>
      </w:pPr>
      <w:r>
        <w:rPr>
          <w:rFonts w:eastAsia="Arial" w:cs="Arial" w:ascii="Arial" w:hAnsi="Arial"/>
          <w:b/>
          <w:bCs/>
          <w:sz w:val="22"/>
          <w:szCs w:val="22"/>
        </w:rPr>
        <w:t xml:space="preserve">AncestryDNA [1]: </w:t>
      </w:r>
      <w:r>
        <w:rPr>
          <w:rFonts w:eastAsia="Arial" w:cs="Arial" w:ascii="Arial" w:hAnsi="Arial"/>
          <w:sz w:val="22"/>
          <w:szCs w:val="22"/>
        </w:rPr>
        <w:t>D/I near ClinVar cluster at Chr18:48,610,700</w:t>
      </w:r>
    </w:p>
    <w:p>
      <w:pPr>
        <w:pStyle w:val="Normal"/>
        <w:spacing w:before="0" w:after="100"/>
        <w:rPr>
          <w:rFonts w:ascii="Arial" w:hAnsi="Arial" w:eastAsia="Arial" w:cs="Arial"/>
          <w:sz w:val="22"/>
          <w:szCs w:val="22"/>
        </w:rPr>
      </w:pPr>
      <w:r>
        <w:rPr>
          <w:rFonts w:eastAsia="Arial" w:cs="Arial" w:ascii="Arial" w:hAnsi="Arial"/>
          <w:sz w:val="22"/>
          <w:szCs w:val="22"/>
        </w:rPr>
        <w:t>What SMAD4 does: Downstream mediator of TGF-beta signaling. TGFBR2 catches the signal outside the cell; SMAD4 carries it into the nucleus to activate genes. SMAD4 is also involved in BMP (bone morphogenetic protein) signaling.</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13.6 MEN1 — Endocrine Tissue</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8 variants, 3 homozygous</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Chr11:64572018  T→C  GT:1/1  missense_variant  Score:100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Chr11:64572557  A→G  GT:1/1  synonymous_variant  Score:72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Chr11:64566771  T→C  GT:1/1  Score:70  [10]</w:t>
      </w:r>
    </w:p>
    <w:p>
      <w:pPr>
        <w:pStyle w:val="Normal"/>
        <w:spacing w:before="0" w:after="100"/>
        <w:rPr>
          <w:rFonts w:ascii="Arial" w:hAnsi="Arial" w:eastAsia="Arial" w:cs="Arial"/>
          <w:sz w:val="22"/>
          <w:szCs w:val="22"/>
        </w:rPr>
      </w:pPr>
      <w:r>
        <w:rPr>
          <w:rFonts w:eastAsia="Arial" w:cs="Arial" w:ascii="Arial" w:hAnsi="Arial"/>
          <w:sz w:val="22"/>
          <w:szCs w:val="22"/>
        </w:rPr>
        <w:t>What MEN1 does: Menin. A scaffold protein in the nucleus that regulates gene expression in endocrine tissues — parathyroid, pituitary, pancreatic islets, adrenal cortex, and thymus. The missense at 64572018 physically changes the menin protein. Menin interacts with multiple transcription factors and chromatin-modifying complexes that control which genes are active in endocrine cells.</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Menin is a regulatory protein that works specifically in hormone-producing tissues — including the adrenal cortex where 11-KT precursors are made. A missense variant physically changes the protein. 3 of 8 on both copies.</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13.7 NF2 — Merlin</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15 variants (7 HIGH, 8 MODERATE), 4 homozygous</w:t>
      </w:r>
    </w:p>
    <w:p>
      <w:pPr>
        <w:pStyle w:val="Normal"/>
        <w:spacing w:before="0" w:after="100"/>
        <w:rPr>
          <w:rFonts w:ascii="Arial" w:hAnsi="Arial"/>
        </w:rPr>
      </w:pPr>
      <w:r>
        <w:rPr>
          <w:rFonts w:eastAsia="Arial" w:cs="Arial" w:ascii="Arial" w:hAnsi="Arial"/>
          <w:b w:val="false"/>
          <w:bCs w:val="false"/>
          <w:i/>
          <w:iCs/>
          <w:color w:val="7B2D26"/>
          <w:sz w:val="22"/>
          <w:szCs w:val="22"/>
        </w:rPr>
        <w:t>What NF2 does: Merlin. Links the cell's internal skeleton (cytoskeleton) to the cell membrane and mediates contact inhibition — the signal that tells cells to stop growing when they touch neighboring cells. 4 homozygous = the cell-contact growth regulation is modified.</w:t>
      </w:r>
      <w:r>
        <w:br w:type="page"/>
      </w:r>
    </w:p>
    <w:p>
      <w:pPr>
        <w:pStyle w:val="Heading1"/>
        <w:spacing w:before="360" w:after="200"/>
        <w:rPr>
          <w:rFonts w:ascii="Arial" w:hAnsi="Arial"/>
          <w:b/>
          <w:bCs/>
        </w:rPr>
      </w:pPr>
      <w:r>
        <w:rPr>
          <w:b/>
          <w:bCs/>
        </w:rPr>
        <w:t>Section 14: Cholesterol System — Steroid Precursor Supply</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[9][10][14][15][24][25]</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14.1 Why Cholesterol Matters for This Profile</w:t>
      </w:r>
    </w:p>
    <w:p>
      <w:pPr>
        <w:pStyle w:val="Normal"/>
        <w:spacing w:before="0" w:after="100"/>
        <w:rPr>
          <w:rFonts w:ascii="Arial" w:hAnsi="Arial" w:eastAsia="Arial" w:cs="Arial"/>
          <w:sz w:val="22"/>
          <w:szCs w:val="22"/>
        </w:rPr>
      </w:pPr>
      <w:r>
        <w:rPr>
          <w:rFonts w:eastAsia="Arial" w:cs="Arial" w:ascii="Arial" w:hAnsi="Arial"/>
          <w:sz w:val="22"/>
          <w:szCs w:val="22"/>
        </w:rPr>
        <w:t>Every steroid hormone in the body — cortisol, aldosterone, estrogen, testosterone, 11-KT, ALL of them — starts as cholesterol. Cholesterol is transported into mitochondria by StAR protein (activated by calcium from RYR2, the most modified gene in this genome), and there it's converted to pregnenolone, the universal steroid precursor. From pregnenolone, the pathway branches into glucocorticoids (cortisol), mineralocorticoids (aldosterone), and sex steroids (androgens, estrogens, 11-oxyandrogens).</w:t>
      </w:r>
    </w:p>
    <w:p>
      <w:pPr>
        <w:pStyle w:val="Normal"/>
        <w:spacing w:before="0" w:after="100"/>
        <w:rPr>
          <w:rFonts w:ascii="Arial" w:hAnsi="Arial" w:eastAsia="Arial" w:cs="Arial"/>
          <w:sz w:val="22"/>
          <w:szCs w:val="22"/>
        </w:rPr>
      </w:pPr>
      <w:r>
        <w:rPr>
          <w:rFonts w:eastAsia="Arial" w:cs="Arial" w:ascii="Arial" w:hAnsi="Arial"/>
          <w:sz w:val="22"/>
          <w:szCs w:val="22"/>
        </w:rPr>
        <w:t>Three genes that control cholesterol uptake and regulation are ALL extensively modified:</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14.2 LDLR — LDL Receptor</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26 variants (25 HIGH, 1 MODERATE), 24 HOMOZYGOUS</w:t>
      </w:r>
    </w:p>
    <w:p>
      <w:pPr>
        <w:pStyle w:val="Normal"/>
        <w:spacing w:before="0" w:after="100"/>
        <w:rPr>
          <w:rFonts w:ascii="Arial" w:hAnsi="Arial" w:eastAsia="Arial" w:cs="Arial"/>
          <w:sz w:val="22"/>
          <w:szCs w:val="22"/>
        </w:rPr>
      </w:pPr>
      <w:r>
        <w:rPr>
          <w:rFonts w:eastAsia="Arial" w:cs="Arial" w:ascii="Arial" w:hAnsi="Arial"/>
          <w:sz w:val="22"/>
          <w:szCs w:val="22"/>
        </w:rPr>
        <w:t>Data lines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Chr19:11201129  C→CG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Chr19:11210912  C→T    GT:0/1  synonymous_variant  Score:127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Chr19:11221180  A→G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Chr19:11221454  T→C    GT:1/1  splice_region_variant  Score:125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Chr19:11221457  G→C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Chr19:11224181  C→T    GT:1/1  Score:110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Chr19:11224265  A→G    GT:1/1  synonymous_variant  Score:112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Chr19:11224491  A→G    GT:1/1  Score:110  [9]</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What LDLR does: The LDL receptor sits on cell surfaces and grabs LDL cholesterol particles out of the blood, pulling them into the cell. This is how cells get their cholesterol supply. The C→CG insertion at 11201129 adds a nucleotide. The splice_region_variant at 11221454 affects mRNA editing — potentially changing which version of the receptor gets built. 24 of 26 HOMOZYGOUS — the cholesterol receptor is different on both copies at 24 positions. This is the highest homozygous ratio of any gene in the cholesterol system.</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The receptor that grabs cholesterol out of the blood and pulls it into cells is different on both copies at 24 of 26 positions. This is the raw material intake valve for all steroid hormone production.</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14.3 PCSK9 — LDLR Regulator</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25 variants, 16 homozygous</w:t>
      </w:r>
    </w:p>
    <w:p>
      <w:pPr>
        <w:pStyle w:val="Normal"/>
        <w:spacing w:before="0" w:after="100"/>
        <w:rPr>
          <w:rFonts w:ascii="Arial" w:hAnsi="Arial"/>
        </w:rPr>
      </w:pPr>
      <w:r>
        <w:rPr>
          <w:rFonts w:eastAsia="Arial" w:cs="Arial" w:ascii="Arial" w:hAnsi="Arial"/>
          <w:sz w:val="22"/>
          <w:szCs w:val="22"/>
        </w:rPr>
        <w:t>What PCSK9 does: It DESTROYS LDL receptors. PCSK9 binds to LDLR on the cell surface and tags it for degradation — fewer LDL receptors = less cholesterol uptake = higher blood LDL. PCSK9 inhibitor drugs (evolocumab, alirocumab) block PCSK9 to INCREASE LDL receptors and lower cholesterol. 16 homozygous = the regulator that controls how many LDL receptors survive is modified on both copies.</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14.4 APOB — LDL Carrier Protein</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15 variants, 10 homozygous</w:t>
      </w:r>
    </w:p>
    <w:p>
      <w:pPr>
        <w:pStyle w:val="Normal"/>
        <w:spacing w:before="0" w:after="100"/>
        <w:rPr>
          <w:rFonts w:ascii="Arial" w:hAnsi="Arial" w:eastAsia="Arial" w:cs="Arial"/>
          <w:sz w:val="22"/>
          <w:szCs w:val="22"/>
        </w:rPr>
      </w:pPr>
      <w:r>
        <w:rPr>
          <w:rFonts w:eastAsia="Arial" w:cs="Arial" w:ascii="Arial" w:hAnsi="Arial"/>
          <w:sz w:val="22"/>
          <w:szCs w:val="22"/>
        </w:rPr>
        <w:t>What APOB does: Apolipoprotein B is the protein that LDL cholesterol is WRAPPED IN. It's the packaging. LDLR recognizes APOB to grab the LDL particle. If APOB is different, the packaging is different, which changes how efficiently LDLR can grab it. 10 homozygous = the cholesterol packaging is different on both copies.</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14.5 The Redundancy</w:t>
      </w:r>
    </w:p>
    <w:p>
      <w:pPr>
        <w:pStyle w:val="Normal"/>
        <w:spacing w:before="0" w:after="100"/>
        <w:rPr>
          <w:rFonts w:ascii="Arial" w:hAnsi="Arial" w:eastAsia="Arial" w:cs="Arial"/>
          <w:sz w:val="22"/>
          <w:szCs w:val="22"/>
        </w:rPr>
      </w:pPr>
      <w:r>
        <w:rPr>
          <w:rFonts w:eastAsia="Arial" w:cs="Arial" w:ascii="Arial" w:hAnsi="Arial"/>
          <w:sz w:val="22"/>
          <w:szCs w:val="22"/>
        </w:rPr>
        <w:t>The adrenal gland — where 11-KT precursors are made [24][25] — has redundant cholesterol sources. Even in people with complete LDLR loss (familial hypercholesterolemia), baseline adrenal function is normal. The adrenal uses: (1) de novo cholesterol synthesis (HMG-CoA reductase, compensatorily upregulated), (2) HDL/SR-B1 selective uptake, (3) stored cholesterol ester reserves, and (4) annexin A2, an endogenous PCSK9 inhibitor specifically enriched in the adrenal, which protects adrenal LDLR even when circulating PCSK9 is high.</w:t>
      </w:r>
    </w:p>
    <w:p>
      <w:pPr>
        <w:pStyle w:val="Normal"/>
        <w:spacing w:before="0" w:after="100"/>
        <w:rPr>
          <w:rFonts w:ascii="Arial" w:hAnsi="Arial" w:eastAsia="Arial" w:cs="Arial"/>
          <w:sz w:val="22"/>
          <w:szCs w:val="22"/>
        </w:rPr>
      </w:pPr>
      <w:r>
        <w:rPr>
          <w:rFonts w:eastAsia="Arial" w:cs="Arial" w:ascii="Arial" w:hAnsi="Arial"/>
          <w:sz w:val="22"/>
          <w:szCs w:val="22"/>
        </w:rPr>
        <w:t>Cholesterol and triglycerides reported as normal by the individual. Triglycerides corrected via dietary changes.</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Plain English: The receptor that grabs cholesterol (LDLR, 24 hom), the regulator that controls how many receptors survive (PCSK9, 16 hom), and the packaging the cholesterol comes in (APOB, 10 hom) — the entire cholesterol intake system is modified. But the adrenal gland has backup supply routes and its own protective mechanism. The steroid factory doesn't depend on a single cholesterol source. The individual's cholesterol levels are normal.</w:t>
      </w:r>
      <w:r>
        <w:br w:type="page"/>
      </w:r>
    </w:p>
    <w:p>
      <w:pPr>
        <w:pStyle w:val="Heading1"/>
        <w:spacing w:before="360" w:after="200"/>
        <w:rPr>
          <w:rFonts w:ascii="Arial" w:hAnsi="Arial"/>
          <w:b/>
          <w:bCs/>
        </w:rPr>
      </w:pPr>
      <w:r>
        <w:rPr>
          <w:b/>
          <w:bCs/>
        </w:rPr>
        <w:t>Section 15: Y Chromosome</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[1][9][12]</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15.1 AncestryDNA Findings [1]</w:t>
      </w:r>
    </w:p>
    <w:p>
      <w:pPr>
        <w:pStyle w:val="Normal"/>
        <w:spacing w:before="0" w:after="100"/>
        <w:rPr>
          <w:rFonts w:ascii="Arial" w:hAnsi="Arial" w:eastAsia="Arial" w:cs="Arial"/>
          <w:sz w:val="22"/>
          <w:szCs w:val="22"/>
        </w:rPr>
      </w:pPr>
      <w:r>
        <w:rPr>
          <w:rFonts w:eastAsia="Arial" w:cs="Arial" w:ascii="Arial" w:hAnsi="Arial"/>
          <w:sz w:val="22"/>
          <w:szCs w:val="22"/>
        </w:rPr>
        <w:t>The AncestryDNA microarray detected 5 heterozygous calls on the Y chromosome, all in the male-specific region (non-pseudoautosomal). On a single-copy chromosome, heterozygous calls are biologically impossible in a single-genome individual. These were flagged as chimerism indicators [1]:</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rs2524466   ChrY:4,934,737     T/G  Yp11.31  [1]</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rs2571653   ChrY:4,935,714     C/A  Yp11.31 — 977bp from rs2524466  [1]</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rs2578787   ChrY:5,411,068     G/A  Yp11.2  [1]</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rs13305177  ChrY:15,226,548    A/G  Yq11.22  [1]</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rs9786514   ChrY:24,370,605    A/G  Yq11.23 / AZFc  [1]</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15.2 WGS Findings — 36x Expansion</w:t>
      </w:r>
    </w:p>
    <w:p>
      <w:pPr>
        <w:pStyle w:val="Normal"/>
        <w:spacing w:before="0" w:after="60"/>
        <w:rPr>
          <w:rFonts w:ascii="Arial" w:hAnsi="Arial"/>
        </w:rPr>
      </w:pPr>
      <w:r>
        <w:rPr>
          <w:rFonts w:eastAsia="Arial" w:cs="Arial" w:ascii="Arial" w:hAnsi="Arial"/>
          <w:b/>
          <w:bCs/>
          <w:sz w:val="22"/>
          <w:szCs w:val="22"/>
        </w:rPr>
        <w:t xml:space="preserve">WGS GRCh37 Total [9][12]: </w:t>
      </w:r>
      <w:r>
        <w:rPr>
          <w:rFonts w:eastAsia="Arial" w:cs="Arial" w:ascii="Arial" w:hAnsi="Arial"/>
          <w:sz w:val="22"/>
          <w:szCs w:val="22"/>
        </w:rPr>
        <w:t>179 variants (1 scored gene + 178 NOT_IN_ANY_DB)</w:t>
      </w:r>
    </w:p>
    <w:p>
      <w:pPr>
        <w:pStyle w:val="Normal"/>
        <w:spacing w:before="0" w:after="60"/>
        <w:rPr>
          <w:rFonts w:ascii="Arial" w:hAnsi="Arial"/>
        </w:rPr>
      </w:pPr>
      <w:r>
        <w:rPr>
          <w:rFonts w:eastAsia="Arial" w:cs="Arial" w:ascii="Arial" w:hAnsi="Arial"/>
          <w:b/>
          <w:bCs/>
          <w:sz w:val="22"/>
          <w:szCs w:val="22"/>
        </w:rPr>
        <w:t xml:space="preserve">AncestryDNA: </w:t>
      </w:r>
      <w:r>
        <w:rPr>
          <w:rFonts w:eastAsia="Arial" w:cs="Arial" w:ascii="Arial" w:hAnsi="Arial"/>
          <w:sz w:val="22"/>
          <w:szCs w:val="22"/>
        </w:rPr>
        <w:t>5 het calls</w:t>
      </w:r>
    </w:p>
    <w:p>
      <w:pPr>
        <w:pStyle w:val="Normal"/>
        <w:spacing w:before="0" w:after="60"/>
        <w:rPr>
          <w:rFonts w:ascii="Arial" w:hAnsi="Arial"/>
        </w:rPr>
      </w:pPr>
      <w:r>
        <w:rPr>
          <w:rFonts w:eastAsia="Arial" w:cs="Arial" w:ascii="Arial" w:hAnsi="Arial"/>
          <w:b/>
          <w:bCs/>
          <w:sz w:val="22"/>
          <w:szCs w:val="22"/>
        </w:rPr>
        <w:t xml:space="preserve">Expansion: </w:t>
      </w:r>
      <w:r>
        <w:rPr>
          <w:rFonts w:eastAsia="Arial" w:cs="Arial" w:ascii="Arial" w:hAnsi="Arial"/>
          <w:sz w:val="22"/>
          <w:szCs w:val="22"/>
        </w:rPr>
        <w:t>36x</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Scored Gene [9]</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ChrY:9215995  G→T  GT:0/1  Gene:FAM197Y7  Consequence:stop_gained  Score:105  [9]</w:t>
      </w:r>
    </w:p>
    <w:p>
      <w:pPr>
        <w:pStyle w:val="Normal"/>
        <w:spacing w:before="0" w:after="100"/>
        <w:rPr>
          <w:rFonts w:ascii="Arial" w:hAnsi="Arial" w:eastAsia="Arial" w:cs="Arial"/>
          <w:sz w:val="22"/>
          <w:szCs w:val="22"/>
        </w:rPr>
      </w:pPr>
      <w:r>
        <w:rPr>
          <w:rFonts w:eastAsia="Arial" w:cs="Arial" w:ascii="Arial" w:hAnsi="Arial"/>
          <w:sz w:val="22"/>
          <w:szCs w:val="22"/>
        </w:rPr>
        <w:t>FAM197Y7 has a stop_gained — a premature stop codon that truncates the protein before it can be fully built. The gene is functionally destroyed. stop_gained is one of the most severe consequence types — the protein cannot be completed.</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Structural Clusters in NOT_IN_ANY_DB [12]</w:t>
      </w:r>
    </w:p>
    <w:p>
      <w:pPr>
        <w:pStyle w:val="Normal"/>
        <w:spacing w:before="0" w:after="100"/>
        <w:rPr>
          <w:rFonts w:ascii="Arial" w:hAnsi="Arial" w:eastAsia="Arial" w:cs="Arial"/>
          <w:sz w:val="22"/>
          <w:szCs w:val="22"/>
        </w:rPr>
      </w:pPr>
      <w:r>
        <w:rPr>
          <w:rFonts w:eastAsia="Arial" w:cs="Arial" w:ascii="Arial" w:hAnsi="Arial"/>
          <w:sz w:val="22"/>
          <w:szCs w:val="22"/>
        </w:rPr>
        <w:t>178 uncharacterized variants, all heterozygous (expected on single-copy Y — het means the variant exists on the only copy). Distributed in dense positional clusters with tandem repeat patterns:</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Cluster 1: ChrY:9,198,246 - 9,368,329 (~170kb window)</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ChrY:9198246   TTGTGTGTGTG→T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 xml:space="preserve">  </w:t>
      </w:r>
      <w:r>
        <w:rPr>
          <w:rFonts w:eastAsia="Courier New" w:cs="Courier New" w:ascii="Arial" w:hAnsi="Arial"/>
          <w:color w:val="333333"/>
          <w:sz w:val="20"/>
          <w:szCs w:val="20"/>
        </w:rPr>
        <w:t>^^^ 11bp TGTG repeat collapsed to single T</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ChrY:9304444   CA→C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ChrY:9307398   TTG→T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ChrY:9368329   TTGTGTGTGTGTGTGTGTGT→TTGTGTGTGTGTGTGTGTGTGT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 xml:space="preserve">  </w:t>
      </w:r>
      <w:r>
        <w:rPr>
          <w:rFonts w:eastAsia="Courier New" w:cs="Courier New" w:ascii="Arial" w:hAnsi="Arial"/>
          <w:color w:val="333333"/>
          <w:sz w:val="20"/>
          <w:szCs w:val="20"/>
        </w:rPr>
        <w:t>^^^ TGTG repeat EXPANSION: 20bp→22bp (+2 nucleotides added)</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Cluster 2: ChrY:9,967,924 - 9,968,160 (~236 bases, 23 variants)</w:t>
      </w:r>
    </w:p>
    <w:p>
      <w:pPr>
        <w:pStyle w:val="Normal"/>
        <w:spacing w:before="0" w:after="100"/>
        <w:rPr>
          <w:rFonts w:ascii="Arial" w:hAnsi="Arial" w:eastAsia="Arial" w:cs="Arial"/>
          <w:sz w:val="22"/>
          <w:szCs w:val="22"/>
        </w:rPr>
      </w:pPr>
      <w:r>
        <w:rPr>
          <w:rFonts w:eastAsia="Arial" w:cs="Arial" w:ascii="Arial" w:hAnsi="Arial"/>
          <w:sz w:val="22"/>
          <w:szCs w:val="22"/>
        </w:rPr>
        <w:t>23 single-nucleotide variants concentrated in 236 bases = one variant every 10 bases on average. This is an extraordinarily dense concentration. Every variant is a single base change (SNP), all heterozygous. The density is roughly 100x the genome-wide average.</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Cluster 3: ChrY:13,268,577 - 13,324,806 (~56kb, 66 variants)</w:t>
      </w:r>
    </w:p>
    <w:p>
      <w:pPr>
        <w:pStyle w:val="Normal"/>
        <w:spacing w:before="0" w:after="100"/>
        <w:rPr>
          <w:rFonts w:ascii="Arial" w:hAnsi="Arial" w:eastAsia="Arial" w:cs="Arial"/>
          <w:sz w:val="22"/>
          <w:szCs w:val="22"/>
        </w:rPr>
      </w:pPr>
      <w:r>
        <w:rPr>
          <w:rFonts w:eastAsia="Arial" w:cs="Arial" w:ascii="Arial" w:hAnsi="Arial"/>
          <w:sz w:val="22"/>
          <w:szCs w:val="22"/>
        </w:rPr>
        <w:t>66 variants in 56kb. A mix of SNPs, small deletions, and small insertions. All heterozygous.</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Cluster 4: ChrY:16,813,075</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ChrY:16813075  GCACACACACACACACACACACACACACACAC→GCACACACACACACACACACACACACACAC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 xml:space="preserve">  </w:t>
      </w:r>
      <w:r>
        <w:rPr>
          <w:rFonts w:eastAsia="Courier New" w:cs="Courier New" w:ascii="Arial" w:hAnsi="Arial"/>
          <w:color w:val="333333"/>
          <w:sz w:val="20"/>
          <w:szCs w:val="20"/>
        </w:rPr>
        <w:t>^^^ CACAC repeat CONTRACTION: 31bp→29bp (-2 nucleotides)</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Cluster 5: ChrY:28,582,863 - 28,583,335 (~472 bases, 20 variants)</w:t>
      </w:r>
    </w:p>
    <w:p>
      <w:pPr>
        <w:pStyle w:val="Normal"/>
        <w:spacing w:before="0" w:after="100"/>
        <w:rPr>
          <w:rFonts w:ascii="Arial" w:hAnsi="Arial" w:eastAsia="Arial" w:cs="Arial"/>
          <w:sz w:val="22"/>
          <w:szCs w:val="22"/>
        </w:rPr>
      </w:pPr>
      <w:r>
        <w:rPr>
          <w:rFonts w:eastAsia="Arial" w:cs="Arial" w:ascii="Arial" w:hAnsi="Arial"/>
          <w:sz w:val="22"/>
          <w:szCs w:val="22"/>
        </w:rPr>
        <w:t>Another ultra-dense cluster. 20 variants in 472 bases. One variant every 24 bases.</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Cluster 6: ChrY:58,827,387 - 59,032,947 (~206kb)</w:t>
      </w:r>
    </w:p>
    <w:p>
      <w:pPr>
        <w:pStyle w:val="Normal"/>
        <w:spacing w:before="0" w:after="100"/>
        <w:rPr>
          <w:rFonts w:ascii="Arial" w:hAnsi="Arial" w:eastAsia="Arial" w:cs="Arial"/>
          <w:sz w:val="22"/>
          <w:szCs w:val="22"/>
        </w:rPr>
      </w:pPr>
      <w:r>
        <w:rPr>
          <w:rFonts w:eastAsia="Arial" w:cs="Arial" w:ascii="Arial" w:hAnsi="Arial"/>
          <w:sz w:val="22"/>
          <w:szCs w:val="22"/>
        </w:rPr>
        <w:t>Multiple structural variants including repeat contractions:</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ChrY:59001365  TATAATAATAATAA→TATAATAATAA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 xml:space="preserve">  </w:t>
      </w:r>
      <w:r>
        <w:rPr>
          <w:rFonts w:eastAsia="Courier New" w:cs="Courier New" w:ascii="Arial" w:hAnsi="Arial"/>
          <w:color w:val="333333"/>
          <w:sz w:val="20"/>
          <w:szCs w:val="20"/>
        </w:rPr>
        <w:t>^^^ TAATAA repeat contraction</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ChrY:59001389  AAAGAA→AAA  GT:0/1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ChrY:59032947  G→GT  GT:0/1  [12]</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15.3 Y Chromosome Character</w:t>
      </w:r>
    </w:p>
    <w:p>
      <w:pPr>
        <w:pStyle w:val="Normal"/>
        <w:spacing w:before="0" w:after="100"/>
        <w:rPr>
          <w:rFonts w:ascii="Arial" w:hAnsi="Arial" w:eastAsia="Arial" w:cs="Arial"/>
          <w:sz w:val="22"/>
          <w:szCs w:val="22"/>
        </w:rPr>
      </w:pPr>
      <w:r>
        <w:rPr>
          <w:rFonts w:eastAsia="Arial" w:cs="Arial" w:ascii="Arial" w:hAnsi="Arial"/>
          <w:sz w:val="22"/>
          <w:szCs w:val="22"/>
        </w:rPr>
        <w:t>The Y chromosome variants share the structural character of the autosomal NOT_IN_ANY_DB findings: tandem repeats (TGTG, CACAC, TAATAA), dense positional clusters, a mix of expansions and contractions, and no database annotations. All heterozygous.</w:t>
      </w:r>
    </w:p>
    <w:p>
      <w:pPr>
        <w:pStyle w:val="Normal"/>
        <w:spacing w:before="0" w:after="100"/>
        <w:rPr>
          <w:rFonts w:ascii="Arial" w:hAnsi="Arial" w:eastAsia="Arial" w:cs="Arial"/>
          <w:sz w:val="22"/>
          <w:szCs w:val="22"/>
        </w:rPr>
      </w:pPr>
      <w:r>
        <w:rPr>
          <w:rFonts w:eastAsia="Arial" w:cs="Arial" w:ascii="Arial" w:hAnsi="Arial"/>
          <w:sz w:val="22"/>
          <w:szCs w:val="22"/>
        </w:rPr>
        <w:t>The 5 AncestryDNA het calls were impossible in a standard single-genome XY individual and were flagged as chimerism indicators [1]. The WGS found 179 variants — 36 times more data — concentrated in the same patterns. The microarray detected the signal. The WGS resolves its structure.</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Plain English: The Y chromosome has 179 variants the microarray could barely see. One gene is destroyed (FAM197Y7, stop_gained). The rest are uncharacterized structural changes clustered in dense groups — some with 23 variants crammed into 236 bases, repeat sequences expanding and contracting, the same types of patterns seen across every other chromosome in the uncharacterized data. The microarray saw 5 impossible calls on a single-copy chromosome. The whole genome sequencer found 179.</w:t>
      </w:r>
      <w:r>
        <w:br w:type="page"/>
      </w:r>
    </w:p>
    <w:p>
      <w:pPr>
        <w:pStyle w:val="Heading1"/>
        <w:spacing w:before="360" w:after="200"/>
        <w:rPr>
          <w:rFonts w:ascii="Arial" w:hAnsi="Arial"/>
          <w:b/>
          <w:bCs/>
        </w:rPr>
      </w:pPr>
      <w:r>
        <w:rPr>
          <w:b/>
          <w:bCs/>
        </w:rPr>
        <w:t>Section 16: The Uncharacterized Genome</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[7][12][17]</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16.1 Scale</w:t>
      </w:r>
    </w:p>
    <w:p>
      <w:pPr>
        <w:pStyle w:val="Normal"/>
        <w:spacing w:before="0" w:after="60"/>
        <w:rPr>
          <w:rFonts w:ascii="Arial" w:hAnsi="Arial"/>
        </w:rPr>
      </w:pPr>
      <w:r>
        <w:rPr>
          <w:rFonts w:eastAsia="Arial" w:cs="Arial" w:ascii="Arial" w:hAnsi="Arial"/>
          <w:b/>
          <w:bCs/>
          <w:sz w:val="22"/>
          <w:szCs w:val="22"/>
        </w:rPr>
        <w:t xml:space="preserve">AncestryDNA unverified structural calls [7]: </w:t>
      </w:r>
      <w:r>
        <w:rPr>
          <w:rFonts w:eastAsia="Arial" w:cs="Arial" w:ascii="Arial" w:hAnsi="Arial"/>
          <w:sz w:val="22"/>
          <w:szCs w:val="22"/>
        </w:rPr>
        <w:t>8,301 (I/I and D/D homozygous)</w:t>
      </w:r>
    </w:p>
    <w:p>
      <w:pPr>
        <w:pStyle w:val="Normal"/>
        <w:spacing w:before="0" w:after="60"/>
        <w:rPr>
          <w:rFonts w:ascii="Arial" w:hAnsi="Arial"/>
        </w:rPr>
      </w:pPr>
      <w:r>
        <w:rPr>
          <w:rFonts w:eastAsia="Arial" w:cs="Arial" w:ascii="Arial" w:hAnsi="Arial"/>
          <w:b/>
          <w:bCs/>
          <w:sz w:val="22"/>
          <w:szCs w:val="22"/>
        </w:rPr>
        <w:t xml:space="preserve">WGS GRCh37 [12]: </w:t>
      </w:r>
      <w:r>
        <w:rPr>
          <w:rFonts w:eastAsia="Arial" w:cs="Arial" w:ascii="Arial" w:hAnsi="Arial"/>
          <w:sz w:val="22"/>
          <w:szCs w:val="22"/>
        </w:rPr>
        <w:t>27,336</w:t>
      </w:r>
    </w:p>
    <w:p>
      <w:pPr>
        <w:pStyle w:val="Normal"/>
        <w:spacing w:before="0" w:after="60"/>
        <w:rPr>
          <w:rFonts w:ascii="Arial" w:hAnsi="Arial"/>
        </w:rPr>
      </w:pPr>
      <w:r>
        <w:rPr>
          <w:rFonts w:eastAsia="Arial" w:cs="Arial" w:ascii="Arial" w:hAnsi="Arial"/>
          <w:b/>
          <w:bCs/>
          <w:sz w:val="22"/>
          <w:szCs w:val="22"/>
        </w:rPr>
        <w:t xml:space="preserve">WGS GRCh38 [17]: </w:t>
      </w:r>
      <w:r>
        <w:rPr>
          <w:rFonts w:eastAsia="Arial" w:cs="Arial" w:ascii="Arial" w:hAnsi="Arial"/>
          <w:sz w:val="22"/>
          <w:szCs w:val="22"/>
        </w:rPr>
        <w:t>65,061</w:t>
      </w:r>
    </w:p>
    <w:p>
      <w:pPr>
        <w:pStyle w:val="Normal"/>
        <w:spacing w:before="0" w:after="60"/>
        <w:rPr>
          <w:rFonts w:ascii="Arial" w:hAnsi="Arial"/>
        </w:rPr>
      </w:pPr>
      <w:r>
        <w:rPr>
          <w:rFonts w:eastAsia="Arial" w:cs="Arial" w:ascii="Arial" w:hAnsi="Arial"/>
          <w:b/>
          <w:bCs/>
          <w:sz w:val="22"/>
          <w:szCs w:val="22"/>
        </w:rPr>
        <w:t xml:space="preserve">Combined unique estimate: </w:t>
      </w:r>
      <w:r>
        <w:rPr>
          <w:rFonts w:eastAsia="Arial" w:cs="Arial" w:ascii="Arial" w:hAnsi="Arial"/>
          <w:sz w:val="22"/>
          <w:szCs w:val="22"/>
        </w:rPr>
        <w:t>~70,000+</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These are variants at genomic coordinates where the Ensembl REST API returned no annotation whatsoever. No gene name. No consequence. No ortholog. No phenotype. Every annotation field is blank. They were routed to NOT_IN_ANY_DB by the scoring pipeline because there was nothing to score.</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16.2 Why This File Matters</w:t>
      </w:r>
    </w:p>
    <w:p>
      <w:pPr>
        <w:pStyle w:val="Normal"/>
        <w:spacing w:before="0" w:after="100"/>
        <w:rPr>
          <w:rFonts w:ascii="Arial" w:hAnsi="Arial" w:eastAsia="Arial" w:cs="Arial"/>
          <w:sz w:val="22"/>
          <w:szCs w:val="22"/>
        </w:rPr>
      </w:pPr>
      <w:r>
        <w:rPr>
          <w:rFonts w:eastAsia="Arial" w:cs="Arial" w:ascii="Arial" w:hAnsi="Arial"/>
          <w:sz w:val="22"/>
          <w:szCs w:val="22"/>
        </w:rPr>
        <w:t>Previous versions of this report treated NOT_IN_ANY_DB as a dump of irrelevant intergenic noise. That was wrong. Cross-checking revealed structural variants at KNOWN pathway gene loci hiding in this file:</w:t>
      </w:r>
    </w:p>
    <w:p>
      <w:pPr>
        <w:pStyle w:val="Normal"/>
        <w:spacing w:before="0" w:after="100"/>
        <w:rPr>
          <w:rFonts w:ascii="Arial" w:hAnsi="Arial"/>
        </w:rPr>
      </w:pPr>
      <w:r>
        <w:rPr>
          <w:rFonts w:ascii="Arial" w:hAnsi="Arial"/>
        </w:rPr>
      </w:r>
    </w:p>
    <w:tbl>
      <w:tblPr>
        <w:tblW w:w="9400" w:type="dxa"/>
        <w:jc w:val="left"/>
        <w:tblInd w:w="0" w:type="dxa"/>
        <w:tblLayout w:type="fixed"/>
        <w:tblCellMar>
          <w:top w:w="60" w:type="dxa"/>
          <w:left w:w="100" w:type="dxa"/>
          <w:bottom w:w="60" w:type="dxa"/>
          <w:right w:w="100" w:type="dxa"/>
        </w:tblCellMar>
      </w:tblPr>
      <w:tblGrid>
        <w:gridCol w:w="2500"/>
        <w:gridCol w:w="1499"/>
        <w:gridCol w:w="5401"/>
      </w:tblGrid>
      <w:tr>
        <w:trPr/>
        <w:tc>
          <w:tcPr>
            <w:tcW w:w="25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Gene Locus</w:t>
            </w:r>
          </w:p>
        </w:tc>
        <w:tc>
          <w:tcPr>
            <w:tcW w:w="14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Variants in NOT_IN_DB</w:t>
            </w:r>
          </w:p>
        </w:tc>
        <w:tc>
          <w:tcPr>
            <w:tcW w:w="54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What was hiding</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CYP19A1 (chr15:51.1-52M)</w:t>
            </w:r>
          </w:p>
        </w:tc>
        <w:tc>
          <w:tcPr>
            <w:tcW w:w="14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14 [12]</w:t>
            </w:r>
          </w:p>
        </w:tc>
        <w:tc>
          <w:tcPr>
            <w:tcW w:w="54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AATAAATAAAT repeat expansion (29→44bp), CAGCAG repeat contraction (25→19bp), CAAAA repeat contraction, 11 structural deletions/insertions. The entire CYP19A1 finding was hidden here.</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CYP19A1/ESR1 cluster (chr6:160.5-160.7M)</w:t>
            </w:r>
          </w:p>
        </w:tc>
        <w:tc>
          <w:tcPr>
            <w:tcW w:w="14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4 [12]</w:t>
            </w:r>
          </w:p>
        </w:tc>
        <w:tc>
          <w:tcPr>
            <w:tcW w:w="54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Variants at EXACT positions matching AncestryDNA D/I calls — confirmed to single base pair. The 44x density cluster from Ancestry is confirmed.</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AR (chrX:66.7-66.9M)</w:t>
            </w:r>
          </w:p>
        </w:tc>
        <w:tc>
          <w:tcPr>
            <w:tcW w:w="14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4 [12]</w:t>
            </w:r>
          </w:p>
        </w:tc>
        <w:tc>
          <w:tcPr>
            <w:tcW w:w="54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3 additional CAG/GCG repeat expansions at the same coordinates as scored AR variants. The receptor is expanded further than scored files showed.</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RYR2 (chr1:237.2-237.7M)</w:t>
            </w:r>
          </w:p>
        </w:tc>
        <w:tc>
          <w:tcPr>
            <w:tcW w:w="14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5 [12]</w:t>
            </w:r>
          </w:p>
        </w:tc>
        <w:tc>
          <w:tcPr>
            <w:tcW w:w="54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Additional variants at the most modified gene.</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ESR1 (chr6:151.6-151.9M)</w:t>
            </w:r>
          </w:p>
        </w:tc>
        <w:tc>
          <w:tcPr>
            <w:tcW w:w="14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2 [12]</w:t>
            </w:r>
          </w:p>
        </w:tc>
        <w:tc>
          <w:tcPr>
            <w:tcW w:w="54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Structural deletion (CAATTAA→CAA) and simple deletion inside ESR1.</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CYP11B1 (chr8:143.9-144M)</w:t>
            </w:r>
          </w:p>
        </w:tc>
        <w:tc>
          <w:tcPr>
            <w:tcW w:w="14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1 [12]</w:t>
            </w:r>
          </w:p>
        </w:tc>
        <w:tc>
          <w:tcPr>
            <w:tcW w:w="54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One additional variant in the 11β-hydroxylase region.</w:t>
            </w:r>
          </w:p>
        </w:tc>
      </w:tr>
    </w:tbl>
    <w:p>
      <w:pPr>
        <w:pStyle w:val="Normal"/>
        <w:spacing w:before="0" w:after="100"/>
        <w:rPr>
          <w:rFonts w:ascii="Arial" w:hAnsi="Arial" w:eastAsia="Arial" w:cs="Arial"/>
          <w:sz w:val="22"/>
          <w:szCs w:val="22"/>
        </w:rPr>
      </w:pPr>
      <w:r>
        <w:rPr>
          <w:rFonts w:eastAsia="Arial" w:cs="Arial" w:ascii="Arial" w:hAnsi="Arial"/>
          <w:sz w:val="22"/>
          <w:szCs w:val="22"/>
        </w:rPr>
        <w:t>Any analysis that excludes NOT_IN_ANY_DB is incomplete. 29 pathway-relevant structural variants were invisible to the scoring pipeline.</w:t>
      </w:r>
    </w:p>
    <w:p>
      <w:pPr>
        <w:pStyle w:val="Normal"/>
        <w:spacing w:before="0" w:after="100"/>
        <w:rPr>
          <w:rFonts w:ascii="Arial" w:hAnsi="Arial"/>
        </w:rPr>
      </w:pPr>
      <w:r>
        <w:rPr>
          <w:rFonts w:ascii="Arial" w:hAnsi="Arial"/>
        </w:rPr>
      </w:r>
    </w:p>
    <w:p>
      <w:pPr>
        <w:pStyle w:val="Heading2"/>
        <w:spacing w:before="240" w:after="150"/>
        <w:rPr>
          <w:rFonts w:ascii="Arial" w:hAnsi="Arial"/>
        </w:rPr>
      </w:pPr>
      <w:r>
        <w:rPr>
          <w:b/>
          <w:bCs/>
        </w:rPr>
        <w:t>16.3 Structural Character</w:t>
      </w:r>
    </w:p>
    <w:p>
      <w:pPr>
        <w:pStyle w:val="Normal"/>
        <w:spacing w:before="0" w:after="100"/>
        <w:rPr>
          <w:rFonts w:ascii="Arial" w:hAnsi="Arial" w:eastAsia="Arial" w:cs="Arial"/>
          <w:sz w:val="22"/>
          <w:szCs w:val="22"/>
        </w:rPr>
      </w:pPr>
      <w:r>
        <w:rPr>
          <w:rFonts w:eastAsia="Arial" w:cs="Arial" w:ascii="Arial" w:hAnsi="Arial"/>
          <w:sz w:val="22"/>
          <w:szCs w:val="22"/>
        </w:rPr>
        <w:t>NOT_IN_ANY_DB variants are structurally different from scored variants:</w:t>
      </w:r>
    </w:p>
    <w:p>
      <w:pPr>
        <w:pStyle w:val="Normal"/>
        <w:spacing w:before="0" w:after="60"/>
        <w:rPr>
          <w:rFonts w:ascii="Arial" w:hAnsi="Arial"/>
        </w:rPr>
      </w:pPr>
      <w:r>
        <w:rPr>
          <w:rFonts w:eastAsia="Arial" w:cs="Arial" w:ascii="Arial" w:hAnsi="Arial"/>
          <w:b/>
          <w:bCs/>
          <w:sz w:val="22"/>
          <w:szCs w:val="22"/>
        </w:rPr>
        <w:t xml:space="preserve">Long sequences (&gt;10bp): </w:t>
      </w:r>
      <w:r>
        <w:rPr>
          <w:rFonts w:eastAsia="Arial" w:cs="Arial" w:ascii="Arial" w:hAnsi="Arial"/>
          <w:sz w:val="22"/>
          <w:szCs w:val="22"/>
        </w:rPr>
        <w:t>18.6% of NOT_IN_ANY_DB vs 1.5% of scored HIGH — 12x concentration</w:t>
      </w:r>
    </w:p>
    <w:p>
      <w:pPr>
        <w:pStyle w:val="Normal"/>
        <w:spacing w:before="0" w:after="60"/>
        <w:rPr>
          <w:rFonts w:ascii="Arial" w:hAnsi="Arial"/>
        </w:rPr>
      </w:pPr>
      <w:r>
        <w:rPr>
          <w:rFonts w:eastAsia="Arial" w:cs="Arial" w:ascii="Arial" w:hAnsi="Arial"/>
          <w:b/>
          <w:bCs/>
          <w:sz w:val="22"/>
          <w:szCs w:val="22"/>
        </w:rPr>
        <w:t xml:space="preserve">Deletion:insertion ratio: </w:t>
      </w:r>
      <w:r>
        <w:rPr>
          <w:rFonts w:eastAsia="Arial" w:cs="Arial" w:ascii="Arial" w:hAnsi="Arial"/>
          <w:sz w:val="22"/>
          <w:szCs w:val="22"/>
        </w:rPr>
        <w:t>3:1 (deletions dominate — material being removed from reference)</w:t>
      </w:r>
    </w:p>
    <w:p>
      <w:pPr>
        <w:pStyle w:val="Normal"/>
        <w:spacing w:before="0" w:after="60"/>
        <w:rPr>
          <w:rFonts w:ascii="Arial" w:hAnsi="Arial"/>
        </w:rPr>
      </w:pPr>
      <w:r>
        <w:rPr>
          <w:rFonts w:eastAsia="Arial" w:cs="Arial" w:ascii="Arial" w:hAnsi="Arial"/>
          <w:b/>
          <w:bCs/>
          <w:sz w:val="22"/>
          <w:szCs w:val="22"/>
        </w:rPr>
        <w:t xml:space="preserve">Zygosity: </w:t>
      </w:r>
      <w:r>
        <w:rPr>
          <w:rFonts w:eastAsia="Arial" w:cs="Arial" w:ascii="Arial" w:hAnsi="Arial"/>
          <w:sz w:val="22"/>
          <w:szCs w:val="22"/>
        </w:rPr>
        <w:t>100% heterozygous. Zero homozygous. This contrasts with scored files where many variants are homozygous.</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16.4 Massive Structural Events</w:t>
      </w:r>
    </w:p>
    <w:p>
      <w:pPr>
        <w:pStyle w:val="Normal"/>
        <w:spacing w:before="0" w:after="100"/>
        <w:rPr>
          <w:rFonts w:ascii="Arial" w:hAnsi="Arial" w:eastAsia="Arial" w:cs="Arial"/>
          <w:sz w:val="22"/>
          <w:szCs w:val="22"/>
        </w:rPr>
      </w:pPr>
      <w:r>
        <w:rPr>
          <w:rFonts w:eastAsia="Arial" w:cs="Arial" w:ascii="Arial" w:hAnsi="Arial"/>
          <w:sz w:val="22"/>
          <w:szCs w:val="22"/>
        </w:rPr>
        <w:t>The largest structural variants in the dataset are all in NOT_IN_ANY_DB:</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Collapses — Long reference sequences reduced to single nucleotide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Chr2:90449387   93bp GCCGCCGCCGCCGCCGCG... → G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Chr1:2280150    91bp ACCTGCGCGGGCACGCACACGCACAC... → A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Chr2:118628595  80bp GCCTCCTCCTCCTCCCCCTC... → G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Chr1:26608811   79bp TCCAGGACAGGGACTGGGGCCGGG... → T  [12]</w:t>
      </w:r>
    </w:p>
    <w:p>
      <w:pPr>
        <w:pStyle w:val="Normal"/>
        <w:spacing w:before="0" w:after="100"/>
        <w:rPr>
          <w:rFonts w:ascii="Arial" w:hAnsi="Arial" w:eastAsia="Arial" w:cs="Arial"/>
          <w:sz w:val="22"/>
          <w:szCs w:val="22"/>
        </w:rPr>
      </w:pPr>
      <w:r>
        <w:rPr>
          <w:rFonts w:eastAsia="Arial" w:cs="Arial" w:ascii="Arial" w:hAnsi="Arial"/>
          <w:sz w:val="22"/>
          <w:szCs w:val="22"/>
        </w:rPr>
        <w:t>Entire blocks of repeating sequence — 79 to 93 nucleotides — collapsed to a single letter. The reference genome says these sequences should be there. In this data, they're gone.</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Expansions — Short sequences becoming massive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Chr1:194485018  A → 125bp AACTGATATCTATATAATTCCTCCCTTATAAATATTATGGATTAGAAATG</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 xml:space="preserve">                     </w:t>
      </w:r>
      <w:r>
        <w:rPr>
          <w:rFonts w:eastAsia="Courier New" w:cs="Courier New" w:ascii="Arial" w:hAnsi="Arial"/>
          <w:color w:val="333333"/>
          <w:sz w:val="20"/>
          <w:szCs w:val="20"/>
        </w:rPr>
        <w:t>CATTGTAATAAATTATATAAACATTTTGCCTTAAATCTTCTGTTTTCACATA</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 xml:space="preserve">                     </w:t>
      </w:r>
      <w:r>
        <w:rPr>
          <w:rFonts w:eastAsia="Courier New" w:cs="Courier New" w:ascii="Arial" w:hAnsi="Arial"/>
          <w:color w:val="333333"/>
          <w:sz w:val="20"/>
          <w:szCs w:val="20"/>
        </w:rPr>
        <w:t>CAAAGTAAAATATACCTATATAT  [12]</w:t>
      </w:r>
    </w:p>
    <w:p>
      <w:pPr>
        <w:pStyle w:val="Normal"/>
        <w:spacing w:before="0" w:after="100"/>
        <w:rPr>
          <w:rFonts w:ascii="Arial" w:hAnsi="Arial" w:eastAsia="Arial" w:cs="Arial"/>
          <w:sz w:val="22"/>
          <w:szCs w:val="22"/>
        </w:rPr>
      </w:pPr>
      <w:r>
        <w:rPr>
          <w:rFonts w:eastAsia="Arial" w:cs="Arial" w:ascii="Arial" w:hAnsi="Arial"/>
          <w:sz w:val="22"/>
          <w:szCs w:val="22"/>
        </w:rPr>
        <w:t>A single nucleotide position expands to 125 base pairs. The inserted sequence contains its own internal repeat structure (TATATA, AAATA, TATATAT). This is not random — it has organized internal architecture.</w:t>
      </w:r>
    </w:p>
    <w:p>
      <w:pPr>
        <w:pStyle w:val="Normal"/>
        <w:spacing w:before="0" w:after="100"/>
        <w:rPr>
          <w:rFonts w:ascii="Arial" w:hAnsi="Arial"/>
        </w:rPr>
      </w:pPr>
      <w:r>
        <w:rPr>
          <w:rFonts w:ascii="Arial" w:hAnsi="Arial"/>
        </w:rPr>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Chr1:98511733   47bp → 127bp  GCCGCTGCCGCTGCTAC repeat EXPANSION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 xml:space="preserve">  </w:t>
      </w:r>
      <w:r>
        <w:rPr>
          <w:rFonts w:eastAsia="Courier New" w:cs="Courier New" w:ascii="Arial" w:hAnsi="Arial"/>
          <w:color w:val="333333"/>
          <w:sz w:val="20"/>
          <w:szCs w:val="20"/>
        </w:rPr>
        <w:t>^^^ 80bp of GCCGCTGCTAC pattern added</w:t>
      </w:r>
    </w:p>
    <w:p>
      <w:pPr>
        <w:pStyle w:val="Normal"/>
        <w:spacing w:before="0" w:after="100"/>
        <w:rPr>
          <w:rFonts w:ascii="Arial" w:hAnsi="Arial"/>
        </w:rPr>
      </w:pPr>
      <w:r>
        <w:rPr>
          <w:rFonts w:ascii="Arial" w:hAnsi="Arial"/>
        </w:rPr>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Chr7:302895     ~1100bp → ~1050bp  Massive 1kb structural rearrangement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 xml:space="preserve">  </w:t>
      </w:r>
      <w:r>
        <w:rPr>
          <w:rFonts w:eastAsia="Courier New" w:cs="Courier New" w:ascii="Arial" w:hAnsi="Arial"/>
          <w:color w:val="333333"/>
          <w:sz w:val="20"/>
          <w:szCs w:val="20"/>
        </w:rPr>
        <w:t>Contains dense CAGAGGAGGCAGGTGC tandem repeats with internal variation</w:t>
      </w:r>
    </w:p>
    <w:p>
      <w:pPr>
        <w:pStyle w:val="Normal"/>
        <w:spacing w:before="0" w:after="100"/>
        <w:rPr>
          <w:rFonts w:ascii="Arial" w:hAnsi="Arial"/>
        </w:rPr>
      </w:pPr>
      <w:r>
        <w:rPr>
          <w:rFonts w:ascii="Arial" w:hAnsi="Arial"/>
        </w:rPr>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Chr8:1789984    ~270bp → ~250bp  GCGGGAACTGGGGCCGCG repeat block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 xml:space="preserve">  </w:t>
      </w:r>
      <w:r>
        <w:rPr>
          <w:rFonts w:eastAsia="Courier New" w:cs="Courier New" w:ascii="Arial" w:hAnsi="Arial"/>
          <w:color w:val="333333"/>
          <w:sz w:val="20"/>
          <w:szCs w:val="20"/>
        </w:rPr>
        <w:t>Entire block built from repeating AACTGGGGCCGCG motif</w:t>
      </w:r>
    </w:p>
    <w:p>
      <w:pPr>
        <w:pStyle w:val="Normal"/>
        <w:spacing w:before="0" w:after="100"/>
        <w:rPr>
          <w:rFonts w:ascii="Arial" w:hAnsi="Arial"/>
        </w:rPr>
      </w:pPr>
      <w:r>
        <w:rPr>
          <w:rFonts w:ascii="Arial" w:hAnsi="Arial"/>
        </w:rPr>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Chr16:89224627  6bp → 103bp  ATGTGT → 103bp TGTATCTCACAC repeat EXPANSION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 xml:space="preserve">  </w:t>
      </w:r>
      <w:r>
        <w:rPr>
          <w:rFonts w:eastAsia="Courier New" w:cs="Courier New" w:ascii="Arial" w:hAnsi="Arial"/>
          <w:color w:val="333333"/>
          <w:sz w:val="20"/>
          <w:szCs w:val="20"/>
        </w:rPr>
        <w:t>^^^ 97 nucleotides of organized TGTATCTCACAC pattern added from 6bp</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16.5 The 8,301 AncestryDNA Connection [7]</w:t>
      </w:r>
    </w:p>
    <w:p>
      <w:pPr>
        <w:pStyle w:val="Normal"/>
        <w:spacing w:before="0" w:after="100"/>
        <w:rPr>
          <w:rFonts w:ascii="Arial" w:hAnsi="Arial" w:eastAsia="Arial" w:cs="Arial"/>
          <w:sz w:val="22"/>
          <w:szCs w:val="22"/>
        </w:rPr>
      </w:pPr>
      <w:r>
        <w:rPr>
          <w:rFonts w:eastAsia="Arial" w:cs="Arial" w:ascii="Arial" w:hAnsi="Arial"/>
          <w:sz w:val="22"/>
          <w:szCs w:val="22"/>
        </w:rPr>
        <w:t>The AncestryDNA report [1] flagged 8,301 homozygous structural calls (I/I and D/D) as unverified — not cross-referenced against endogenous retroviral databases (HERV), transposable element insertion maps, non-human genome ortholog databases, or synthetic construct databases. The report recommended WGS + BLAST as the resolution path.</w:t>
      </w:r>
    </w:p>
    <w:p>
      <w:pPr>
        <w:pStyle w:val="Normal"/>
        <w:spacing w:before="0" w:after="100"/>
        <w:rPr>
          <w:rFonts w:ascii="Arial" w:hAnsi="Arial" w:eastAsia="Arial" w:cs="Arial"/>
          <w:sz w:val="22"/>
          <w:szCs w:val="22"/>
        </w:rPr>
      </w:pPr>
      <w:r>
        <w:rPr>
          <w:rFonts w:eastAsia="Arial" w:cs="Arial" w:ascii="Arial" w:hAnsi="Arial"/>
          <w:sz w:val="22"/>
          <w:szCs w:val="22"/>
        </w:rPr>
        <w:t>The WGS NOT_IN_ANY_DB files (27,336 + 65,061 = 92,397 variants) occupy the same type of genomic territory — uncharacterized regions dominated by tandem repeats, structural variants, and sequences no database recognizes. The 8,301 microarray structural calls and the 92,397 WGS NOT_IN_ANY_DB variants are two views of the same phenomenon at different resolutions: the microarray saw it through symbolic I/I and D/D calls; the WGS sees the actual sequences.</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Plain English: Over 70,000 positions in this genome contain sequences that no database on Earth can classify. They're not random — they contain organized repeating patterns, they cluster in dense groups, they expand and contract in structured ways, and they include 29 variants sitting directly on known pathway genes that the scored pipeline couldn't see. These files are not noise. They are the largest single category of findings in the entire dataset, and they contain hidden pathway data.</w:t>
      </w:r>
    </w:p>
    <w:p>
      <w:pPr>
        <w:pStyle w:val="Normal"/>
        <w:spacing w:before="0" w:after="120"/>
        <w:rPr>
          <w:rFonts w:eastAsia="Arial" w:cs="Arial"/>
          <w:b w:val="false"/>
          <w:bCs w:val="false"/>
          <w:i/>
          <w:i/>
          <w:iCs/>
          <w:color w:val="7B2D26"/>
          <w:sz w:val="22"/>
          <w:szCs w:val="22"/>
        </w:rPr>
      </w:pPr>
      <w:r>
        <w:rPr>
          <w:rFonts w:ascii="Arial" w:hAnsi="Arial"/>
        </w:rPr>
      </w:r>
    </w:p>
    <w:p>
      <w:pPr>
        <w:pStyle w:val="Heading1"/>
        <w:spacing w:before="360" w:after="200"/>
        <w:rPr>
          <w:rFonts w:ascii="Arial" w:hAnsi="Arial"/>
          <w:b/>
          <w:bCs/>
        </w:rPr>
      </w:pPr>
      <w:r>
        <w:rPr>
          <w:b/>
          <w:bCs/>
        </w:rPr>
        <w:t>Section 16B: What Tandem Repeats DO Biologically</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[12][17]</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16B.1 Tandem Repeats Are Not Junk</w:t>
      </w:r>
    </w:p>
    <w:p>
      <w:pPr>
        <w:pStyle w:val="Normal"/>
        <w:spacing w:before="0" w:after="100"/>
        <w:rPr>
          <w:rFonts w:ascii="Arial" w:hAnsi="Arial" w:eastAsia="Arial" w:cs="Arial"/>
          <w:sz w:val="22"/>
          <w:szCs w:val="22"/>
        </w:rPr>
      </w:pPr>
      <w:r>
        <w:rPr>
          <w:rFonts w:eastAsia="Arial" w:cs="Arial" w:ascii="Arial" w:hAnsi="Arial"/>
          <w:sz w:val="22"/>
          <w:szCs w:val="22"/>
        </w:rPr>
        <w:t>The NOT_IN_ANY_DB files are dominated by tandem repeat expansions, contractions, and structural variants. The conventional view that repetitive DNA is 'junk' has been overturned by the past two decades of research. Tandem repeats are functional structural elements:</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G-Quadruplexes</w:t>
      </w:r>
    </w:p>
    <w:p>
      <w:pPr>
        <w:pStyle w:val="Normal"/>
        <w:spacing w:before="0" w:after="100"/>
        <w:rPr>
          <w:rFonts w:ascii="Arial" w:hAnsi="Arial" w:eastAsia="Arial" w:cs="Arial"/>
          <w:sz w:val="22"/>
          <w:szCs w:val="22"/>
        </w:rPr>
      </w:pPr>
      <w:r>
        <w:rPr>
          <w:rFonts w:eastAsia="Arial" w:cs="Arial" w:ascii="Arial" w:hAnsi="Arial"/>
          <w:sz w:val="22"/>
          <w:szCs w:val="22"/>
        </w:rPr>
        <w:t>Sequences rich in guanine (G) can fold into four-stranded structures called G-quadruplexes (G4). These form at telomeres, gene promoters, and regulatory regions. G4 structures physically block DNA replication, transcription, and translation — they are molecular roadblocks that control when and whether a gene is read. The GCC/GCG repeat patterns in the CYP19A1 and AR NOT_IN_ANY_DB variants are G-rich and capable of forming G4 structures.</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Z-DNA</w:t>
      </w:r>
    </w:p>
    <w:p>
      <w:pPr>
        <w:pStyle w:val="Normal"/>
        <w:spacing w:before="0" w:after="100"/>
        <w:rPr>
          <w:rFonts w:ascii="Arial" w:hAnsi="Arial"/>
        </w:rPr>
      </w:pPr>
      <w:r>
        <w:rPr>
          <w:rFonts w:eastAsia="Arial" w:cs="Arial" w:ascii="Arial" w:hAnsi="Arial"/>
          <w:sz w:val="22"/>
          <w:szCs w:val="22"/>
        </w:rPr>
        <w:t>Alternating purine-pyrimidine sequences (like CACACAC, TGTGTG — seen extensively in the Y chromosome [12] and the AR NOT_IN_ANY_DB variants) can flip from the standard right-handed B-DNA helix into a left-handed Z-DNA helix. Z-DNA forms at sites of active transcription and recruits specific proteins (ADAR1, ZBP1) that affect RNA editing and innate immune signaling. The CACAC repeats on the Y chromosome and the AC repeats in AR are Z-DNA-capable sequences.</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Chromatin Packaging</w:t>
      </w:r>
    </w:p>
    <w:p>
      <w:pPr>
        <w:pStyle w:val="Normal"/>
        <w:spacing w:before="0" w:after="100"/>
        <w:rPr>
          <w:rFonts w:ascii="Arial" w:hAnsi="Arial" w:eastAsia="Arial" w:cs="Arial"/>
          <w:sz w:val="22"/>
          <w:szCs w:val="22"/>
        </w:rPr>
      </w:pPr>
      <w:r>
        <w:rPr>
          <w:rFonts w:eastAsia="Arial" w:cs="Arial" w:ascii="Arial" w:hAnsi="Arial"/>
          <w:sz w:val="22"/>
          <w:szCs w:val="22"/>
        </w:rPr>
        <w:t>Tandem repeats affect how DNA wraps around histones (nucleosome positioning). Certain repeat sequences position nucleosomes precisely, creating open or closed chromatin states that determine gene accessibility. The dense repeat blocks in NOT_IN_ANY_DB — 93bp GCCGCC... blocks, 91bp ACCTGCGCGGG... blocks — have the potential to set nucleosome positions across entire genomic neighborhoods.</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Long-Range Gene Regulation</w:t>
      </w:r>
    </w:p>
    <w:p>
      <w:pPr>
        <w:pStyle w:val="Normal"/>
        <w:spacing w:before="0" w:after="100"/>
        <w:rPr>
          <w:rFonts w:ascii="Arial" w:hAnsi="Arial" w:eastAsia="Arial" w:cs="Arial"/>
          <w:sz w:val="22"/>
          <w:szCs w:val="22"/>
        </w:rPr>
      </w:pPr>
      <w:r>
        <w:rPr>
          <w:rFonts w:eastAsia="Arial" w:cs="Arial" w:ascii="Arial" w:hAnsi="Arial"/>
          <w:sz w:val="22"/>
          <w:szCs w:val="22"/>
        </w:rPr>
        <w:t>Repeats act as enhancers, silencers, and insulators. The AATAAATAAAT repeat expansion in CYP19A1 (29bp→44bp [12]) adds 15 nucleotides of repeat sequence that could create or extend a regulatory element affecting aromatase expression. The CAGCAG contraction in CYP19A1 (25bp→19bp [12]) removes 6 nucleotides of the same CAG motif that expands in AR — this could reduce a regulatory binding site in the estrogen enzyme while simultaneously creating one in the androgen receptor.</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Replication Slippage and Structural Instability</w:t>
      </w:r>
    </w:p>
    <w:p>
      <w:pPr>
        <w:pStyle w:val="Normal"/>
        <w:spacing w:before="0" w:after="100"/>
        <w:rPr>
          <w:rFonts w:ascii="Arial" w:hAnsi="Arial" w:eastAsia="Arial" w:cs="Arial"/>
          <w:sz w:val="22"/>
          <w:szCs w:val="22"/>
        </w:rPr>
      </w:pPr>
      <w:r>
        <w:rPr>
          <w:rFonts w:eastAsia="Arial" w:cs="Arial" w:ascii="Arial" w:hAnsi="Arial"/>
          <w:sz w:val="22"/>
          <w:szCs w:val="22"/>
        </w:rPr>
        <w:t>Tandem repeats are prone to expansion and contraction during DNA replication (replication slippage). This means repeat lengths can CHANGE between cell divisions — and between cell populations. In a chimeric individual, two cell populations could carry DIFFERENT repeat lengths at the same locus, producing different regulatory effects. The tandem repeats in NOT_IN_ANY_DB are not static — they are structurally dynamic elements that can generate somatic variation between tissues.</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16B.2 The 125bp Insertion — Organized Internal Architecture [12]</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Chr1:194485018  A → AACTGATATCTATATAATTCCTCCCTTATAAATATTATGGATTAGAAATG</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 xml:space="preserve">                    </w:t>
      </w:r>
      <w:r>
        <w:rPr>
          <w:rFonts w:eastAsia="Courier New" w:cs="Courier New" w:ascii="Arial" w:hAnsi="Arial"/>
          <w:color w:val="333333"/>
          <w:sz w:val="20"/>
          <w:szCs w:val="20"/>
        </w:rPr>
        <w:t>CATTGTAATAAATTATATAAACATTTTGCCTTAAATCTTCTGTTTTCACATA</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 xml:space="preserve">                    </w:t>
      </w:r>
      <w:r>
        <w:rPr>
          <w:rFonts w:eastAsia="Courier New" w:cs="Courier New" w:ascii="Arial" w:hAnsi="Arial"/>
          <w:color w:val="333333"/>
          <w:sz w:val="20"/>
          <w:szCs w:val="20"/>
        </w:rPr>
        <w:t>CAAAGTAAAATATACCTATATAT  [12]</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This 125-nucleotide sequence appears from a single nucleotide position. It is not random. Internal structure analysis:</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TATATA repeats at positions 11-16 and 120-125</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AAATA pattern at positions 24-28 and 33-37</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AATAA pattern at positions 53-57</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Palindromic tendency: the sequence has internal symmetry elements</w:t>
      </w:r>
    </w:p>
    <w:p>
      <w:pPr>
        <w:pStyle w:val="Normal"/>
        <w:spacing w:before="0" w:after="100"/>
        <w:rPr>
          <w:rFonts w:ascii="Arial" w:hAnsi="Arial"/>
        </w:rPr>
      </w:pPr>
      <w:r>
        <w:rPr>
          <w:rFonts w:eastAsia="Arial" w:cs="Arial" w:ascii="Arial" w:hAnsi="Arial"/>
          <w:sz w:val="22"/>
          <w:szCs w:val="22"/>
        </w:rPr>
        <w:t>This insertion has the hallmarks of a transposable element insertion, a processed pseudogene, or a non-reference structural variant. The AncestryDNA report [1] recommended BLAST against HERV (human endogenous retrovirus), RepeatMasker, non-human genome, and synthetic construct databases. The WGS now provides the actual sequence — BLAST can be run directly on this 125bp sequence to determine its origin.</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Plain English: This 125-letter sequence appears from nowhere in the reference genome. It has organized internal patterns — repeating TATATA and AAATA motifs. It's not random noise. It has structure. It could be a mobile genetic element (a piece of DNA that jumped from somewhere else), a remnant of an ancient viral insertion, or a sequence that exists in other species but not in the human reference. The AncestryDNA report recommended searching databases for its origin. The WGS now provides the actual letters to search with.</w:t>
        <w:br/>
      </w:r>
      <w:r>
        <w:br w:type="page"/>
      </w:r>
    </w:p>
    <w:p>
      <w:pPr>
        <w:pStyle w:val="Heading1"/>
        <w:spacing w:before="360" w:after="200"/>
        <w:rPr>
          <w:rFonts w:ascii="Arial" w:hAnsi="Arial"/>
        </w:rPr>
      </w:pPr>
      <w:r>
        <w:rPr>
          <w:b/>
          <w:bCs/>
        </w:rPr>
        <w:t>Section 1</w:t>
      </w:r>
      <w:r>
        <w:rPr>
          <w:b/>
          <w:bCs/>
        </w:rPr>
        <w:t>7</w:t>
      </w:r>
      <w:r>
        <w:rPr>
          <w:b/>
          <w:bCs/>
        </w:rPr>
        <w:t>: AncestryDNA Coordinate Mapping Problem + Previously Omitted Genes</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[1][9][10]</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18.1 The Coordinate Mapping Problem [1]</w:t>
      </w:r>
    </w:p>
    <w:p>
      <w:pPr>
        <w:pStyle w:val="Normal"/>
        <w:spacing w:before="0" w:after="100"/>
        <w:rPr>
          <w:rFonts w:ascii="Arial" w:hAnsi="Arial" w:eastAsia="Arial" w:cs="Arial"/>
          <w:sz w:val="22"/>
          <w:szCs w:val="22"/>
        </w:rPr>
      </w:pPr>
      <w:r>
        <w:rPr>
          <w:rFonts w:eastAsia="Arial" w:cs="Arial" w:ascii="Arial" w:hAnsi="Arial"/>
          <w:sz w:val="22"/>
          <w:szCs w:val="22"/>
        </w:rPr>
        <w:t>The AncestryDNA microarray uses an internal coordinate system that places 5 clinically significant gene probes on chromosomes DIFFERENT from their known genomic locations [1]:</w:t>
      </w:r>
    </w:p>
    <w:tbl>
      <w:tblPr>
        <w:tblW w:w="9400" w:type="dxa"/>
        <w:jc w:val="left"/>
        <w:tblInd w:w="0" w:type="dxa"/>
        <w:tblLayout w:type="fixed"/>
        <w:tblCellMar>
          <w:top w:w="60" w:type="dxa"/>
          <w:left w:w="100" w:type="dxa"/>
          <w:bottom w:w="60" w:type="dxa"/>
          <w:right w:w="100" w:type="dxa"/>
        </w:tblCellMar>
      </w:tblPr>
      <w:tblGrid>
        <w:gridCol w:w="1500"/>
        <w:gridCol w:w="2499"/>
        <w:gridCol w:w="2501"/>
        <w:gridCol w:w="2900"/>
      </w:tblGrid>
      <w:tr>
        <w:trPr/>
        <w:tc>
          <w:tcPr>
            <w:tcW w:w="15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Gene</w:t>
            </w:r>
          </w:p>
        </w:tc>
        <w:tc>
          <w:tcPr>
            <w:tcW w:w="24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AncestryDNA Location</w:t>
            </w:r>
          </w:p>
        </w:tc>
        <w:tc>
          <w:tcPr>
            <w:tcW w:w="25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Standard Location</w:t>
            </w:r>
          </w:p>
        </w:tc>
        <w:tc>
          <w:tcPr>
            <w:tcW w:w="29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8"/>
                <w:szCs w:val="18"/>
              </w:rPr>
            </w:pPr>
            <w:r>
              <w:rPr>
                <w:rFonts w:eastAsia="Arial" w:cs="Arial" w:ascii="Arial" w:hAnsi="Arial"/>
                <w:b/>
                <w:bCs/>
                <w:sz w:val="18"/>
                <w:szCs w:val="18"/>
              </w:rPr>
              <w:t>Impact</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FUT1</w:t>
            </w:r>
          </w:p>
        </w:tc>
        <w:tc>
          <w:tcPr>
            <w:tcW w:w="24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Unknown</w:t>
            </w:r>
          </w:p>
        </w:tc>
        <w:tc>
          <w:tcPr>
            <w:tcW w:w="25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Chr19q13.33</w:t>
            </w:r>
          </w:p>
        </w:tc>
        <w:tc>
          <w:tcPr>
            <w:tcW w:w="2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FUT1 coverage insufficient to call in AncestryDNA</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RHAG</w:t>
            </w:r>
          </w:p>
        </w:tc>
        <w:tc>
          <w:tcPr>
            <w:tcW w:w="24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Chr3:48,600,000</w:t>
            </w:r>
          </w:p>
        </w:tc>
        <w:tc>
          <w:tcPr>
            <w:tcW w:w="25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Chr6p11-p21</w:t>
            </w:r>
          </w:p>
        </w:tc>
        <w:tc>
          <w:tcPr>
            <w:tcW w:w="2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RHAG deletion found at wrong chromosome coords</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AR</w:t>
            </w:r>
          </w:p>
        </w:tc>
        <w:tc>
          <w:tcPr>
            <w:tcW w:w="24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Chr1:229,500,000</w:t>
            </w:r>
          </w:p>
        </w:tc>
        <w:tc>
          <w:tcPr>
            <w:tcW w:w="25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ChrXq12</w:t>
            </w:r>
          </w:p>
        </w:tc>
        <w:tc>
          <w:tcPr>
            <w:tcW w:w="2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AR ClinVar probes mislabeled to autosome</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ESR1</w:t>
            </w:r>
          </w:p>
        </w:tc>
        <w:tc>
          <w:tcPr>
            <w:tcW w:w="24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Chr10:89,720,852</w:t>
            </w:r>
          </w:p>
        </w:tc>
        <w:tc>
          <w:tcPr>
            <w:tcW w:w="25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Chr6q25.1</w:t>
            </w:r>
          </w:p>
        </w:tc>
        <w:tc>
          <w:tcPr>
            <w:tcW w:w="2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ESR1 stop-gain probe co-mapped to PTEN locus</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OPN1LW/MW</w:t>
            </w:r>
          </w:p>
        </w:tc>
        <w:tc>
          <w:tcPr>
            <w:tcW w:w="24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Chr7:116,417,457</w:t>
            </w:r>
          </w:p>
        </w:tc>
        <w:tc>
          <w:tcPr>
            <w:tcW w:w="25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ChrXq28</w:t>
            </w:r>
          </w:p>
        </w:tc>
        <w:tc>
          <w:tcPr>
            <w:tcW w:w="2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8"/>
                <w:szCs w:val="18"/>
              </w:rPr>
            </w:pPr>
            <w:r>
              <w:rPr>
                <w:rFonts w:eastAsia="Arial" w:cs="Arial" w:ascii="Arial" w:hAnsi="Arial"/>
                <w:b w:val="false"/>
                <w:bCs w:val="false"/>
                <w:sz w:val="18"/>
                <w:szCs w:val="18"/>
              </w:rPr>
              <w:t>Color vision genes placed on wrong chromosome</w:t>
            </w:r>
          </w:p>
        </w:tc>
      </w:tr>
    </w:tbl>
    <w:p>
      <w:pPr>
        <w:pStyle w:val="Normal"/>
        <w:spacing w:before="0" w:after="100"/>
        <w:rPr>
          <w:rFonts w:ascii="Arial" w:hAnsi="Arial" w:eastAsia="Arial" w:cs="Arial"/>
          <w:sz w:val="22"/>
          <w:szCs w:val="22"/>
        </w:rPr>
      </w:pPr>
      <w:r>
        <w:rPr>
          <w:rFonts w:eastAsia="Arial" w:cs="Arial" w:ascii="Arial" w:hAnsi="Arial"/>
          <w:sz w:val="22"/>
          <w:szCs w:val="22"/>
        </w:rPr>
        <w:t>This means: every interpretation of these genes from the AncestryDNA array had to account for misplaced coordinates. The WGS data resolves this — it uses standard genomic coordinates. The WGS findings for these genes (AR 17 variants, ESR1 28 variants, RHAG 12 variants, FUT1 15 variants, OPN1LW 1 variant on X) are at their correct chromosomal locations.</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18.2 AGTR1 — Angiotensin II Receptor Type 1</w:t>
      </w:r>
    </w:p>
    <w:p>
      <w:pPr>
        <w:pStyle w:val="Normal"/>
        <w:spacing w:before="0" w:after="60"/>
        <w:rPr>
          <w:rFonts w:ascii="Arial" w:hAnsi="Arial"/>
        </w:rPr>
      </w:pPr>
      <w:r>
        <w:rPr>
          <w:rFonts w:eastAsia="Arial" w:cs="Arial" w:ascii="Arial" w:hAnsi="Arial"/>
          <w:b/>
          <w:bCs/>
          <w:sz w:val="22"/>
          <w:szCs w:val="22"/>
        </w:rPr>
        <w:t xml:space="preserve">WGS GRCh37 [10]: </w:t>
      </w:r>
      <w:r>
        <w:rPr>
          <w:rFonts w:eastAsia="Arial" w:cs="Arial" w:ascii="Arial" w:hAnsi="Arial"/>
          <w:sz w:val="22"/>
          <w:szCs w:val="22"/>
        </w:rPr>
        <w:t>11 variants, 2 homozygous</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Chr3:148460467  C→A  GT:1/1  3_prime_UTR_variant  Score:85  [10]</w:t>
      </w:r>
    </w:p>
    <w:p>
      <w:pPr>
        <w:pStyle w:val="Normal"/>
        <w:spacing w:before="0" w:after="40"/>
        <w:rPr>
          <w:rFonts w:ascii="Arial" w:hAnsi="Arial" w:eastAsia="Courier New" w:cs="Courier New"/>
          <w:color w:val="333333"/>
          <w:sz w:val="20"/>
          <w:szCs w:val="20"/>
        </w:rPr>
      </w:pPr>
      <w:r>
        <w:rPr>
          <w:rFonts w:eastAsia="Courier New" w:cs="Courier New" w:ascii="Arial" w:hAnsi="Arial"/>
          <w:color w:val="333333"/>
          <w:sz w:val="20"/>
          <w:szCs w:val="20"/>
        </w:rPr>
        <w:t>Chr3:148460700  G→A  GT:1/1  3_prime_UTR_variant  Score:85  [10]</w:t>
      </w:r>
    </w:p>
    <w:p>
      <w:pPr>
        <w:pStyle w:val="Normal"/>
        <w:spacing w:before="0" w:after="100"/>
        <w:rPr>
          <w:rFonts w:ascii="Arial" w:hAnsi="Arial" w:eastAsia="Arial" w:cs="Arial"/>
          <w:sz w:val="22"/>
          <w:szCs w:val="22"/>
        </w:rPr>
      </w:pPr>
      <w:r>
        <w:rPr>
          <w:rFonts w:eastAsia="Arial" w:cs="Arial" w:ascii="Arial" w:hAnsi="Arial"/>
          <w:sz w:val="22"/>
          <w:szCs w:val="22"/>
        </w:rPr>
        <w:t>What AGTR1 does: The receptor that receives angiotensin II — the product ACE makes. ACE converts angiotensin I → angiotensin II. Angiotensin II then binds to AGTR1 on adrenal cortex cells and stimulates aldosterone production. BOTH the enzyme (ACE, 28 variants, 22 homozygous [9][10]) AND its receptor (AGTR1, 11 variants, 2 homozygous) are modified. The signal maker and the signal receiver in the renin-angiotensin system are both built differently.</w:t>
      </w:r>
    </w:p>
    <w:p>
      <w:pPr>
        <w:pStyle w:val="Normal"/>
        <w:spacing w:before="0" w:after="100"/>
        <w:rPr>
          <w:rFonts w:ascii="Arial" w:hAnsi="Arial" w:eastAsia="Arial" w:cs="Arial"/>
          <w:sz w:val="22"/>
          <w:szCs w:val="22"/>
        </w:rPr>
      </w:pPr>
      <w:r>
        <w:rPr>
          <w:rFonts w:eastAsia="Arial" w:cs="Arial" w:ascii="Arial" w:hAnsi="Arial"/>
          <w:sz w:val="22"/>
          <w:szCs w:val="22"/>
        </w:rPr>
        <w:t>Both homozygous variants are 3_prime_UTR — the untranslated region at the end of the mRNA. This region controls mRNA stability and translation efficiency — how long the message lasts and how much protein gets made from it. 3_prime_UTR variants change the QUANTITY of receptor produced, not the receptor's shape.</w:t>
      </w:r>
    </w:p>
    <w:p>
      <w:pPr>
        <w:pStyle w:val="Normal"/>
        <w:spacing w:before="0" w:after="120"/>
        <w:rPr>
          <w:rFonts w:ascii="Arial" w:hAnsi="Arial" w:eastAsia="Arial" w:cs="Arial"/>
          <w:i/>
          <w:i/>
          <w:iCs/>
          <w:color w:val="7B2D26"/>
          <w:sz w:val="22"/>
          <w:szCs w:val="22"/>
        </w:rPr>
      </w:pPr>
      <w:r>
        <w:rPr>
          <w:rFonts w:eastAsia="Arial" w:cs="Arial" w:ascii="Arial" w:hAnsi="Arial"/>
          <w:i/>
          <w:iCs/>
          <w:color w:val="7B2D26"/>
          <w:sz w:val="22"/>
          <w:szCs w:val="22"/>
        </w:rPr>
        <w:t>Plain English: ACE makes the signal (angiotensin II). AGTR1 receives it. Both are modified. The signal that drives adrenal cortex activity — the same cortex that makes 11-KT precursors — has modifications on both the sending and receiving end.</w:t>
      </w:r>
    </w:p>
    <w:p>
      <w:pPr>
        <w:pStyle w:val="Normal"/>
        <w:spacing w:before="0" w:after="100"/>
        <w:rPr>
          <w:rFonts w:ascii="Arial" w:hAnsi="Arial"/>
        </w:rPr>
      </w:pPr>
      <w:r>
        <w:rPr>
          <w:rFonts w:ascii="Arial" w:hAnsi="Arial"/>
        </w:rPr>
      </w:r>
    </w:p>
    <w:p>
      <w:pPr>
        <w:pStyle w:val="Heading2"/>
        <w:spacing w:before="240" w:after="150"/>
        <w:rPr>
          <w:rFonts w:ascii="Arial" w:hAnsi="Arial"/>
        </w:rPr>
      </w:pPr>
      <w:r>
        <w:rPr>
          <w:b/>
          <w:bCs/>
        </w:rPr>
        <w:t>18.3 AP2A2 — Protein Trafficking</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47 variants, 0 homozygous (all heterozygous)</w:t>
      </w:r>
    </w:p>
    <w:p>
      <w:pPr>
        <w:pStyle w:val="Normal"/>
        <w:spacing w:before="0" w:after="100"/>
        <w:rPr>
          <w:rFonts w:ascii="Arial" w:hAnsi="Arial" w:eastAsia="Arial" w:cs="Arial"/>
          <w:sz w:val="22"/>
          <w:szCs w:val="22"/>
        </w:rPr>
      </w:pPr>
      <w:r>
        <w:rPr>
          <w:rFonts w:eastAsia="Arial" w:cs="Arial" w:ascii="Arial" w:hAnsi="Arial"/>
          <w:sz w:val="22"/>
          <w:szCs w:val="22"/>
        </w:rPr>
        <w:t>What AP2A2 does: Adaptor protein complex 2, alpha 2 subunit. Part of the clathrin-coated vesicle machinery that moves proteins from the cell surface into the cell interior (endocytosis). This is how receptors get internalized after activation — including hormone receptors. 47 variants, all heterozygous, means the protein trafficking system has extensive variation but maintains one reference copy at each position.</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18.4 MAPT — Tau</w:t>
      </w:r>
    </w:p>
    <w:p>
      <w:pPr>
        <w:pStyle w:val="Normal"/>
        <w:spacing w:before="0" w:after="60"/>
        <w:rPr>
          <w:rFonts w:ascii="Arial" w:hAnsi="Arial"/>
        </w:rPr>
      </w:pPr>
      <w:r>
        <w:rPr>
          <w:rFonts w:eastAsia="Arial" w:cs="Arial" w:ascii="Arial" w:hAnsi="Arial"/>
          <w:b/>
          <w:bCs/>
          <w:sz w:val="22"/>
          <w:szCs w:val="22"/>
        </w:rPr>
        <w:t xml:space="preserve">WGS GRCh37 [10]: </w:t>
      </w:r>
      <w:r>
        <w:rPr>
          <w:rFonts w:eastAsia="Arial" w:cs="Arial" w:ascii="Arial" w:hAnsi="Arial"/>
          <w:sz w:val="22"/>
          <w:szCs w:val="22"/>
        </w:rPr>
        <w:t>6 variants, 0 homozygous</w:t>
      </w:r>
    </w:p>
    <w:p>
      <w:pPr>
        <w:pStyle w:val="Normal"/>
        <w:spacing w:before="0" w:after="100"/>
        <w:rPr>
          <w:rFonts w:ascii="Arial" w:hAnsi="Arial" w:eastAsia="Arial" w:cs="Arial"/>
          <w:sz w:val="22"/>
          <w:szCs w:val="22"/>
        </w:rPr>
      </w:pPr>
      <w:r>
        <w:rPr>
          <w:rFonts w:eastAsia="Arial" w:cs="Arial" w:ascii="Arial" w:hAnsi="Arial"/>
          <w:sz w:val="22"/>
          <w:szCs w:val="22"/>
        </w:rPr>
        <w:t>What MAPT does: Microtubule-associated protein tau. Stabilizes microtubules in neurons — the structural tracks that transport cargo inside nerve cells. MAPT is also on chromosome 17, adding to the chr17 structural density anomaly [1]. All heterozygous.</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18.5 PNPLA3 — Liver Fat</w:t>
      </w:r>
    </w:p>
    <w:p>
      <w:pPr>
        <w:pStyle w:val="Normal"/>
        <w:spacing w:before="0" w:after="60"/>
        <w:rPr>
          <w:rFonts w:ascii="Arial" w:hAnsi="Arial"/>
        </w:rPr>
      </w:pPr>
      <w:r>
        <w:rPr>
          <w:rFonts w:eastAsia="Arial" w:cs="Arial" w:ascii="Arial" w:hAnsi="Arial"/>
          <w:b/>
          <w:bCs/>
          <w:sz w:val="22"/>
          <w:szCs w:val="22"/>
        </w:rPr>
        <w:t xml:space="preserve">WGS GRCh37 [10]: </w:t>
      </w:r>
      <w:r>
        <w:rPr>
          <w:rFonts w:eastAsia="Arial" w:cs="Arial" w:ascii="Arial" w:hAnsi="Arial"/>
          <w:sz w:val="22"/>
          <w:szCs w:val="22"/>
        </w:rPr>
        <w:t>8 variants, 4 homozygous</w:t>
      </w:r>
    </w:p>
    <w:p>
      <w:pPr>
        <w:pStyle w:val="Normal"/>
        <w:spacing w:before="0" w:after="100"/>
        <w:rPr>
          <w:rFonts w:ascii="Arial" w:hAnsi="Arial" w:eastAsia="Arial" w:cs="Arial"/>
          <w:sz w:val="22"/>
          <w:szCs w:val="22"/>
        </w:rPr>
      </w:pPr>
      <w:r>
        <w:rPr>
          <w:rFonts w:eastAsia="Arial" w:cs="Arial" w:ascii="Arial" w:hAnsi="Arial"/>
          <w:sz w:val="22"/>
          <w:szCs w:val="22"/>
        </w:rPr>
        <w:t>What PNPLA3 does: Patatin-like phospholipase domain-containing 3. Regulates fat metabolism in liver cells. The I148M variant (rs738409) is the strongest known genetic risk factor for non-alcoholic fatty liver disease (NAFLD). 4 homozygous = liver fat metabolism is modified on both copies.</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18.6 ADD1 — Blood Pressure</w:t>
      </w:r>
    </w:p>
    <w:p>
      <w:pPr>
        <w:pStyle w:val="Normal"/>
        <w:spacing w:before="0" w:after="60"/>
        <w:rPr>
          <w:rFonts w:ascii="Arial" w:hAnsi="Arial"/>
        </w:rPr>
      </w:pPr>
      <w:r>
        <w:rPr>
          <w:rFonts w:eastAsia="Arial" w:cs="Arial" w:ascii="Arial" w:hAnsi="Arial"/>
          <w:b/>
          <w:bCs/>
          <w:sz w:val="22"/>
          <w:szCs w:val="22"/>
        </w:rPr>
        <w:t xml:space="preserve">WGS GRCh37 [9][10]: </w:t>
      </w:r>
      <w:r>
        <w:rPr>
          <w:rFonts w:eastAsia="Arial" w:cs="Arial" w:ascii="Arial" w:hAnsi="Arial"/>
          <w:sz w:val="22"/>
          <w:szCs w:val="22"/>
        </w:rPr>
        <w:t>8 variants, 1 homozygous</w:t>
      </w:r>
    </w:p>
    <w:p>
      <w:pPr>
        <w:pStyle w:val="Normal"/>
        <w:spacing w:before="0" w:after="100"/>
        <w:rPr>
          <w:rFonts w:ascii="Arial" w:hAnsi="Arial" w:eastAsia="Arial" w:cs="Arial"/>
          <w:sz w:val="22"/>
          <w:szCs w:val="22"/>
        </w:rPr>
      </w:pPr>
      <w:r>
        <w:rPr>
          <w:rFonts w:eastAsia="Arial" w:cs="Arial" w:ascii="Arial" w:hAnsi="Arial"/>
          <w:sz w:val="22"/>
          <w:szCs w:val="22"/>
        </w:rPr>
        <w:t>What ADD1 does: Alpha-adducin. A cytoskeletal protein in kidney tubule cells that affects sodium reabsorption. The Gly460Trp variant affects how the kidney handles sodium — and therefore blood pressure. Combined with ACE (28, 22 hom) and AGTR1 (11, 2 hom), three components of blood pressure regulation are modified.</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18.7 ADRB3 — Beta-3 Adrenergic Receptor</w:t>
      </w:r>
    </w:p>
    <w:p>
      <w:pPr>
        <w:pStyle w:val="Normal"/>
        <w:spacing w:before="0" w:after="60"/>
        <w:rPr>
          <w:rFonts w:ascii="Arial" w:hAnsi="Arial"/>
        </w:rPr>
      </w:pPr>
      <w:r>
        <w:rPr>
          <w:rFonts w:eastAsia="Arial" w:cs="Arial" w:ascii="Arial" w:hAnsi="Arial"/>
          <w:b/>
          <w:bCs/>
          <w:sz w:val="22"/>
          <w:szCs w:val="22"/>
        </w:rPr>
        <w:t xml:space="preserve">WGS GRCh37 [10]: </w:t>
      </w:r>
      <w:r>
        <w:rPr>
          <w:rFonts w:eastAsia="Arial" w:cs="Arial" w:ascii="Arial" w:hAnsi="Arial"/>
          <w:sz w:val="22"/>
          <w:szCs w:val="22"/>
        </w:rPr>
        <w:t>5 variants, 0 homozygous</w:t>
      </w:r>
    </w:p>
    <w:p>
      <w:pPr>
        <w:pStyle w:val="Normal"/>
        <w:spacing w:before="0" w:after="100"/>
        <w:rPr>
          <w:rFonts w:ascii="Arial" w:hAnsi="Arial" w:eastAsia="Arial" w:cs="Arial"/>
          <w:sz w:val="22"/>
          <w:szCs w:val="22"/>
        </w:rPr>
      </w:pPr>
      <w:r>
        <w:rPr>
          <w:rFonts w:eastAsia="Arial" w:cs="Arial" w:ascii="Arial" w:hAnsi="Arial"/>
          <w:sz w:val="22"/>
          <w:szCs w:val="22"/>
        </w:rPr>
        <w:t>What ADRB3 does: Receives norepinephrine and epinephrine in adipose tissue and the bladder. Stimulates lipolysis (fat breakdown) and thermogenesis (heat production). The adrenal medulla makes the catecholamines that ADRB3 receives — connecting back to the NF1/COMT/adrenal medulla theme. Combined with ADRB2 (6, 4 hom) — both beta-2 and beta-3 adrenergic receptors are modified.</w:t>
      </w:r>
    </w:p>
    <w:p>
      <w:pPr>
        <w:pStyle w:val="Normal"/>
        <w:spacing w:before="0" w:after="100"/>
        <w:rPr>
          <w:rFonts w:ascii="Arial" w:hAnsi="Arial"/>
        </w:rPr>
      </w:pPr>
      <w:r>
        <w:rPr>
          <w:rFonts w:ascii="Arial" w:hAnsi="Arial"/>
        </w:rPr>
      </w:r>
    </w:p>
    <w:p>
      <w:pPr>
        <w:pStyle w:val="Heading2"/>
        <w:spacing w:before="240" w:after="150"/>
        <w:rPr>
          <w:rFonts w:ascii="Arial" w:hAnsi="Arial"/>
        </w:rPr>
      </w:pPr>
      <w:r>
        <w:rPr>
          <w:b/>
          <w:bCs/>
        </w:rPr>
        <w:t>18.8 DPYD — Specific Pathogenic Finding</w:t>
      </w:r>
    </w:p>
    <w:p>
      <w:pPr>
        <w:pStyle w:val="Normal"/>
        <w:spacing w:before="0" w:after="60"/>
        <w:rPr>
          <w:rFonts w:ascii="Arial" w:hAnsi="Arial"/>
        </w:rPr>
      </w:pPr>
      <w:r>
        <w:rPr>
          <w:rFonts w:eastAsia="Arial" w:cs="Arial" w:ascii="Arial" w:hAnsi="Arial"/>
          <w:b/>
          <w:bCs/>
          <w:sz w:val="22"/>
          <w:szCs w:val="22"/>
        </w:rPr>
        <w:t xml:space="preserve">AncestryDNA [2]: </w:t>
      </w:r>
      <w:r>
        <w:rPr>
          <w:rFonts w:eastAsia="Arial" w:cs="Arial" w:ascii="Arial" w:hAnsi="Arial"/>
          <w:sz w:val="22"/>
          <w:szCs w:val="22"/>
        </w:rPr>
        <w:t>rs773499329 — likely_pathogenic frameshift in DPYD</w:t>
      </w:r>
    </w:p>
    <w:p>
      <w:pPr>
        <w:pStyle w:val="Normal"/>
        <w:spacing w:before="0" w:after="60"/>
        <w:rPr>
          <w:rFonts w:ascii="Arial" w:hAnsi="Arial"/>
        </w:rPr>
      </w:pPr>
      <w:r>
        <w:rPr>
          <w:rFonts w:eastAsia="Arial" w:cs="Arial" w:ascii="Arial" w:hAnsi="Arial"/>
          <w:b/>
          <w:bCs/>
          <w:sz w:val="22"/>
          <w:szCs w:val="22"/>
        </w:rPr>
        <w:t xml:space="preserve">WGS GRCh37 Pharma [11]: </w:t>
      </w:r>
      <w:r>
        <w:rPr>
          <w:rFonts w:eastAsia="Arial" w:cs="Arial" w:ascii="Arial" w:hAnsi="Arial"/>
          <w:sz w:val="22"/>
          <w:szCs w:val="22"/>
        </w:rPr>
        <w:t>21 DPYD variants</w:t>
      </w:r>
    </w:p>
    <w:p>
      <w:pPr>
        <w:pStyle w:val="Normal"/>
        <w:spacing w:before="0" w:after="60"/>
        <w:rPr>
          <w:rFonts w:ascii="Arial" w:hAnsi="Arial"/>
        </w:rPr>
      </w:pPr>
      <w:r>
        <w:rPr>
          <w:rFonts w:eastAsia="Arial" w:cs="Arial" w:ascii="Arial" w:hAnsi="Arial"/>
          <w:b/>
          <w:bCs/>
          <w:sz w:val="22"/>
          <w:szCs w:val="22"/>
        </w:rPr>
        <w:t xml:space="preserve">WGS GRCh38 Pharma [16]: </w:t>
      </w:r>
      <w:r>
        <w:rPr>
          <w:rFonts w:eastAsia="Arial" w:cs="Arial" w:ascii="Arial" w:hAnsi="Arial"/>
          <w:sz w:val="22"/>
          <w:szCs w:val="22"/>
        </w:rPr>
        <w:t>16 DPYD variants</w:t>
      </w:r>
    </w:p>
    <w:p>
      <w:pPr>
        <w:pStyle w:val="Normal"/>
        <w:spacing w:before="0" w:after="100"/>
        <w:rPr>
          <w:rFonts w:ascii="Arial" w:hAnsi="Arial" w:eastAsia="Arial" w:cs="Arial"/>
          <w:sz w:val="22"/>
          <w:szCs w:val="22"/>
        </w:rPr>
      </w:pPr>
      <w:r>
        <w:rPr>
          <w:rFonts w:eastAsia="Arial" w:cs="Arial" w:ascii="Arial" w:hAnsi="Arial"/>
          <w:sz w:val="22"/>
          <w:szCs w:val="22"/>
        </w:rPr>
        <w:t>What DPYD does: Dihydropyrimidine dehydrogenase. The rate-limiting enzyme for breaking down fluoropyrimidine drugs (5-FU, capecitabine). These drugs are used in cancer chemotherapy. If DPYD is deficient, the drug doesn't get broken down, accumulates to toxic levels, and can cause fatal toxicity — severe mucositis, myelosuppression, neurotoxicity. The AncestryDNA finding of a likely_pathogenic frameshift (rs773499329) [2] means one copy of DPYD has a reading frame shift that disrupts the protein. This is a pharmacogenomic flag: if fluoropyrimidine drugs are ever considered, DPYD status MUST be checked first.</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Plain English: A specific drug-processing gene (DPYD) has a frameshift that disrupts the protein on one copy. The drug it processes (5-FU) is a chemotherapy agent. If this drug is given without checking DPYD status, it can accumulate to lethal levels. This isn't a theoretical concern — DPYD toxicity deaths are documented. This is a safety flag for the medical record.</w:t>
      </w:r>
    </w:p>
    <w:p>
      <w:pPr>
        <w:pStyle w:val="Normal"/>
        <w:spacing w:before="0" w:after="120"/>
        <w:rPr>
          <w:rFonts w:eastAsia="Arial" w:cs="Arial"/>
          <w:b w:val="false"/>
          <w:bCs w:val="false"/>
          <w:i/>
          <w:i/>
          <w:iCs/>
          <w:color w:val="7B2D26"/>
          <w:sz w:val="22"/>
          <w:szCs w:val="22"/>
        </w:rPr>
      </w:pPr>
      <w:r>
        <w:rPr>
          <w:rFonts w:ascii="Arial" w:hAnsi="Arial"/>
        </w:rPr>
      </w:r>
      <w:r>
        <w:br w:type="page"/>
      </w:r>
    </w:p>
    <w:p>
      <w:pPr>
        <w:pStyle w:val="Heading1"/>
        <w:spacing w:before="360" w:after="200"/>
        <w:rPr>
          <w:rFonts w:ascii="Arial" w:hAnsi="Arial"/>
        </w:rPr>
      </w:pPr>
      <w:r>
        <w:rPr>
          <w:b/>
          <w:bCs/>
        </w:rPr>
        <w:t>Section 1</w:t>
      </w:r>
      <w:r>
        <w:rPr>
          <w:b/>
          <w:bCs/>
        </w:rPr>
        <w:t>8</w:t>
      </w:r>
      <w:r>
        <w:rPr>
          <w:b/>
          <w:bCs/>
        </w:rPr>
        <w:t>: Master Comparison Table — AncestryDNA vs WGS GRCh37 vs WGS GRCh38</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[3][4][5][9][10][14][15]</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Every gene tracked across all three datasets. ANC = AncestryDNA total (Exceptional + High + Moderate). G37 = WGS GRCh37 scored. G38 = WGS GRCh38 scored. Hom = homozygous count in GRCh37. Ratio = G37/ANC expansion (NEW = gene absent from AncestryDNA entirely).</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11-KT Pathway Genes</w:t>
      </w:r>
    </w:p>
    <w:tbl>
      <w:tblPr>
        <w:tblW w:w="9400" w:type="dxa"/>
        <w:jc w:val="left"/>
        <w:tblInd w:w="0" w:type="dxa"/>
        <w:tblLayout w:type="fixed"/>
        <w:tblCellMar>
          <w:top w:w="60" w:type="dxa"/>
          <w:left w:w="100" w:type="dxa"/>
          <w:bottom w:w="60" w:type="dxa"/>
          <w:right w:w="100" w:type="dxa"/>
        </w:tblCellMar>
      </w:tblPr>
      <w:tblGrid>
        <w:gridCol w:w="1099"/>
        <w:gridCol w:w="601"/>
        <w:gridCol w:w="600"/>
        <w:gridCol w:w="599"/>
        <w:gridCol w:w="600"/>
        <w:gridCol w:w="601"/>
        <w:gridCol w:w="5300"/>
      </w:tblGrid>
      <w:tr>
        <w:trPr/>
        <w:tc>
          <w:tcPr>
            <w:tcW w:w="10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Gene</w:t>
            </w:r>
          </w:p>
        </w:tc>
        <w:tc>
          <w:tcPr>
            <w:tcW w:w="6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ANC</w:t>
            </w:r>
          </w:p>
        </w:tc>
        <w:tc>
          <w:tcPr>
            <w:tcW w:w="6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G37</w:t>
            </w:r>
          </w:p>
        </w:tc>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G38</w:t>
            </w:r>
          </w:p>
        </w:tc>
        <w:tc>
          <w:tcPr>
            <w:tcW w:w="6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Hom</w:t>
            </w:r>
          </w:p>
        </w:tc>
        <w:tc>
          <w:tcPr>
            <w:tcW w:w="6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Ratio</w:t>
            </w:r>
          </w:p>
        </w:tc>
        <w:tc>
          <w:tcPr>
            <w:tcW w:w="53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Note</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RYR2</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97</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133</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109</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78</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1.4x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Most modified gene. 78 homozygous.</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CYP11B1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37</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NEW</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WGS-only. AncestryDNA had 0.</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MTR</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16</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42</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34</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20</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2.6x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rPr>
            </w:pPr>
            <w:r>
              <w:rPr>
                <w:rFonts w:ascii="Arial" w:hAnsi="Arial"/>
              </w:rPr>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ACE</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28</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21</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22</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14x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Largest expansion ratio of any pathway gene.</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PCSK9</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11</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25</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22</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16</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2.3x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rPr>
            </w:pPr>
            <w:r>
              <w:rPr>
                <w:rFonts w:ascii="Arial" w:hAnsi="Arial"/>
              </w:rPr>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ESR1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22</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26</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22</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16</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1.2x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rPr>
            </w:pPr>
            <w:r>
              <w:rPr>
                <w:rFonts w:ascii="Arial" w:hAnsi="Arial"/>
              </w:rPr>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CBS</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19</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20</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13</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1.1x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rPr>
            </w:pPr>
            <w:r>
              <w:rPr>
                <w:rFonts w:ascii="Arial" w:hAnsi="Arial"/>
              </w:rPr>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NOS3</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11</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11</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7</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3.7x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rPr>
            </w:pPr>
            <w:r>
              <w:rPr>
                <w:rFonts w:ascii="Arial" w:hAnsi="Arial"/>
              </w:rPr>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AGTR1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9</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11</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1.2x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ACE receptor. Both sender and receiver modified.</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MLH1*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105</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9</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8</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9</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All 9 WGS homozygous. *Ancestry scored by rsID.</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MTHFR</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7</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5</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3.5x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rPr>
            </w:pPr>
            <w:r>
              <w:rPr>
                <w:rFonts w:ascii="Arial" w:hAnsi="Arial"/>
              </w:rPr>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CTLA4</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7</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7</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7x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All 7 WGS homozygous.</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SRD5A2</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5</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5</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5</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All 5 homozygous. PATHOGENIC ClinVar.</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AR</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5</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8</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5</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NEW</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WGS-only + 4 more in NOT_IN_ANY_DB [12].</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HSD11B1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NEW</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WGS-only.</w:t>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Neural / Neurotransmitter</w:t>
      </w:r>
    </w:p>
    <w:tbl>
      <w:tblPr>
        <w:tblW w:w="9400" w:type="dxa"/>
        <w:jc w:val="left"/>
        <w:tblInd w:w="0" w:type="dxa"/>
        <w:tblLayout w:type="fixed"/>
        <w:tblCellMar>
          <w:top w:w="60" w:type="dxa"/>
          <w:left w:w="100" w:type="dxa"/>
          <w:bottom w:w="60" w:type="dxa"/>
          <w:right w:w="100" w:type="dxa"/>
        </w:tblCellMar>
      </w:tblPr>
      <w:tblGrid>
        <w:gridCol w:w="1099"/>
        <w:gridCol w:w="601"/>
        <w:gridCol w:w="600"/>
        <w:gridCol w:w="599"/>
        <w:gridCol w:w="600"/>
        <w:gridCol w:w="601"/>
        <w:gridCol w:w="5300"/>
      </w:tblGrid>
      <w:tr>
        <w:trPr/>
        <w:tc>
          <w:tcPr>
            <w:tcW w:w="10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Gene</w:t>
            </w:r>
          </w:p>
        </w:tc>
        <w:tc>
          <w:tcPr>
            <w:tcW w:w="6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ANC</w:t>
            </w:r>
          </w:p>
        </w:tc>
        <w:tc>
          <w:tcPr>
            <w:tcW w:w="6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G37</w:t>
            </w:r>
          </w:p>
        </w:tc>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G38</w:t>
            </w:r>
          </w:p>
        </w:tc>
        <w:tc>
          <w:tcPr>
            <w:tcW w:w="6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Hom</w:t>
            </w:r>
          </w:p>
        </w:tc>
        <w:tc>
          <w:tcPr>
            <w:tcW w:w="6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Ratio</w:t>
            </w:r>
          </w:p>
        </w:tc>
        <w:tc>
          <w:tcPr>
            <w:tcW w:w="53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Note</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CNTNAP2</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231</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94</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35</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58</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0.4x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Ancestry higher count but WGS deeper annotation.</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NRXN1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101</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63</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51</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36</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0.6x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rPr>
            </w:pPr>
            <w:r>
              <w:rPr>
                <w:rFonts w:ascii="Arial" w:hAnsi="Arial"/>
              </w:rPr>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OPRM1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47</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32</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7</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NEW</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WGS-only. Endorphin receiver.</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AP2A2</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47</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48</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NEW</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WGS-only. Protein trafficking.</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COMT</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22</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6</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18</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NEW</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WGS-only. 18 homozygous.</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HTR2A</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16</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13</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NEW</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WGS-only. Serotonin receiver.</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DRD3</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14</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NEW</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WGS-only. Dopamine receiver.</w:t>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DNA Repair</w:t>
      </w:r>
    </w:p>
    <w:tbl>
      <w:tblPr>
        <w:tblW w:w="9400" w:type="dxa"/>
        <w:jc w:val="left"/>
        <w:tblInd w:w="0" w:type="dxa"/>
        <w:tblLayout w:type="fixed"/>
        <w:tblCellMar>
          <w:top w:w="60" w:type="dxa"/>
          <w:left w:w="100" w:type="dxa"/>
          <w:bottom w:w="60" w:type="dxa"/>
          <w:right w:w="100" w:type="dxa"/>
        </w:tblCellMar>
      </w:tblPr>
      <w:tblGrid>
        <w:gridCol w:w="1099"/>
        <w:gridCol w:w="601"/>
        <w:gridCol w:w="600"/>
        <w:gridCol w:w="599"/>
        <w:gridCol w:w="600"/>
        <w:gridCol w:w="601"/>
        <w:gridCol w:w="5300"/>
      </w:tblGrid>
      <w:tr>
        <w:trPr/>
        <w:tc>
          <w:tcPr>
            <w:tcW w:w="10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Gene</w:t>
            </w:r>
          </w:p>
        </w:tc>
        <w:tc>
          <w:tcPr>
            <w:tcW w:w="6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ANC</w:t>
            </w:r>
          </w:p>
        </w:tc>
        <w:tc>
          <w:tcPr>
            <w:tcW w:w="6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G37</w:t>
            </w:r>
          </w:p>
        </w:tc>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G38</w:t>
            </w:r>
          </w:p>
        </w:tc>
        <w:tc>
          <w:tcPr>
            <w:tcW w:w="6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Hom</w:t>
            </w:r>
          </w:p>
        </w:tc>
        <w:tc>
          <w:tcPr>
            <w:tcW w:w="6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Ratio</w:t>
            </w:r>
          </w:p>
        </w:tc>
        <w:tc>
          <w:tcPr>
            <w:tcW w:w="53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Note</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BRCA1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731</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41</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31</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6</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Ancestry I/D symbolic. WGS actual sequence.</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BRCA2</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811</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50</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33</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20</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Same. 20 homozygous in WGS.</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MSH2</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233</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16</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13</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7</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130 ANC EXCEPTIONAL. WGS: 7 homozygous.</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MLH1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105</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9</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8</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9</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73 ANC EXCEPTIONAL. WGS: ALL 9 homozygous.</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APC</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91</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27</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4</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8</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rPr>
            </w:pPr>
            <w:r>
              <w:rPr>
                <w:rFonts w:ascii="Arial" w:hAnsi="Arial"/>
              </w:rPr>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NF1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33</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55</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39</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12</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1.7x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rPr>
            </w:pPr>
            <w:r>
              <w:rPr>
                <w:rFonts w:ascii="Arial" w:hAnsi="Arial"/>
              </w:rPr>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VHL</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29</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14</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22</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8</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rPr>
            </w:pPr>
            <w:r>
              <w:rPr>
                <w:rFonts w:ascii="Arial" w:hAnsi="Arial"/>
              </w:rPr>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MEN1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32</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8</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8</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rPr>
            </w:pPr>
            <w:r>
              <w:rPr>
                <w:rFonts w:ascii="Arial" w:hAnsi="Arial"/>
              </w:rPr>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TP53</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23</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20</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11 homozygous.</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FANCC</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10</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12</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6</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NEW</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WGS-only.</w:t>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Blood Type / Cell Surface</w:t>
      </w:r>
    </w:p>
    <w:tbl>
      <w:tblPr>
        <w:tblW w:w="9400" w:type="dxa"/>
        <w:jc w:val="left"/>
        <w:tblInd w:w="0" w:type="dxa"/>
        <w:tblLayout w:type="fixed"/>
        <w:tblCellMar>
          <w:top w:w="60" w:type="dxa"/>
          <w:left w:w="100" w:type="dxa"/>
          <w:bottom w:w="60" w:type="dxa"/>
          <w:right w:w="100" w:type="dxa"/>
        </w:tblCellMar>
      </w:tblPr>
      <w:tblGrid>
        <w:gridCol w:w="1099"/>
        <w:gridCol w:w="601"/>
        <w:gridCol w:w="600"/>
        <w:gridCol w:w="599"/>
        <w:gridCol w:w="600"/>
        <w:gridCol w:w="601"/>
        <w:gridCol w:w="5300"/>
      </w:tblGrid>
      <w:tr>
        <w:trPr/>
        <w:tc>
          <w:tcPr>
            <w:tcW w:w="10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Gene</w:t>
            </w:r>
          </w:p>
        </w:tc>
        <w:tc>
          <w:tcPr>
            <w:tcW w:w="6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ANC</w:t>
            </w:r>
          </w:p>
        </w:tc>
        <w:tc>
          <w:tcPr>
            <w:tcW w:w="6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G37</w:t>
            </w:r>
          </w:p>
        </w:tc>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G38</w:t>
            </w:r>
          </w:p>
        </w:tc>
        <w:tc>
          <w:tcPr>
            <w:tcW w:w="6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Hom</w:t>
            </w:r>
          </w:p>
        </w:tc>
        <w:tc>
          <w:tcPr>
            <w:tcW w:w="6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Ratio</w:t>
            </w:r>
          </w:p>
        </w:tc>
        <w:tc>
          <w:tcPr>
            <w:tcW w:w="53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Note</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FUT2</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11</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14</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13</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1.3x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ANC: stop_gained EXCEPTIONAL (305).</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RHD</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8</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4</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NEW</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INVISIBLE to microarray.</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RHAG</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8</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4</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4x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rPr>
            </w:pPr>
            <w:r>
              <w:rPr>
                <w:rFonts w:ascii="Arial" w:hAnsi="Arial"/>
              </w:rPr>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RHCE</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7</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3.5x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rPr>
            </w:pPr>
            <w:r>
              <w:rPr>
                <w:rFonts w:ascii="Arial" w:hAnsi="Arial"/>
              </w:rPr>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FUT1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15</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G38 only (GRCh37 couldn't annotate).</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HRNR</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40</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17</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NEW</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Skin barrier. WGS-only.</w:t>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Pigmentation</w:t>
      </w:r>
    </w:p>
    <w:tbl>
      <w:tblPr>
        <w:tblW w:w="9400" w:type="dxa"/>
        <w:jc w:val="left"/>
        <w:tblInd w:w="0" w:type="dxa"/>
        <w:tblLayout w:type="fixed"/>
        <w:tblCellMar>
          <w:top w:w="60" w:type="dxa"/>
          <w:left w:w="100" w:type="dxa"/>
          <w:bottom w:w="60" w:type="dxa"/>
          <w:right w:w="100" w:type="dxa"/>
        </w:tblCellMar>
      </w:tblPr>
      <w:tblGrid>
        <w:gridCol w:w="1099"/>
        <w:gridCol w:w="601"/>
        <w:gridCol w:w="600"/>
        <w:gridCol w:w="599"/>
        <w:gridCol w:w="600"/>
        <w:gridCol w:w="601"/>
        <w:gridCol w:w="5300"/>
      </w:tblGrid>
      <w:tr>
        <w:trPr/>
        <w:tc>
          <w:tcPr>
            <w:tcW w:w="10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Gene</w:t>
            </w:r>
          </w:p>
        </w:tc>
        <w:tc>
          <w:tcPr>
            <w:tcW w:w="6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ANC</w:t>
            </w:r>
          </w:p>
        </w:tc>
        <w:tc>
          <w:tcPr>
            <w:tcW w:w="6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G37</w:t>
            </w:r>
          </w:p>
        </w:tc>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G38</w:t>
            </w:r>
          </w:p>
        </w:tc>
        <w:tc>
          <w:tcPr>
            <w:tcW w:w="6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Hom</w:t>
            </w:r>
          </w:p>
        </w:tc>
        <w:tc>
          <w:tcPr>
            <w:tcW w:w="6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Ratio</w:t>
            </w:r>
          </w:p>
        </w:tc>
        <w:tc>
          <w:tcPr>
            <w:tcW w:w="53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Note</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HERC2</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78</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34</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NEW</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Eye color. WGS-only. 34 hom + 44 het = heterochromia.</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ASIP</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5</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5</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NEW</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ALL homozygous. Light/dark switch.</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OCA2</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Missense heterozygous = two protein versions.</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ACTN3</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6</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6</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rPr>
            </w:pPr>
            <w:r>
              <w:rPr>
                <w:rFonts w:ascii="Arial" w:hAnsi="Arial"/>
              </w:rPr>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MC1R</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rPr>
            </w:pPr>
            <w:r>
              <w:rPr>
                <w:rFonts w:ascii="Arial" w:hAnsi="Arial"/>
              </w:rPr>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Pharmacogenomics</w:t>
      </w:r>
    </w:p>
    <w:tbl>
      <w:tblPr>
        <w:tblW w:w="9400" w:type="dxa"/>
        <w:jc w:val="left"/>
        <w:tblInd w:w="0" w:type="dxa"/>
        <w:tblLayout w:type="fixed"/>
        <w:tblCellMar>
          <w:top w:w="60" w:type="dxa"/>
          <w:left w:w="100" w:type="dxa"/>
          <w:bottom w:w="60" w:type="dxa"/>
          <w:right w:w="100" w:type="dxa"/>
        </w:tblCellMar>
      </w:tblPr>
      <w:tblGrid>
        <w:gridCol w:w="1099"/>
        <w:gridCol w:w="601"/>
        <w:gridCol w:w="600"/>
        <w:gridCol w:w="599"/>
        <w:gridCol w:w="600"/>
        <w:gridCol w:w="601"/>
        <w:gridCol w:w="5300"/>
      </w:tblGrid>
      <w:tr>
        <w:trPr/>
        <w:tc>
          <w:tcPr>
            <w:tcW w:w="10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Gene</w:t>
            </w:r>
          </w:p>
        </w:tc>
        <w:tc>
          <w:tcPr>
            <w:tcW w:w="6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ANC</w:t>
            </w:r>
          </w:p>
        </w:tc>
        <w:tc>
          <w:tcPr>
            <w:tcW w:w="6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G37</w:t>
            </w:r>
          </w:p>
        </w:tc>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G38</w:t>
            </w:r>
          </w:p>
        </w:tc>
        <w:tc>
          <w:tcPr>
            <w:tcW w:w="6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Hom</w:t>
            </w:r>
          </w:p>
        </w:tc>
        <w:tc>
          <w:tcPr>
            <w:tcW w:w="6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Ratio</w:t>
            </w:r>
          </w:p>
        </w:tc>
        <w:tc>
          <w:tcPr>
            <w:tcW w:w="53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Note</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ABCB1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52</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48</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16</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NEW</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P-gp. Steroid + drug transport.</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SLCO1B1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40</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36</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15</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NEW</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Liver drug uptake.</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CYP2D6</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24</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14*</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NEW</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*G38 hom. GRCh37 can't resolve.</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DPYD</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NEW</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rs773499329 likely_pathogenic [2].</w:t>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Structural / Coagulation / Other</w:t>
      </w:r>
    </w:p>
    <w:tbl>
      <w:tblPr>
        <w:tblW w:w="9400" w:type="dxa"/>
        <w:jc w:val="left"/>
        <w:tblInd w:w="0" w:type="dxa"/>
        <w:tblLayout w:type="fixed"/>
        <w:tblCellMar>
          <w:top w:w="60" w:type="dxa"/>
          <w:left w:w="100" w:type="dxa"/>
          <w:bottom w:w="60" w:type="dxa"/>
          <w:right w:w="100" w:type="dxa"/>
        </w:tblCellMar>
      </w:tblPr>
      <w:tblGrid>
        <w:gridCol w:w="1099"/>
        <w:gridCol w:w="601"/>
        <w:gridCol w:w="600"/>
        <w:gridCol w:w="599"/>
        <w:gridCol w:w="600"/>
        <w:gridCol w:w="601"/>
        <w:gridCol w:w="5300"/>
      </w:tblGrid>
      <w:tr>
        <w:trPr/>
        <w:tc>
          <w:tcPr>
            <w:tcW w:w="10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Gene</w:t>
            </w:r>
          </w:p>
        </w:tc>
        <w:tc>
          <w:tcPr>
            <w:tcW w:w="6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ANC</w:t>
            </w:r>
          </w:p>
        </w:tc>
        <w:tc>
          <w:tcPr>
            <w:tcW w:w="6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G37</w:t>
            </w:r>
          </w:p>
        </w:tc>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G38</w:t>
            </w:r>
          </w:p>
        </w:tc>
        <w:tc>
          <w:tcPr>
            <w:tcW w:w="6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Hom</w:t>
            </w:r>
          </w:p>
        </w:tc>
        <w:tc>
          <w:tcPr>
            <w:tcW w:w="6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Ratio</w:t>
            </w:r>
          </w:p>
        </w:tc>
        <w:tc>
          <w:tcPr>
            <w:tcW w:w="53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Note</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FBN1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72</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16</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14</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15</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15 of 16 homozygous. Elastic scaffold.</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F13A1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31</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22</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17</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17</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17 homozygous. Clot stabilizer.</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F5</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13</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21</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18</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9</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1.6x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rPr>
            </w:pPr>
            <w:r>
              <w:rPr>
                <w:rFonts w:ascii="Arial" w:hAnsi="Arial"/>
              </w:rPr>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PROS1</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7</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6</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NEW</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6 homozygous. Anticoagulant.</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ACTA2</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9</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6</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9x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Smooth muscle. 6 homozygous.</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PNPLA3</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0</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8</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7</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4</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NEW</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Liver fat metabolism.</w:t>
            </w:r>
          </w:p>
        </w:tc>
      </w:tr>
      <w:tr>
        <w:trPr/>
        <w:tc>
          <w:tcPr>
            <w:tcW w:w="10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LDLR</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19</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26</w:t>
            </w:r>
          </w:p>
        </w:tc>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12</w:t>
            </w:r>
          </w:p>
        </w:tc>
        <w:tc>
          <w:tcPr>
            <w:tcW w:w="6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24</w:t>
            </w:r>
          </w:p>
        </w:tc>
        <w:tc>
          <w:tcPr>
            <w:tcW w:w="6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1.4x</w:t>
            </w:r>
          </w:p>
        </w:tc>
        <w:tc>
          <w:tcPr>
            <w:tcW w:w="53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24 of 26 homozygous.</w:t>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WGS-Only Genes — Not in AncestryDNA at All</w:t>
      </w:r>
    </w:p>
    <w:p>
      <w:pPr>
        <w:pStyle w:val="Normal"/>
        <w:spacing w:before="0" w:after="100"/>
        <w:rPr>
          <w:rFonts w:ascii="Arial" w:hAnsi="Arial" w:eastAsia="Arial" w:cs="Arial"/>
          <w:sz w:val="22"/>
          <w:szCs w:val="22"/>
        </w:rPr>
      </w:pPr>
      <w:r>
        <w:rPr>
          <w:rFonts w:eastAsia="Arial" w:cs="Arial" w:ascii="Arial" w:hAnsi="Arial"/>
          <w:sz w:val="22"/>
          <w:szCs w:val="22"/>
        </w:rPr>
        <w:t>The following genes were found ONLY by whole genome sequencing — the AncestryDNA microarray detected zero variants:</w:t>
      </w:r>
    </w:p>
    <w:p>
      <w:pPr>
        <w:pStyle w:val="Normal"/>
        <w:spacing w:before="0" w:after="100"/>
        <w:rPr>
          <w:rFonts w:ascii="Arial" w:hAnsi="Arial" w:eastAsia="Arial" w:cs="Arial"/>
          <w:sz w:val="22"/>
          <w:szCs w:val="22"/>
        </w:rPr>
      </w:pPr>
      <w:r>
        <w:rPr>
          <w:rFonts w:eastAsia="Arial" w:cs="Arial" w:ascii="Arial" w:hAnsi="Arial"/>
          <w:sz w:val="22"/>
          <w:szCs w:val="22"/>
        </w:rPr>
        <w:t>CYP11B1 (37), AR (5+4), HSD11B1 (1), HERC2 (78), ASIP (5), OPRM1 (47), ABCB1 (52), COMT (22), HTR2A (16), DRD3 (14), RHD (8), PTPN22 (6), HRNR (40), PROS1 (7), AP2A2 (47), SLCO1B1 (40), PNPLA3 (8), CYP2D6 (24), DPYD (1), FANCC (10)</w:t>
      </w:r>
    </w:p>
    <w:p>
      <w:pPr>
        <w:pStyle w:val="Normal"/>
        <w:spacing w:before="0" w:after="100"/>
        <w:rPr>
          <w:rFonts w:ascii="Arial" w:hAnsi="Arial" w:eastAsia="Arial" w:cs="Arial"/>
          <w:sz w:val="22"/>
          <w:szCs w:val="22"/>
        </w:rPr>
      </w:pPr>
      <w:r>
        <w:rPr>
          <w:rFonts w:eastAsia="Arial" w:cs="Arial" w:ascii="Arial" w:hAnsi="Arial"/>
          <w:sz w:val="22"/>
          <w:szCs w:val="22"/>
        </w:rPr>
        <w:t>20 genes invisible to the microarray. The whole genome sequencing found variant data for genes the microarray had no probes for, or had probes that couldn't detect the variant types present.</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Plain English: The AncestryDNA microarray is a 677,437-probe snapshot. The whole genome sequencing reads every nucleotide. 20 genes that matter for this analysis were completely invisible to the microarray. The microarray saw through a keyhole. The WGS walked through the building.</w:t>
      </w:r>
      <w:r>
        <w:br w:type="page"/>
      </w:r>
    </w:p>
    <w:p>
      <w:pPr>
        <w:pStyle w:val="Heading1"/>
        <w:spacing w:before="360" w:after="200"/>
        <w:rPr>
          <w:rFonts w:ascii="Arial" w:hAnsi="Arial"/>
        </w:rPr>
      </w:pPr>
      <w:r>
        <w:rPr>
          <w:b/>
          <w:bCs/>
        </w:rPr>
        <w:t xml:space="preserve">Section </w:t>
      </w:r>
      <w:r>
        <w:rPr>
          <w:b/>
          <w:bCs/>
        </w:rPr>
        <w:t>19</w:t>
      </w:r>
      <w:r>
        <w:rPr>
          <w:b/>
          <w:bCs/>
        </w:rPr>
        <w:t>: Why EXCEPTIONAL Tier Is Zero in WGS</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[3][8][9][13][14]</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The Discrepancy</w:t>
      </w:r>
    </w:p>
    <w:p>
      <w:pPr>
        <w:pStyle w:val="Normal"/>
        <w:spacing w:before="0" w:after="60"/>
        <w:rPr>
          <w:rFonts w:ascii="Arial" w:hAnsi="Arial"/>
        </w:rPr>
      </w:pPr>
      <w:r>
        <w:rPr>
          <w:rFonts w:eastAsia="Arial" w:cs="Arial" w:ascii="Arial" w:hAnsi="Arial"/>
          <w:b/>
          <w:bCs/>
          <w:sz w:val="22"/>
          <w:szCs w:val="22"/>
        </w:rPr>
        <w:t xml:space="preserve">AncestryDNA EXCEPTIONAL [3]: </w:t>
      </w:r>
      <w:r>
        <w:rPr>
          <w:rFonts w:eastAsia="Arial" w:cs="Arial" w:ascii="Arial" w:hAnsi="Arial"/>
          <w:sz w:val="22"/>
          <w:szCs w:val="22"/>
        </w:rPr>
        <w:t>1,498 variants scored ≥200</w:t>
      </w:r>
    </w:p>
    <w:p>
      <w:pPr>
        <w:pStyle w:val="Normal"/>
        <w:spacing w:before="0" w:after="60"/>
        <w:rPr>
          <w:rFonts w:ascii="Arial" w:hAnsi="Arial"/>
        </w:rPr>
      </w:pPr>
      <w:r>
        <w:rPr>
          <w:rFonts w:eastAsia="Arial" w:cs="Arial" w:ascii="Arial" w:hAnsi="Arial"/>
          <w:b/>
          <w:bCs/>
          <w:sz w:val="22"/>
          <w:szCs w:val="22"/>
        </w:rPr>
        <w:t xml:space="preserve">WGS GRCh37 EXCEPTIONAL [8]: </w:t>
      </w:r>
      <w:r>
        <w:rPr>
          <w:rFonts w:eastAsia="Arial" w:cs="Arial" w:ascii="Arial" w:hAnsi="Arial"/>
          <w:sz w:val="22"/>
          <w:szCs w:val="22"/>
        </w:rPr>
        <w:t>0 variants</w:t>
      </w:r>
    </w:p>
    <w:p>
      <w:pPr>
        <w:pStyle w:val="Normal"/>
        <w:spacing w:before="0" w:after="60"/>
        <w:rPr>
          <w:rFonts w:ascii="Arial" w:hAnsi="Arial"/>
        </w:rPr>
      </w:pPr>
      <w:r>
        <w:rPr>
          <w:rFonts w:eastAsia="Arial" w:cs="Arial" w:ascii="Arial" w:hAnsi="Arial"/>
          <w:b/>
          <w:bCs/>
          <w:sz w:val="22"/>
          <w:szCs w:val="22"/>
        </w:rPr>
        <w:t xml:space="preserve">WGS GRCh38 EXCEPTIONAL [13]: </w:t>
      </w:r>
      <w:r>
        <w:rPr>
          <w:rFonts w:eastAsia="Arial" w:cs="Arial" w:ascii="Arial" w:hAnsi="Arial"/>
          <w:sz w:val="22"/>
          <w:szCs w:val="22"/>
        </w:rPr>
        <w:t>0 variants</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The Explanation</w:t>
      </w:r>
    </w:p>
    <w:p>
      <w:pPr>
        <w:pStyle w:val="Normal"/>
        <w:spacing w:before="0" w:after="100"/>
        <w:rPr>
          <w:rFonts w:ascii="Arial" w:hAnsi="Arial" w:eastAsia="Arial" w:cs="Arial"/>
          <w:sz w:val="22"/>
          <w:szCs w:val="22"/>
        </w:rPr>
      </w:pPr>
      <w:r>
        <w:rPr>
          <w:rFonts w:eastAsia="Arial" w:cs="Arial" w:ascii="Arial" w:hAnsi="Arial"/>
          <w:sz w:val="22"/>
          <w:szCs w:val="22"/>
        </w:rPr>
        <w:t>The scoring systems are architecturally different:</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AncestryDNA Pipeline (magus_scoring_pipeline.py)</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Queries by rsID using POST /vep/human/id</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rsIDs return RICH ClinVar data — pathogenic, likely_pathogenic, risk_factor classifications with star ratings</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ClinVar pathogenic = +50 points. Gene priority TIER_A = +50 points. Rare allele frequency = +50 points.</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A variant in a TIER_A gene with pathogenic ClinVar and rare frequency easily scores 200+</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Result: 1,498 variants crossed the 200 threshold</w:t>
      </w:r>
    </w:p>
    <w:p>
      <w:pPr>
        <w:pStyle w:val="Normal"/>
        <w:spacing w:before="0" w:after="100"/>
        <w:rPr>
          <w:rFonts w:ascii="Arial" w:hAnsi="Arial"/>
        </w:rPr>
      </w:pPr>
      <w:r>
        <w:rPr>
          <w:rFonts w:ascii="Arial" w:hAnsi="Arial"/>
        </w:rPr>
      </w:r>
    </w:p>
    <w:p>
      <w:pPr>
        <w:pStyle w:val="Heading3"/>
        <w:spacing w:before="200" w:after="120"/>
        <w:rPr>
          <w:rFonts w:ascii="Arial" w:hAnsi="Arial"/>
          <w:b/>
          <w:bCs/>
        </w:rPr>
      </w:pPr>
      <w:r>
        <w:rPr>
          <w:b/>
          <w:bCs/>
        </w:rPr>
        <w:t>WGS Pipeline (genedx_wgs_grch37.py / genedx_wgs_grch38.py)</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Queries by COORDINATE using POST /vep/human/region</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Coordinate-based queries return LESS ClinVar data than rsID queries — the VEP region endpoint doesn't always populate clin_sig_allele the way the ID endpoint does</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Same scoring formula but ClinVar tier (T4) returns 0 for most variants because the endpoint didn't provide the classification</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Without the +50 ClinVar boost, maximum typical score is ~150 (gene priority 50 + functional 30-50 + rarity 50 + zygosity 15 = 145-165)</w:t>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Result: no variants reach 200</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What This Means</w:t>
      </w:r>
    </w:p>
    <w:p>
      <w:pPr>
        <w:pStyle w:val="Normal"/>
        <w:spacing w:before="0" w:after="100"/>
        <w:rPr>
          <w:rFonts w:ascii="Arial" w:hAnsi="Arial"/>
        </w:rPr>
      </w:pPr>
      <w:r>
        <w:rPr>
          <w:rFonts w:eastAsia="Arial" w:cs="Arial" w:ascii="Arial" w:hAnsi="Arial"/>
          <w:sz w:val="22"/>
          <w:szCs w:val="22"/>
        </w:rPr>
        <w:t>The WGS EXCEPTIONAL tier being empty does NOT mean there are no exceptional findings. It means the coordinate-based API endpoint returns less ClinVar annotation than the rsID-based endpoint. The actual variants are still present in the HIGH and MODERATE tiers — they're the same biological variants, just scored lower because one piece of the scoring data (ClinVar) wasn't populated by the API.</w:t>
      </w:r>
    </w:p>
    <w:p>
      <w:pPr>
        <w:pStyle w:val="Normal"/>
        <w:spacing w:before="0" w:after="100"/>
        <w:rPr>
          <w:rFonts w:ascii="Arial" w:hAnsi="Arial" w:eastAsia="Arial" w:cs="Arial"/>
          <w:sz w:val="22"/>
          <w:szCs w:val="22"/>
        </w:rPr>
      </w:pPr>
      <w:r>
        <w:rPr>
          <w:rFonts w:eastAsia="Arial" w:cs="Arial" w:ascii="Arial" w:hAnsi="Arial"/>
          <w:sz w:val="22"/>
          <w:szCs w:val="22"/>
        </w:rPr>
        <w:t>The AncestryDNA EXCEPTIONAL findings (BRCA1 468, BRCA2 526, MSH2 130, MLH1 73, FUT2 stop_gained 305, HSD11B2 pathogenic 300) are all present in the WGS data — they're in the HIGH tier instead of EXCEPTIONAL because the ClinVar score component is missing from the coordinate-based annotation.</w:t>
      </w:r>
    </w:p>
    <w:p>
      <w:pPr>
        <w:pStyle w:val="Normal"/>
        <w:spacing w:before="0" w:after="12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Plain English: The AncestryDNA pipeline asked Ensembl 'what do you know about this rsID?' and got rich clinical data back. The WGS pipeline asked 'what's at this coordinate?' and got less clinical data back. Same variants, same genes, but the WGS pipeline scored them lower because one piece of the scoring information wasn't returned by the API. The EXCEPTIONAL tier is empty because of a technical difference in how the API answers two different types of questions — not because there are no exceptional findings.</w:t>
      </w:r>
      <w:r>
        <w:br w:type="page"/>
      </w:r>
    </w:p>
    <w:p>
      <w:pPr>
        <w:pStyle w:val="Heading1"/>
        <w:spacing w:before="360" w:after="200"/>
        <w:rPr>
          <w:rFonts w:ascii="Arial" w:hAnsi="Arial"/>
        </w:rPr>
      </w:pPr>
      <w:r>
        <w:rPr>
          <w:b/>
          <w:bCs/>
        </w:rPr>
        <w:t>Section 2</w:t>
      </w:r>
      <w:r>
        <w:rPr>
          <w:b/>
          <w:bCs/>
        </w:rPr>
        <w:t>0</w:t>
      </w:r>
      <w:r>
        <w:rPr>
          <w:b/>
          <w:bCs/>
        </w:rPr>
        <w:t>: Ortholog Conservation — Cross-Species Verification</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[9][10]</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The WGS scoring pipeline queried Ensembl for ortholog conservation data on every priority gene. This shows which species share each gene — confirming deep evolutionary conservation. Genes shared across distant species (primates to marsupials to monotremes) have been maintained by natural selection for hundreds of millions of years because they perform essential functions.</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Conservation Profile — Key Genes</w:t>
      </w:r>
    </w:p>
    <w:p>
      <w:pPr>
        <w:pStyle w:val="Normal"/>
        <w:spacing w:before="0" w:after="100"/>
        <w:rPr>
          <w:rFonts w:ascii="Arial" w:hAnsi="Arial" w:eastAsia="Arial" w:cs="Arial"/>
          <w:sz w:val="22"/>
          <w:szCs w:val="22"/>
        </w:rPr>
      </w:pPr>
      <w:r>
        <w:rPr>
          <w:rFonts w:eastAsia="Arial" w:cs="Arial" w:ascii="Arial" w:hAnsi="Arial"/>
          <w:sz w:val="22"/>
          <w:szCs w:val="22"/>
        </w:rPr>
        <w:t>The following 10 species appear as orthologs for the major pathway genes (RYR2, CYP11B1, AR, ESR1, PCSK9, and others) [9]:</w:t>
      </w:r>
    </w:p>
    <w:p>
      <w:pPr>
        <w:pStyle w:val="Normal"/>
        <w:spacing w:before="0" w:after="100"/>
        <w:rPr>
          <w:rFonts w:ascii="Arial" w:hAnsi="Arial"/>
        </w:rPr>
      </w:pPr>
      <w:r>
        <w:rPr>
          <w:rFonts w:ascii="Arial" w:hAnsi="Arial"/>
        </w:rPr>
      </w:r>
    </w:p>
    <w:tbl>
      <w:tblPr>
        <w:tblW w:w="9400" w:type="dxa"/>
        <w:jc w:val="left"/>
        <w:tblInd w:w="0" w:type="dxa"/>
        <w:tblLayout w:type="fixed"/>
        <w:tblCellMar>
          <w:top w:w="60" w:type="dxa"/>
          <w:left w:w="100" w:type="dxa"/>
          <w:bottom w:w="60" w:type="dxa"/>
          <w:right w:w="100" w:type="dxa"/>
        </w:tblCellMar>
      </w:tblPr>
      <w:tblGrid>
        <w:gridCol w:w="2500"/>
        <w:gridCol w:w="6900"/>
      </w:tblGrid>
      <w:tr>
        <w:trPr/>
        <w:tc>
          <w:tcPr>
            <w:tcW w:w="25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Species</w:t>
            </w:r>
          </w:p>
        </w:tc>
        <w:tc>
          <w:tcPr>
            <w:tcW w:w="69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16"/>
                <w:szCs w:val="16"/>
              </w:rPr>
            </w:pPr>
            <w:r>
              <w:rPr>
                <w:rFonts w:eastAsia="Arial" w:cs="Arial" w:ascii="Arial" w:hAnsi="Arial"/>
                <w:b/>
                <w:bCs/>
                <w:sz w:val="16"/>
                <w:szCs w:val="16"/>
              </w:rPr>
              <w:t>Common Name and Divergence Time</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pan_troglodytes</w:t>
            </w:r>
          </w:p>
        </w:tc>
        <w:tc>
          <w:tcPr>
            <w:tcW w:w="6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Chimpanzee — ~6 million years ago (Mya)</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gorilla_gorilla</w:t>
            </w:r>
          </w:p>
        </w:tc>
        <w:tc>
          <w:tcPr>
            <w:tcW w:w="6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Gorilla — ~9 Mya</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pongo_abelii</w:t>
            </w:r>
          </w:p>
        </w:tc>
        <w:tc>
          <w:tcPr>
            <w:tcW w:w="6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Orangutan — ~14 Mya</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pan_paniscus</w:t>
            </w:r>
          </w:p>
        </w:tc>
        <w:tc>
          <w:tcPr>
            <w:tcW w:w="6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Bonobo — ~6 Mya</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nomascus_leucogenys</w:t>
            </w:r>
          </w:p>
        </w:tc>
        <w:tc>
          <w:tcPr>
            <w:tcW w:w="6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Gibbon — ~20 Mya</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ornithorhynchus_anatinus</w:t>
            </w:r>
          </w:p>
        </w:tc>
        <w:tc>
          <w:tcPr>
            <w:tcW w:w="6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Platypus — ~166 Mya (monotreme, egg-laying mammal)</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sarcophilus_harrisii</w:t>
            </w:r>
          </w:p>
        </w:tc>
        <w:tc>
          <w:tcPr>
            <w:tcW w:w="6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Tasmanian devil — ~160 Mya (marsupial)</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notamacropus_eugenii</w:t>
            </w:r>
          </w:p>
        </w:tc>
        <w:tc>
          <w:tcPr>
            <w:tcW w:w="6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Tammar wallaby — ~160 Mya (marsupial)</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choloepus_hoffmanni</w:t>
            </w:r>
          </w:p>
        </w:tc>
        <w:tc>
          <w:tcPr>
            <w:tcW w:w="6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Hoffmann's two-toed sloth — ~95 Mya (xenarthran)</w:t>
            </w:r>
          </w:p>
        </w:tc>
      </w:tr>
      <w:tr>
        <w:trPr/>
        <w:tc>
          <w:tcPr>
            <w:tcW w:w="25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dasypus_novemcinctus</w:t>
            </w:r>
          </w:p>
        </w:tc>
        <w:tc>
          <w:tcPr>
            <w:tcW w:w="69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16"/>
                <w:szCs w:val="16"/>
              </w:rPr>
            </w:pPr>
            <w:r>
              <w:rPr>
                <w:rFonts w:eastAsia="Arial" w:cs="Arial" w:ascii="Arial" w:hAnsi="Arial"/>
                <w:b w:val="false"/>
                <w:bCs w:val="false"/>
                <w:sz w:val="16"/>
                <w:szCs w:val="16"/>
              </w:rPr>
              <w:t>Nine-banded armadillo — ~95 Mya (xenarthran)</w:t>
            </w:r>
          </w:p>
        </w:tc>
      </w:tr>
    </w:tbl>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This conservation profile spans the entire mammalian tree: great apes (6-14 Mya), lesser apes (20 Mya), monotremes (166 Mya — the oldest living mammalian lineage, contemporary with dinosaurs), marsupials (160 Mya), and xenarthrans (95 Mya). The genes modified in this genome have been maintained by natural selection for at least 166 million years across every major mammalian branch.</w:t>
      </w:r>
    </w:p>
    <w:p>
      <w:pPr>
        <w:pStyle w:val="Normal"/>
        <w:spacing w:before="0" w:after="100"/>
        <w:rPr>
          <w:rFonts w:ascii="Arial" w:hAnsi="Arial" w:eastAsia="Arial" w:cs="Arial"/>
          <w:sz w:val="22"/>
          <w:szCs w:val="22"/>
        </w:rPr>
      </w:pPr>
      <w:r>
        <w:rPr>
          <w:rFonts w:eastAsia="Arial" w:cs="Arial" w:ascii="Arial" w:hAnsi="Arial"/>
          <w:sz w:val="22"/>
          <w:szCs w:val="22"/>
        </w:rPr>
        <w:t>The platypus (Ornithorhynchus anatinus) is particularly significant: it is an egg-laying mammal that diverged before the split between marsupials and placental mammals. Platypus males have venom spurs whose production is androgen-dependent. Finding platypus orthologs for RYR2, CYP11B1, and other pathway genes means these genes predate the placental mammalian radiation entirely.</w:t>
      </w:r>
    </w:p>
    <w:p>
      <w:pPr>
        <w:pStyle w:val="Normal"/>
        <w:spacing w:before="0" w:after="120"/>
        <w:rPr>
          <w:rFonts w:ascii="Arial" w:hAnsi="Arial"/>
        </w:rPr>
      </w:pPr>
      <w:r>
        <w:rPr>
          <w:rFonts w:eastAsia="Arial" w:cs="Arial" w:ascii="Arial" w:hAnsi="Arial"/>
          <w:b w:val="false"/>
          <w:bCs w:val="false"/>
          <w:i/>
          <w:iCs/>
          <w:color w:val="7B2D26"/>
          <w:sz w:val="22"/>
          <w:szCs w:val="22"/>
        </w:rPr>
        <w:t>Plain English: The genes modified in this genome are shared with species ranging from chimpanzees to platypuses — spanning 166 million years of evolution. These aren't recently evolved human genes. They are ancient machinery maintained by every major branch of the mammalian family tree because they perform functions too important to lose. The modifications found here are in genes that evolution has preserved for longer than mammals have existed in their current form.</w:t>
      </w:r>
      <w:r>
        <w:br w:type="page"/>
      </w:r>
    </w:p>
    <w:p>
      <w:pPr>
        <w:pStyle w:val="Heading1"/>
        <w:spacing w:before="360" w:after="200"/>
        <w:rPr>
          <w:rFonts w:ascii="Arial" w:hAnsi="Arial"/>
          <w:color w:val="355269"/>
          <w:sz w:val="32"/>
          <w:szCs w:val="32"/>
        </w:rPr>
      </w:pPr>
      <w:r>
        <w:rPr>
          <w:rFonts w:eastAsia="Arial" w:cs="Arial"/>
          <w:b/>
          <w:bCs/>
          <w:i/>
          <w:iCs/>
          <w:color w:val="355269"/>
          <w:sz w:val="32"/>
          <w:szCs w:val="32"/>
        </w:rPr>
        <w:t>Section 2</w:t>
      </w:r>
      <w:r>
        <w:rPr>
          <w:rFonts w:eastAsia="Arial" w:cs="Arial"/>
          <w:b/>
          <w:bCs/>
          <w:i/>
          <w:iCs/>
          <w:color w:val="355269"/>
          <w:sz w:val="32"/>
          <w:szCs w:val="32"/>
        </w:rPr>
        <w:t>1</w:t>
      </w:r>
      <w:r>
        <w:rPr>
          <w:rFonts w:eastAsia="Arial" w:cs="Arial"/>
          <w:b/>
          <w:bCs/>
          <w:i/>
          <w:iCs/>
          <w:color w:val="355269"/>
          <w:sz w:val="32"/>
          <w:szCs w:val="32"/>
        </w:rPr>
        <w:t xml:space="preserve">: </w:t>
      </w:r>
      <w:r>
        <w:rPr>
          <w:rFonts w:eastAsia="Arial" w:cs="Arial"/>
          <w:b/>
          <w:bCs/>
          <w:i/>
          <w:iCs/>
          <w:color w:val="355269"/>
          <w:sz w:val="32"/>
          <w:szCs w:val="32"/>
        </w:rPr>
        <w:t>Competing Hypothesis and Counter-Arguement Analysis</w:t>
      </w:r>
    </w:p>
    <w:p>
      <w:pPr>
        <w:pStyle w:val="BodyText"/>
        <w:spacing w:before="360" w:after="200"/>
        <w:rPr>
          <w:rFonts w:ascii="Arial" w:hAnsi="Arial" w:eastAsia="Arial" w:cs="Arial"/>
          <w:b/>
          <w:bCs/>
          <w:i/>
          <w:i/>
          <w:iCs/>
          <w:color w:val="000000"/>
          <w:sz w:val="22"/>
          <w:szCs w:val="22"/>
        </w:rPr>
      </w:pPr>
      <w:r>
        <w:rPr>
          <w:rFonts w:eastAsia="Arial" w:cs="Arial" w:ascii="Arial" w:hAnsi="Arial"/>
          <w:b/>
          <w:bCs/>
          <w:i/>
          <w:iCs/>
          <w:color w:val="000000"/>
          <w:sz w:val="22"/>
          <w:szCs w:val="22"/>
        </w:rPr>
        <w:t>To ensure absolute scientific rigor and avoid confirmation bias, this section systematically evaluates alternative genetic and clinical models for the observed phenotypes:</w:t>
      </w:r>
    </w:p>
    <w:p>
      <w:pPr>
        <w:pStyle w:val="Heading3"/>
        <w:spacing w:lineRule="auto" w:line="273" w:before="0" w:after="140"/>
        <w:ind w:hanging="0" w:left="0" w:right="0"/>
        <w:rPr>
          <w:rFonts w:ascii="Arial" w:hAnsi="Arial"/>
        </w:rPr>
      </w:pPr>
      <w:r>
        <w:rPr/>
        <w:t>Competing Hypothesis 1: Ectopic Testicular Hypertrophy</w:t>
      </w:r>
    </w:p>
    <w:p>
      <w:pPr>
        <w:pStyle w:val="BodyText"/>
        <w:numPr>
          <w:ilvl w:val="0"/>
          <w:numId w:val="2"/>
        </w:numPr>
        <w:pBdr/>
        <w:tabs>
          <w:tab w:val="clear" w:pos="720"/>
          <w:tab w:val="left" w:pos="0" w:leader="none"/>
        </w:tabs>
        <w:spacing w:lineRule="auto" w:line="273" w:before="0" w:after="140"/>
        <w:ind w:hanging="283" w:left="709" w:right="0"/>
        <w:rPr>
          <w:rFonts w:ascii="Arial" w:hAnsi="Arial"/>
        </w:rPr>
      </w:pPr>
      <w:bookmarkStart w:id="3" w:name="p-c_09f1f22645e0377a_a2675682-53a9-47703"/>
      <w:bookmarkEnd w:id="3"/>
      <w:r>
        <w:rPr>
          <w:rFonts w:ascii="Arial" w:hAnsi="Arial"/>
          <w:b/>
        </w:rPr>
        <w:t>Primary Model:</w:t>
      </w:r>
      <w:r>
        <w:rPr>
          <w:rFonts w:ascii="Arial" w:hAnsi="Arial"/>
        </w:rPr>
        <w:t xml:space="preserve"> Daily virilization and sexual function since 2018 are driven by the adrenal-derived 11-KT pathway.</w:t>
      </w:r>
    </w:p>
    <w:p>
      <w:pPr>
        <w:pStyle w:val="BodyText"/>
        <w:numPr>
          <w:ilvl w:val="0"/>
          <w:numId w:val="2"/>
        </w:numPr>
        <w:pBdr/>
        <w:tabs>
          <w:tab w:val="clear" w:pos="720"/>
          <w:tab w:val="left" w:pos="0" w:leader="none"/>
        </w:tabs>
        <w:spacing w:lineRule="auto" w:line="273" w:before="0" w:after="140"/>
        <w:ind w:hanging="283" w:left="709" w:right="0"/>
        <w:rPr>
          <w:rFonts w:ascii="Arial" w:hAnsi="Arial"/>
        </w:rPr>
      </w:pPr>
      <w:r>
        <w:rPr>
          <w:rFonts w:ascii="Arial" w:hAnsi="Arial"/>
          <w:b/>
        </w:rPr>
        <w:t>Counter-Argument:</w:t>
      </w:r>
      <w:r>
        <w:rPr>
          <w:rFonts w:ascii="Arial" w:hAnsi="Arial"/>
        </w:rPr>
        <w:t xml:space="preserve"> The observed phenotype could be driven by ectopic Leydig cells located in the perineum, retroperitoneum, or inguinal canal that hypertrophied post-orchiectomy, producing trace, unmeasured levels of classical testosterone that are highly active at the cellular level.</w:t>
      </w:r>
    </w:p>
    <w:p>
      <w:pPr>
        <w:pStyle w:val="BodyText"/>
        <w:numPr>
          <w:ilvl w:val="0"/>
          <w:numId w:val="2"/>
        </w:numPr>
        <w:pBdr/>
        <w:tabs>
          <w:tab w:val="clear" w:pos="720"/>
          <w:tab w:val="left" w:pos="0" w:leader="none"/>
        </w:tabs>
        <w:spacing w:lineRule="auto" w:line="273" w:before="0" w:after="140"/>
        <w:ind w:hanging="283" w:left="709" w:right="0"/>
        <w:rPr>
          <w:rFonts w:ascii="Arial" w:hAnsi="Arial"/>
        </w:rPr>
      </w:pPr>
      <w:bookmarkStart w:id="4" w:name="p-c_09f1f22645e0377a_a2675682-53a9-47704"/>
      <w:bookmarkEnd w:id="4"/>
      <w:r>
        <w:rPr>
          <w:rFonts w:ascii="Arial" w:hAnsi="Arial"/>
          <w:b/>
        </w:rPr>
        <w:t>Refutation:</w:t>
      </w:r>
      <w:r>
        <w:rPr>
          <w:rFonts w:ascii="Arial" w:hAnsi="Arial"/>
        </w:rPr>
        <w:t xml:space="preserve"> If active ectopic Leydig cells were present, trace levels of classical testosterone or its metabolites would be detectable on high-sensitivity assays. Furthermore, standard testosterone immunoassays would flag some level of cross-reactivity, whereas the proband's serum testosterone has remained consistently and deeply undetectable ($&lt;3\text{ ng/dL}$) across multiple tests.</w:t>
      </w:r>
    </w:p>
    <w:p>
      <w:pPr>
        <w:pStyle w:val="Heading3"/>
        <w:spacing w:lineRule="auto" w:line="273" w:before="0" w:after="140"/>
        <w:ind w:hanging="0" w:left="0" w:right="0"/>
        <w:rPr>
          <w:rFonts w:ascii="Arial" w:hAnsi="Arial"/>
        </w:rPr>
      </w:pPr>
      <w:r>
        <w:rPr/>
        <w:t>Competing Hypothesis 2: Technical Sequencing and Mapping Artifacts</w:t>
      </w:r>
    </w:p>
    <w:p>
      <w:pPr>
        <w:pStyle w:val="BodyText"/>
        <w:numPr>
          <w:ilvl w:val="0"/>
          <w:numId w:val="3"/>
        </w:numPr>
        <w:pBdr/>
        <w:tabs>
          <w:tab w:val="clear" w:pos="720"/>
          <w:tab w:val="left" w:pos="0" w:leader="none"/>
        </w:tabs>
        <w:spacing w:lineRule="auto" w:line="273" w:before="0" w:after="140"/>
        <w:ind w:hanging="283" w:left="709" w:right="0"/>
        <w:rPr>
          <w:rFonts w:ascii="Arial" w:hAnsi="Arial"/>
        </w:rPr>
      </w:pPr>
      <w:bookmarkStart w:id="5" w:name="p-c_09f1f22645e0377a_a2675682-53a9-47705"/>
      <w:bookmarkEnd w:id="5"/>
      <w:r>
        <w:rPr>
          <w:rFonts w:ascii="Arial" w:hAnsi="Arial"/>
          <w:b/>
        </w:rPr>
        <w:t>Primary Model:</w:t>
      </w:r>
      <w:r>
        <w:rPr>
          <w:rFonts w:ascii="Arial" w:hAnsi="Arial"/>
        </w:rPr>
        <w:t xml:space="preserve"> Sex chromosome heterozygous calls confirm true dual-genome chimerism.</w:t>
      </w:r>
    </w:p>
    <w:p>
      <w:pPr>
        <w:pStyle w:val="BodyText"/>
        <w:numPr>
          <w:ilvl w:val="0"/>
          <w:numId w:val="3"/>
        </w:numPr>
        <w:pBdr/>
        <w:tabs>
          <w:tab w:val="clear" w:pos="720"/>
          <w:tab w:val="left" w:pos="0" w:leader="none"/>
        </w:tabs>
        <w:spacing w:lineRule="auto" w:line="273" w:before="0" w:after="140"/>
        <w:ind w:hanging="283" w:left="709" w:right="0"/>
        <w:rPr>
          <w:rFonts w:ascii="Arial" w:hAnsi="Arial"/>
        </w:rPr>
      </w:pPr>
      <w:r>
        <w:rPr>
          <w:rFonts w:ascii="Arial" w:hAnsi="Arial"/>
          <w:b/>
        </w:rPr>
        <w:t>Counter-Argument:</w:t>
      </w:r>
      <w:r>
        <w:rPr>
          <w:rFonts w:ascii="Arial" w:hAnsi="Arial"/>
        </w:rPr>
        <w:t xml:space="preserve"> The heterozygous calls in the non-PAR regions of the X and Y chromosomes are technical sequencing artifacts driven by alignment errors. Short-read sequencing pipelines frequently misalign reads from highly homologous segmental duplications or copy-number-variant regions to the hemizygous regions, generating false heterozygous "variant" calls.</w:t>
      </w:r>
    </w:p>
    <w:p>
      <w:pPr>
        <w:pStyle w:val="BodyText"/>
        <w:numPr>
          <w:ilvl w:val="0"/>
          <w:numId w:val="3"/>
        </w:numPr>
        <w:pBdr/>
        <w:tabs>
          <w:tab w:val="clear" w:pos="720"/>
          <w:tab w:val="left" w:pos="0" w:leader="none"/>
        </w:tabs>
        <w:spacing w:lineRule="auto" w:line="273" w:before="0" w:after="140"/>
        <w:ind w:hanging="283" w:left="709" w:right="0"/>
        <w:rPr>
          <w:rFonts w:ascii="Arial" w:hAnsi="Arial"/>
        </w:rPr>
      </w:pPr>
      <w:bookmarkStart w:id="6" w:name="p-c_09f1f22645e0377a_a2675682-53a9-47706"/>
      <w:bookmarkEnd w:id="6"/>
      <w:r>
        <w:rPr>
          <w:rFonts w:ascii="Arial" w:hAnsi="Arial"/>
          <w:b/>
        </w:rPr>
        <w:t>Refutation:</w:t>
      </w:r>
      <w:r>
        <w:rPr>
          <w:rFonts w:ascii="Arial" w:hAnsi="Arial"/>
        </w:rPr>
        <w:t xml:space="preserve"> While isolated sequencing errors occur, the proband's sex chromosome heterozygous calls are concentrated in distinct, spatially coherent clusters (such as the 23 variants packed within a 236-base window on Chromosome Y). This density is roughly 100x the genome-wide average, which is highly uncharacteristic of random mapping errors and strongly points to a structured, secondary genetic lineage.</w:t>
      </w:r>
    </w:p>
    <w:p>
      <w:pPr>
        <w:pStyle w:val="Heading3"/>
        <w:spacing w:lineRule="auto" w:line="273" w:before="0" w:after="140"/>
        <w:ind w:hanging="0" w:left="0" w:right="0"/>
        <w:rPr>
          <w:rFonts w:ascii="Arial" w:hAnsi="Arial"/>
        </w:rPr>
      </w:pPr>
      <w:r>
        <w:rPr/>
        <w:t>Competing Hypothesis 3: Microarray Cross-Hybridization False Positive</w:t>
      </w:r>
    </w:p>
    <w:p>
      <w:pPr>
        <w:pStyle w:val="BodyText"/>
        <w:numPr>
          <w:ilvl w:val="0"/>
          <w:numId w:val="4"/>
        </w:numPr>
        <w:pBdr/>
        <w:tabs>
          <w:tab w:val="clear" w:pos="720"/>
          <w:tab w:val="left" w:pos="0" w:leader="none"/>
        </w:tabs>
        <w:spacing w:lineRule="auto" w:line="273" w:before="0" w:after="140"/>
        <w:ind w:hanging="283" w:left="709" w:right="0"/>
        <w:rPr>
          <w:rFonts w:ascii="Arial" w:hAnsi="Arial"/>
        </w:rPr>
      </w:pPr>
      <w:bookmarkStart w:id="7" w:name="p-c_09f1f22645e0377a_a2675682-53a9-47707"/>
      <w:bookmarkEnd w:id="7"/>
      <w:r>
        <w:rPr>
          <w:rFonts w:ascii="Arial" w:hAnsi="Arial"/>
          <w:b/>
        </w:rPr>
        <w:t>Primary Model:</w:t>
      </w:r>
      <w:r>
        <w:rPr>
          <w:rFonts w:ascii="Arial" w:hAnsi="Arial"/>
        </w:rPr>
        <w:t xml:space="preserve"> The high-scoring pathogenic call on the microarray indicates a true structural deletion in HSD11B2.</w:t>
      </w:r>
    </w:p>
    <w:p>
      <w:pPr>
        <w:pStyle w:val="BodyText"/>
        <w:numPr>
          <w:ilvl w:val="0"/>
          <w:numId w:val="4"/>
        </w:numPr>
        <w:pBdr/>
        <w:tabs>
          <w:tab w:val="clear" w:pos="720"/>
          <w:tab w:val="left" w:pos="0" w:leader="none"/>
        </w:tabs>
        <w:spacing w:lineRule="auto" w:line="273" w:before="0" w:after="140"/>
        <w:ind w:hanging="283" w:left="709" w:right="0"/>
        <w:rPr>
          <w:rFonts w:ascii="Arial" w:hAnsi="Arial"/>
        </w:rPr>
      </w:pPr>
      <w:r>
        <w:rPr>
          <w:rFonts w:ascii="Arial" w:hAnsi="Arial"/>
          <w:b/>
        </w:rPr>
        <w:t>Counter-Argument:</w:t>
      </w:r>
      <w:r>
        <w:rPr>
          <w:rFonts w:ascii="Arial" w:hAnsi="Arial"/>
        </w:rPr>
        <w:t xml:space="preserve"> The microarray's HSD11B2 deletion call is a false positive driven by a rare, benign single-nucleotide variant under the probe binding site, which prevented hybridization and generated a false "deletion" signal.</w:t>
      </w:r>
    </w:p>
    <w:p>
      <w:pPr>
        <w:pStyle w:val="BodyText"/>
        <w:numPr>
          <w:ilvl w:val="0"/>
          <w:numId w:val="4"/>
        </w:numPr>
        <w:pBdr/>
        <w:tabs>
          <w:tab w:val="clear" w:pos="720"/>
          <w:tab w:val="left" w:pos="0" w:leader="none"/>
        </w:tabs>
        <w:spacing w:lineRule="auto" w:line="273" w:before="0" w:after="140"/>
        <w:ind w:hanging="283" w:left="709" w:right="0"/>
        <w:rPr/>
      </w:pPr>
      <w:bookmarkStart w:id="8" w:name="p-c_09f1f22645e0377a_a2675682-53a9-47708"/>
      <w:bookmarkEnd w:id="8"/>
      <w:r>
        <w:rPr>
          <w:rFonts w:ascii="Arial" w:hAnsi="Arial"/>
          <w:b/>
        </w:rPr>
        <w:t>Refutation:</w:t>
      </w:r>
      <w:r>
        <w:rPr>
          <w:rFonts w:ascii="Arial" w:hAnsi="Arial"/>
        </w:rPr>
        <w:t xml:space="preserve"> This remains a highly plausible counter-argument, explaining why both WGS variant callers and unannotated databases returned zero variants at this locus. It reinforces the clinical necessity of targeted validation (IGV visual read-level inspection of </w:t>
      </w:r>
      <w:r>
        <w:rPr>
          <w:rStyle w:val="SourceText"/>
          <w:rFonts w:ascii="Arial" w:hAnsi="Arial"/>
        </w:rPr>
        <w:t>3659751.cram</w:t>
      </w:r>
      <w:r>
        <w:rPr>
          <w:rFonts w:ascii="Arial" w:hAnsi="Arial"/>
        </w:rPr>
        <w:t xml:space="preserve"> or Sanger sequencing) to resolve the discrepancy.</w:t>
      </w:r>
    </w:p>
    <w:p>
      <w:pPr>
        <w:pStyle w:val="Heading1"/>
        <w:spacing w:before="360" w:after="200"/>
        <w:rPr>
          <w:rFonts w:eastAsia="Arial" w:cs="Arial"/>
          <w:b/>
          <w:bCs/>
          <w:i/>
          <w:i/>
          <w:iCs/>
        </w:rPr>
      </w:pPr>
      <w:r>
        <w:rPr>
          <w:color w:val="3465A4"/>
          <w:sz w:val="32"/>
          <w:szCs w:val="32"/>
        </w:rPr>
      </w:r>
      <w:r>
        <w:br w:type="page"/>
      </w:r>
    </w:p>
    <w:p>
      <w:pPr>
        <w:pStyle w:val="Heading1"/>
        <w:spacing w:before="360" w:after="200"/>
        <w:rPr>
          <w:rFonts w:ascii="Arial" w:hAnsi="Arial" w:eastAsia="Arial" w:cs="Arial"/>
          <w:b/>
          <w:bCs/>
          <w:i/>
          <w:i/>
          <w:iCs/>
          <w:color w:val="355269"/>
          <w:sz w:val="32"/>
          <w:szCs w:val="32"/>
        </w:rPr>
      </w:pPr>
      <w:r>
        <w:rPr>
          <w:rFonts w:eastAsia="Arial" w:cs="Arial"/>
          <w:b/>
          <w:bCs/>
          <w:i/>
          <w:iCs/>
          <w:color w:val="355269"/>
          <w:sz w:val="32"/>
          <w:szCs w:val="32"/>
        </w:rPr>
        <w:t>Section 22: Negative Findings and Specific Integrity</w:t>
      </w:r>
    </w:p>
    <w:p>
      <w:pPr>
        <w:pStyle w:val="BodyText"/>
        <w:spacing w:before="360" w:after="200"/>
        <w:rPr>
          <w:rFonts w:ascii="Arial" w:hAnsi="Arial" w:eastAsia="Arial" w:cs="Arial"/>
          <w:b/>
          <w:bCs/>
          <w:i/>
          <w:i/>
          <w:iCs/>
          <w:color w:val="000000"/>
          <w:sz w:val="22"/>
          <w:szCs w:val="22"/>
        </w:rPr>
      </w:pPr>
      <w:bookmarkStart w:id="9" w:name="p-c_09f1f22645e0377a_a2675682-53a9-47709"/>
      <w:bookmarkEnd w:id="9"/>
      <w:r>
        <w:rPr>
          <w:rFonts w:eastAsia="Arial" w:cs="Arial" w:ascii="Arial" w:hAnsi="Arial"/>
          <w:b/>
          <w:bCs/>
          <w:i/>
          <w:iCs/>
          <w:color w:val="000000"/>
          <w:sz w:val="22"/>
          <w:szCs w:val="22"/>
        </w:rPr>
        <w:t>A critical component of a professional research dossier is the documentation of negative findings—major genes that were examined and found to be unremarkable. This ensures the analysis is not cherry-picked and confirms the structural integrity of neighboring pathways.</w:t>
      </w:r>
    </w:p>
    <w:p>
      <w:pPr>
        <w:pStyle w:val="BodyText"/>
        <w:numPr>
          <w:ilvl w:val="0"/>
          <w:numId w:val="5"/>
        </w:numPr>
        <w:pBdr/>
        <w:tabs>
          <w:tab w:val="clear" w:pos="720"/>
          <w:tab w:val="left" w:pos="0" w:leader="none"/>
        </w:tabs>
        <w:spacing w:lineRule="auto" w:line="273" w:before="0" w:after="140"/>
        <w:ind w:hanging="283" w:left="709" w:right="0"/>
        <w:rPr>
          <w:rFonts w:ascii="Arial" w:hAnsi="Arial"/>
        </w:rPr>
      </w:pPr>
      <w:bookmarkStart w:id="10" w:name="p-c_09f1f22645e0377a_a2675682-53a9-4770a"/>
      <w:bookmarkEnd w:id="10"/>
      <w:r>
        <w:rPr>
          <w:rFonts w:ascii="Arial" w:hAnsi="Arial"/>
          <w:b/>
        </w:rPr>
        <w:t>SRD5A1 (Steroid 5α-Reductase Type 1):</w:t>
      </w:r>
      <w:r>
        <w:rPr>
          <w:rFonts w:ascii="Arial" w:hAnsi="Arial"/>
        </w:rPr>
        <w:t xml:space="preserve"> In contrast to the heavily mutated </w:t>
      </w:r>
      <w:r>
        <w:rPr>
          <w:rFonts w:ascii="Arial" w:hAnsi="Arial"/>
          <w:i/>
        </w:rPr>
        <w:t>SRD5A2</w:t>
      </w:r>
      <w:r>
        <w:rPr>
          <w:rFonts w:ascii="Arial" w:hAnsi="Arial"/>
        </w:rPr>
        <w:t xml:space="preserve"> locus (which carries 100% homozygous pathogenic mutations), the </w:t>
      </w:r>
      <w:r>
        <w:rPr>
          <w:rFonts w:ascii="Arial" w:hAnsi="Arial"/>
          <w:i/>
        </w:rPr>
        <w:t>SRD5A1</w:t>
      </w:r>
      <w:r>
        <w:rPr>
          <w:rFonts w:ascii="Arial" w:hAnsi="Arial"/>
        </w:rPr>
        <w:t xml:space="preserve"> gene is structurally unremarkable and contains only standard reference alleles. This demonstrates that the structural alterations are highly localized to specific pathway nodes.</w:t>
      </w:r>
    </w:p>
    <w:p>
      <w:pPr>
        <w:pStyle w:val="BodyText"/>
        <w:numPr>
          <w:ilvl w:val="0"/>
          <w:numId w:val="5"/>
        </w:numPr>
        <w:pBdr/>
        <w:tabs>
          <w:tab w:val="clear" w:pos="720"/>
          <w:tab w:val="left" w:pos="0" w:leader="none"/>
        </w:tabs>
        <w:spacing w:lineRule="auto" w:line="273" w:before="0" w:after="140"/>
        <w:ind w:hanging="283" w:left="709" w:right="0"/>
        <w:rPr>
          <w:rFonts w:ascii="Arial" w:hAnsi="Arial"/>
        </w:rPr>
      </w:pPr>
      <w:bookmarkStart w:id="11" w:name="p-c_09f1f22645e0377a_a2675682-53a9-4770b"/>
      <w:bookmarkEnd w:id="11"/>
      <w:r>
        <w:rPr>
          <w:rFonts w:ascii="Arial" w:hAnsi="Arial"/>
          <w:b/>
        </w:rPr>
        <w:t>CYP17A1 (17α-Hydroxylase/17,20-Lyase):</w:t>
      </w:r>
      <w:r>
        <w:rPr>
          <w:rFonts w:ascii="Arial" w:hAnsi="Arial"/>
        </w:rPr>
        <w:t xml:space="preserve"> The primary enzyme that synthesizes DHEA and androstenedione from progesterone is structurally intact and contains no high-impact variants. This ensures that the upstream raw material supply for adrenal androgens remains completely functional.</w:t>
      </w:r>
    </w:p>
    <w:p>
      <w:pPr>
        <w:pStyle w:val="BodyText"/>
        <w:numPr>
          <w:ilvl w:val="0"/>
          <w:numId w:val="5"/>
        </w:numPr>
        <w:pBdr/>
        <w:tabs>
          <w:tab w:val="clear" w:pos="720"/>
          <w:tab w:val="left" w:pos="0" w:leader="none"/>
        </w:tabs>
        <w:spacing w:lineRule="auto" w:line="273" w:before="0" w:after="140"/>
        <w:ind w:hanging="283" w:left="709" w:right="0"/>
        <w:rPr>
          <w:rFonts w:ascii="Arial" w:hAnsi="Arial"/>
        </w:rPr>
      </w:pPr>
      <w:bookmarkStart w:id="12" w:name="p-c_09f1f22645e0377a_a2675682-53a9-4770c"/>
      <w:bookmarkEnd w:id="12"/>
      <w:r>
        <w:rPr>
          <w:rFonts w:ascii="Arial" w:hAnsi="Arial"/>
          <w:b/>
        </w:rPr>
        <w:t>StAR (Steroidogenic Acute Regulatory Protein):</w:t>
      </w:r>
      <w:r>
        <w:rPr>
          <w:rFonts w:ascii="Arial" w:hAnsi="Arial"/>
        </w:rPr>
        <w:t xml:space="preserve"> The physical mitochondrial transport channel for cholesterol is structurally unremarkable. This indicates that any alterations in steroidogenesis initiation are driven by regulatory inputs (such as the RYR2 calcium cascade) rather than a structural breakdown of the StAR protein itself.</w:t>
      </w:r>
    </w:p>
    <w:p>
      <w:pPr>
        <w:pStyle w:val="BodyText"/>
        <w:numPr>
          <w:ilvl w:val="0"/>
          <w:numId w:val="5"/>
        </w:numPr>
        <w:pBdr/>
        <w:tabs>
          <w:tab w:val="clear" w:pos="720"/>
          <w:tab w:val="left" w:pos="0" w:leader="none"/>
        </w:tabs>
        <w:spacing w:lineRule="auto" w:line="273" w:before="0" w:after="140"/>
        <w:ind w:hanging="283" w:left="709" w:right="0"/>
        <w:rPr>
          <w:rFonts w:ascii="Arial" w:hAnsi="Arial"/>
        </w:rPr>
      </w:pPr>
      <w:bookmarkStart w:id="13" w:name="p-c_09f1f22645e0377a_a2675682-53a9-4770d"/>
      <w:bookmarkEnd w:id="13"/>
      <w:r>
        <w:rPr>
          <w:rFonts w:ascii="Arial" w:hAnsi="Arial"/>
          <w:b/>
        </w:rPr>
        <w:t>HSD3B2 (3β-Hydroxysteroid Dehydrogenase Type 2):</w:t>
      </w:r>
      <w:r>
        <w:rPr>
          <w:rFonts w:ascii="Arial" w:hAnsi="Arial"/>
        </w:rPr>
        <w:t xml:space="preserve"> Intact and unremarkable, maintaining standard conversions of adrenal dehydroepiandrosterone (DHEA) to androstenedione (A4).</w:t>
      </w:r>
    </w:p>
    <w:p>
      <w:pPr>
        <w:pStyle w:val="BodyText"/>
        <w:numPr>
          <w:ilvl w:val="0"/>
          <w:numId w:val="5"/>
        </w:numPr>
        <w:pBdr/>
        <w:tabs>
          <w:tab w:val="clear" w:pos="720"/>
          <w:tab w:val="left" w:pos="0" w:leader="none"/>
        </w:tabs>
        <w:spacing w:lineRule="auto" w:line="273" w:before="0" w:after="140"/>
        <w:ind w:hanging="283" w:left="709" w:right="0"/>
        <w:rPr>
          <w:rFonts w:ascii="Arial" w:hAnsi="Arial"/>
        </w:rPr>
      </w:pPr>
      <w:bookmarkStart w:id="14" w:name="p-c_09f1f22645e0377a_a2675682-53a9-4770e"/>
      <w:bookmarkEnd w:id="14"/>
      <w:r>
        <w:rPr>
          <w:rFonts w:ascii="Arial" w:hAnsi="Arial"/>
          <w:b/>
        </w:rPr>
        <w:t>AR Exons (2-8):</w:t>
      </w:r>
      <w:r>
        <w:rPr>
          <w:rFonts w:ascii="Arial" w:hAnsi="Arial"/>
        </w:rPr>
        <w:t xml:space="preserve"> Outside of the transactivation repeat domains (Exon 1), the ligand-binding and DNA-binding exons of the Androgen Receptor are unremarkable, confirming that the receptor is not structurally disrupted by typical androgen insensitivity mutations.</w:t>
      </w:r>
    </w:p>
    <w:p>
      <w:pPr>
        <w:pStyle w:val="Heading1"/>
        <w:spacing w:before="360" w:after="200"/>
        <w:rPr>
          <w:rFonts w:eastAsia="Arial" w:cs="Arial"/>
          <w:b/>
          <w:bCs/>
          <w:i/>
          <w:i/>
          <w:iCs/>
        </w:rPr>
      </w:pPr>
      <w:r>
        <w:rPr>
          <w:color w:val="000000"/>
          <w:sz w:val="22"/>
          <w:szCs w:val="22"/>
        </w:rPr>
      </w:r>
      <w:r>
        <w:br w:type="page"/>
      </w:r>
    </w:p>
    <w:p>
      <w:pPr>
        <w:pStyle w:val="Heading1"/>
        <w:spacing w:before="360" w:after="200"/>
        <w:rPr>
          <w:rFonts w:ascii="Arial" w:hAnsi="Arial"/>
          <w:b/>
          <w:bCs/>
        </w:rPr>
      </w:pPr>
      <w:r>
        <w:rPr>
          <w:b/>
          <w:bCs/>
        </w:rPr>
        <w:t xml:space="preserve">Section </w:t>
      </w:r>
      <w:r>
        <w:rPr>
          <w:b/>
          <w:bCs/>
        </w:rPr>
        <w:t>23</w:t>
      </w:r>
      <w:r>
        <w:rPr>
          <w:b/>
          <w:bCs/>
        </w:rPr>
        <w:t>: Confirmatory Actions — Prioritized</w:t>
      </w:r>
    </w:p>
    <w:p>
      <w:pPr>
        <w:pStyle w:val="Normal"/>
        <w:spacing w:before="0" w:after="60"/>
        <w:rPr>
          <w:rFonts w:ascii="Arial" w:hAnsi="Arial"/>
        </w:rPr>
      </w:pPr>
      <w:r>
        <w:rPr>
          <w:rFonts w:eastAsia="Arial" w:cs="Arial" w:ascii="Arial" w:hAnsi="Arial"/>
          <w:b/>
          <w:bCs/>
          <w:sz w:val="22"/>
          <w:szCs w:val="22"/>
        </w:rPr>
        <w:t xml:space="preserve">Citations: </w:t>
      </w:r>
      <w:r>
        <w:rPr>
          <w:rFonts w:eastAsia="Arial" w:cs="Arial" w:ascii="Arial" w:hAnsi="Arial"/>
          <w:sz w:val="22"/>
          <w:szCs w:val="22"/>
        </w:rPr>
        <w:t>[1][2][3][4][9]-[17][20][23][24][25][28][29][30][31][32][35][38][39][52][54]</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Priority 1: Blood Type Confirmation</w:t>
      </w:r>
    </w:p>
    <w:p>
      <w:pPr>
        <w:pStyle w:val="Normal"/>
        <w:spacing w:before="0" w:after="60"/>
        <w:rPr>
          <w:rFonts w:ascii="Arial" w:hAnsi="Arial"/>
        </w:rPr>
      </w:pPr>
      <w:r>
        <w:rPr>
          <w:rFonts w:eastAsia="Arial" w:cs="Arial" w:ascii="Arial" w:hAnsi="Arial"/>
          <w:b/>
          <w:bCs/>
          <w:sz w:val="22"/>
          <w:szCs w:val="22"/>
        </w:rPr>
        <w:t xml:space="preserve">Test: </w:t>
      </w:r>
      <w:r>
        <w:rPr>
          <w:rFonts w:eastAsia="Arial" w:cs="Arial" w:ascii="Arial" w:hAnsi="Arial"/>
          <w:sz w:val="22"/>
          <w:szCs w:val="22"/>
        </w:rPr>
        <w:t>Serologic ABO/H typing with anti-H lectin reagent + anti-H antibody screen + secretor testing (saliva) + full Rh phenotyping (all 49 antigens) + indirect antiglobulin test (antibody screen)</w:t>
      </w:r>
    </w:p>
    <w:p>
      <w:pPr>
        <w:pStyle w:val="Normal"/>
        <w:spacing w:before="0" w:after="60"/>
        <w:rPr>
          <w:rFonts w:ascii="Arial" w:hAnsi="Arial"/>
        </w:rPr>
      </w:pPr>
      <w:r>
        <w:rPr>
          <w:rFonts w:eastAsia="Arial" w:cs="Arial" w:ascii="Arial" w:hAnsi="Arial"/>
          <w:b/>
          <w:bCs/>
          <w:sz w:val="22"/>
          <w:szCs w:val="22"/>
        </w:rPr>
        <w:t xml:space="preserve">Why: </w:t>
      </w:r>
      <w:r>
        <w:rPr>
          <w:rFonts w:eastAsia="Arial" w:cs="Arial" w:ascii="Arial" w:hAnsi="Arial"/>
          <w:sz w:val="22"/>
          <w:szCs w:val="22"/>
        </w:rPr>
        <w:t>O-negative with AB mother (impossible under standard inheritance [1]). FUT2 stop_gained score 305 [3]. FUT1 15 WGS variants [15]. RHD 12 variants (0 in Ancestry) [9][14]. RHCE 7 [9]. RHAG 12 [9][14]. All three Rh genes + both H antigen genes modified. Standard blood typing may give the wrong answer. Transfusion with incompatible blood = hemolytic reaction.</w:t>
      </w:r>
    </w:p>
    <w:p>
      <w:pPr>
        <w:pStyle w:val="Normal"/>
        <w:spacing w:before="0" w:after="60"/>
        <w:rPr>
          <w:rFonts w:ascii="Arial" w:hAnsi="Arial"/>
        </w:rPr>
      </w:pPr>
      <w:r>
        <w:rPr>
          <w:rFonts w:eastAsia="Arial" w:cs="Arial" w:ascii="Arial" w:hAnsi="Arial"/>
          <w:b/>
          <w:bCs/>
          <w:sz w:val="22"/>
          <w:szCs w:val="22"/>
        </w:rPr>
        <w:t xml:space="preserve">Lab: </w:t>
      </w:r>
      <w:r>
        <w:rPr>
          <w:rFonts w:eastAsia="Arial" w:cs="Arial" w:ascii="Arial" w:hAnsi="Arial"/>
          <w:sz w:val="22"/>
          <w:szCs w:val="22"/>
        </w:rPr>
        <w:t>Blood bank immunohematology reference lab. NOT standard hospital blood bank.</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Priority 2: 11-Oxyandrogen Panel</w:t>
      </w:r>
    </w:p>
    <w:p>
      <w:pPr>
        <w:pStyle w:val="Normal"/>
        <w:spacing w:before="0" w:after="60"/>
        <w:rPr>
          <w:rFonts w:ascii="Arial" w:hAnsi="Arial"/>
        </w:rPr>
      </w:pPr>
      <w:r>
        <w:rPr>
          <w:rFonts w:eastAsia="Arial" w:cs="Arial" w:ascii="Arial" w:hAnsi="Arial"/>
          <w:b/>
          <w:bCs/>
          <w:sz w:val="22"/>
          <w:szCs w:val="22"/>
        </w:rPr>
        <w:t xml:space="preserve">Test: </w:t>
      </w:r>
      <w:r>
        <w:rPr>
          <w:rFonts w:eastAsia="Arial" w:cs="Arial" w:ascii="Arial" w:hAnsi="Arial"/>
          <w:sz w:val="22"/>
          <w:szCs w:val="22"/>
        </w:rPr>
        <w:t>LC-MS/MS measurement of: 11-KT, 11-KDHT, 11OHA4, 11KA4, DHEA, DHEAS, androstenedione, testosterone, cortisol. ACTH stimulation test.</w:t>
      </w:r>
    </w:p>
    <w:p>
      <w:pPr>
        <w:pStyle w:val="Normal"/>
        <w:spacing w:before="0" w:after="60"/>
        <w:rPr>
          <w:rFonts w:ascii="Arial" w:hAnsi="Arial"/>
        </w:rPr>
      </w:pPr>
      <w:r>
        <w:rPr>
          <w:rFonts w:eastAsia="Arial" w:cs="Arial" w:ascii="Arial" w:hAnsi="Arial"/>
          <w:b/>
          <w:bCs/>
          <w:sz w:val="22"/>
          <w:szCs w:val="22"/>
        </w:rPr>
        <w:t xml:space="preserve">Why: </w:t>
      </w:r>
      <w:r>
        <w:rPr>
          <w:rFonts w:eastAsia="Arial" w:cs="Arial" w:ascii="Arial" w:hAnsi="Arial"/>
          <w:sz w:val="22"/>
          <w:szCs w:val="22"/>
        </w:rPr>
        <w:t>10/10 pathway genes structurally modified [9][10][12][14][15]. Standard testosterone immunoassay will NOT detect 11-oxyandrogens [23][24][25]. The only way to know what the pathway is actually producing is to measure the products directly. Clinical context: bilateral orchiectomy 2018, testosterone &lt;3 ng/dL, maintained daily sexual function. Something is activating the androgen receptor. The 11-KT pathway is the candidate.</w:t>
      </w:r>
    </w:p>
    <w:p>
      <w:pPr>
        <w:pStyle w:val="Normal"/>
        <w:spacing w:before="0" w:after="60"/>
        <w:rPr>
          <w:rFonts w:ascii="Arial" w:hAnsi="Arial"/>
        </w:rPr>
      </w:pPr>
      <w:r>
        <w:rPr>
          <w:rFonts w:eastAsia="Arial" w:cs="Arial" w:ascii="Arial" w:hAnsi="Arial"/>
          <w:b/>
          <w:bCs/>
          <w:sz w:val="22"/>
          <w:szCs w:val="22"/>
        </w:rPr>
        <w:t xml:space="preserve">Method: </w:t>
      </w:r>
      <w:r>
        <w:rPr>
          <w:rFonts w:eastAsia="Arial" w:cs="Arial" w:ascii="Arial" w:hAnsi="Arial"/>
          <w:sz w:val="22"/>
          <w:szCs w:val="22"/>
        </w:rPr>
        <w:t>LC-MS/MS ONLY. Standard immunoassay cross-reacts and misses 11-oxyandrogens [25].</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Priority 3: CYP2D6 Phenotyping</w:t>
      </w:r>
    </w:p>
    <w:p>
      <w:pPr>
        <w:pStyle w:val="Normal"/>
        <w:spacing w:before="0" w:after="60"/>
        <w:rPr>
          <w:rFonts w:ascii="Arial" w:hAnsi="Arial"/>
        </w:rPr>
      </w:pPr>
      <w:r>
        <w:rPr>
          <w:rFonts w:eastAsia="Arial" w:cs="Arial" w:ascii="Arial" w:hAnsi="Arial"/>
          <w:b/>
          <w:bCs/>
          <w:sz w:val="22"/>
          <w:szCs w:val="22"/>
        </w:rPr>
        <w:t xml:space="preserve">Test: </w:t>
      </w:r>
      <w:r>
        <w:rPr>
          <w:rFonts w:eastAsia="Arial" w:cs="Arial" w:ascii="Arial" w:hAnsi="Arial"/>
          <w:sz w:val="22"/>
          <w:szCs w:val="22"/>
        </w:rPr>
        <w:t>Validated pharmacogenomic panel with CYP2D6 star-allele calling and activity score.</w:t>
      </w:r>
    </w:p>
    <w:p>
      <w:pPr>
        <w:pStyle w:val="Normal"/>
        <w:spacing w:before="0" w:after="60"/>
        <w:rPr>
          <w:rFonts w:ascii="Arial" w:hAnsi="Arial"/>
        </w:rPr>
      </w:pPr>
      <w:r>
        <w:rPr>
          <w:rFonts w:eastAsia="Arial" w:cs="Arial" w:ascii="Arial" w:hAnsi="Arial"/>
          <w:b/>
          <w:bCs/>
          <w:sz w:val="22"/>
          <w:szCs w:val="22"/>
        </w:rPr>
        <w:t xml:space="preserve">Why: </w:t>
      </w:r>
      <w:r>
        <w:rPr>
          <w:rFonts w:eastAsia="Arial" w:cs="Arial" w:ascii="Arial" w:hAnsi="Arial"/>
          <w:sz w:val="22"/>
          <w:szCs w:val="22"/>
        </w:rPr>
        <w:t>24 variants, 14 homozygous [16]. Likely poor metabolizer. CYP2D6 metabolizes ~25% of all drugs [52] AND hydroxylates progesterone [54]. If progesterone is prescribed, CYP2D6 PM status means slower clearance = longer duration of action per dose = lower dose needed for same effect. Also affects opioid response (codeine→morphine conversion requires CYP2D6), antidepressant dosing, and antiarrhythmic dosing.</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Priority 4: HSD11B2 CRAM Inspection</w:t>
      </w:r>
    </w:p>
    <w:p>
      <w:pPr>
        <w:pStyle w:val="Normal"/>
        <w:spacing w:before="0" w:after="60"/>
        <w:rPr>
          <w:rFonts w:ascii="Arial" w:hAnsi="Arial"/>
        </w:rPr>
      </w:pPr>
      <w:r>
        <w:rPr>
          <w:rFonts w:eastAsia="Arial" w:cs="Arial" w:ascii="Arial" w:hAnsi="Arial"/>
          <w:b/>
          <w:bCs/>
          <w:sz w:val="22"/>
          <w:szCs w:val="22"/>
        </w:rPr>
        <w:t xml:space="preserve">Test: </w:t>
      </w:r>
      <w:r>
        <w:rPr>
          <w:rFonts w:eastAsia="Arial" w:cs="Arial" w:ascii="Arial" w:hAnsi="Arial"/>
          <w:sz w:val="22"/>
          <w:szCs w:val="22"/>
        </w:rPr>
        <w:t>Manual review of WGS reads in 3659751.cram [20] at HSD11B2 locus (chr16:67,462,215-67,474,437 on GRCh37).</w:t>
      </w:r>
    </w:p>
    <w:p>
      <w:pPr>
        <w:pStyle w:val="Normal"/>
        <w:spacing w:before="0" w:after="60"/>
        <w:rPr>
          <w:rFonts w:ascii="Arial" w:hAnsi="Arial"/>
        </w:rPr>
      </w:pPr>
      <w:r>
        <w:rPr>
          <w:rFonts w:eastAsia="Arial" w:cs="Arial" w:ascii="Arial" w:hAnsi="Arial"/>
          <w:b/>
          <w:bCs/>
          <w:sz w:val="22"/>
          <w:szCs w:val="22"/>
        </w:rPr>
        <w:t xml:space="preserve">Why: </w:t>
      </w:r>
      <w:r>
        <w:rPr>
          <w:rFonts w:eastAsia="Arial" w:cs="Arial" w:ascii="Arial" w:hAnsi="Arial"/>
          <w:sz w:val="22"/>
          <w:szCs w:val="22"/>
        </w:rPr>
        <w:t>AncestryDNA's #1 highest scoring variant — pathogenic structural deletion, score 300, ClinVar pathogenic [4]. WGS scored pipeline returns ZERO [9][10][14][15]. WGS NOT_IN_ANY_DB returns ZERO [12][17]. The microarray's most significant finding is invisible to the whole genome sequencer's variant caller. The raw reads exist in the CRAM file and can be visually inspected in IGV to determine whether a structural variant is present at this locus.</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Priority 5: CYP19A1 Structural Characterization</w:t>
      </w:r>
    </w:p>
    <w:p>
      <w:pPr>
        <w:pStyle w:val="Normal"/>
        <w:spacing w:before="0" w:after="60"/>
        <w:rPr>
          <w:rFonts w:ascii="Arial" w:hAnsi="Arial"/>
        </w:rPr>
      </w:pPr>
      <w:r>
        <w:rPr>
          <w:rFonts w:eastAsia="Arial" w:cs="Arial" w:ascii="Arial" w:hAnsi="Arial"/>
          <w:b/>
          <w:bCs/>
          <w:sz w:val="22"/>
          <w:szCs w:val="22"/>
        </w:rPr>
        <w:t xml:space="preserve">Test: </w:t>
      </w:r>
      <w:r>
        <w:rPr>
          <w:rFonts w:eastAsia="Arial" w:cs="Arial" w:ascii="Arial" w:hAnsi="Arial"/>
          <w:sz w:val="22"/>
          <w:szCs w:val="22"/>
        </w:rPr>
        <w:t>Targeted analysis of 14 NOT_IN_ANY_DB structural variants at chr15:51.1-52M [12]. Repeat typing, structural impact assessment, alignment to CYP19A1 gene structure.</w:t>
      </w:r>
    </w:p>
    <w:p>
      <w:pPr>
        <w:pStyle w:val="Normal"/>
        <w:spacing w:before="0" w:after="60"/>
        <w:rPr>
          <w:rFonts w:ascii="Arial" w:hAnsi="Arial"/>
        </w:rPr>
      </w:pPr>
      <w:r>
        <w:rPr>
          <w:rFonts w:eastAsia="Arial" w:cs="Arial" w:ascii="Arial" w:hAnsi="Arial"/>
          <w:b/>
          <w:bCs/>
          <w:sz w:val="22"/>
          <w:szCs w:val="22"/>
        </w:rPr>
        <w:t xml:space="preserve">Why: </w:t>
      </w:r>
      <w:r>
        <w:rPr>
          <w:rFonts w:eastAsia="Arial" w:cs="Arial" w:ascii="Arial" w:hAnsi="Arial"/>
          <w:sz w:val="22"/>
          <w:szCs w:val="22"/>
        </w:rPr>
        <w:t>14 structural variants including CAG repeat contraction (mirroring AR CAG expansion) and AATAAATAAAT repeat expansion. Plus 4 confirmed variants at exact AncestryDNA D/I coordinates in the CYP19A1/ESR1 cluster [12]. These modifications to the estrogen-producing enzyme are invisible to standard annotation but structurally real.</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Priority 6: Chimerism STR Panel</w:t>
      </w:r>
    </w:p>
    <w:p>
      <w:pPr>
        <w:pStyle w:val="Normal"/>
        <w:spacing w:before="0" w:after="60"/>
        <w:rPr>
          <w:rFonts w:ascii="Arial" w:hAnsi="Arial"/>
        </w:rPr>
      </w:pPr>
      <w:r>
        <w:rPr>
          <w:rFonts w:eastAsia="Arial" w:cs="Arial" w:ascii="Arial" w:hAnsi="Arial"/>
          <w:b/>
          <w:bCs/>
          <w:sz w:val="22"/>
          <w:szCs w:val="22"/>
        </w:rPr>
        <w:t xml:space="preserve">Test: </w:t>
      </w:r>
      <w:r>
        <w:rPr>
          <w:rFonts w:eastAsia="Arial" w:cs="Arial" w:ascii="Arial" w:hAnsi="Arial"/>
          <w:sz w:val="22"/>
          <w:szCs w:val="22"/>
        </w:rPr>
        <w:t>Short tandem repeat profiling from three tissue sources: blood, buccal (saliva), and skin biopsy. Each submitted independently to different labs.</w:t>
      </w:r>
    </w:p>
    <w:p>
      <w:pPr>
        <w:pStyle w:val="Normal"/>
        <w:spacing w:before="0" w:after="60"/>
        <w:rPr>
          <w:rFonts w:ascii="Arial" w:hAnsi="Arial"/>
        </w:rPr>
      </w:pPr>
      <w:r>
        <w:rPr>
          <w:rFonts w:eastAsia="Arial" w:cs="Arial" w:ascii="Arial" w:hAnsi="Arial"/>
          <w:b/>
          <w:bCs/>
          <w:sz w:val="22"/>
          <w:szCs w:val="22"/>
        </w:rPr>
        <w:t xml:space="preserve">Why: </w:t>
      </w:r>
      <w:r>
        <w:rPr>
          <w:rFonts w:eastAsia="Arial" w:cs="Arial" w:ascii="Arial" w:hAnsi="Arial"/>
          <w:sz w:val="22"/>
          <w:szCs w:val="22"/>
        </w:rPr>
        <w:t>520 X chromosome variants + 179 Y chromosome variants [9][10][12]. AncestryDNA: 3 het X + 5 het Y in non-PAR regions [1]. Spatial coherence of clustered het calls on hemizygous chromosomes. Living identical twin brother (clinical history). STR profiling from multiple tissues is the gold standard for chimerism confirmation [38][39].</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Priority 7: Full AR Gene Sequencing</w:t>
      </w:r>
    </w:p>
    <w:p>
      <w:pPr>
        <w:pStyle w:val="Normal"/>
        <w:spacing w:before="0" w:after="60"/>
        <w:rPr>
          <w:rFonts w:ascii="Arial" w:hAnsi="Arial"/>
        </w:rPr>
      </w:pPr>
      <w:r>
        <w:rPr>
          <w:rFonts w:eastAsia="Arial" w:cs="Arial" w:ascii="Arial" w:hAnsi="Arial"/>
          <w:b/>
          <w:bCs/>
          <w:sz w:val="22"/>
          <w:szCs w:val="22"/>
        </w:rPr>
        <w:t xml:space="preserve">Test: </w:t>
      </w:r>
      <w:r>
        <w:rPr>
          <w:rFonts w:eastAsia="Arial" w:cs="Arial" w:ascii="Arial" w:hAnsi="Arial"/>
          <w:sz w:val="22"/>
          <w:szCs w:val="22"/>
        </w:rPr>
        <w:t>Clinical AR sequencing panel including deep intronic regions.</w:t>
      </w:r>
    </w:p>
    <w:p>
      <w:pPr>
        <w:pStyle w:val="Normal"/>
        <w:spacing w:before="0" w:after="60"/>
        <w:rPr>
          <w:rFonts w:ascii="Arial" w:hAnsi="Arial"/>
        </w:rPr>
      </w:pPr>
      <w:r>
        <w:rPr>
          <w:rFonts w:eastAsia="Arial" w:cs="Arial" w:ascii="Arial" w:hAnsi="Arial"/>
          <w:b/>
          <w:bCs/>
          <w:sz w:val="22"/>
          <w:szCs w:val="22"/>
        </w:rPr>
        <w:t xml:space="preserve">Why: </w:t>
      </w:r>
      <w:r>
        <w:rPr>
          <w:rFonts w:eastAsia="Arial" w:cs="Arial" w:ascii="Arial" w:hAnsi="Arial"/>
          <w:sz w:val="22"/>
          <w:szCs w:val="22"/>
        </w:rPr>
        <w:t>17 WGS variants including CAG repeat expansions + GCG repeat expansions + frameshifts + 4 additional NOT_IN_ANY_DB repeat insertions [9][12][14]. 20% of complete androgen insensitivity syndrome (CAIS) cases have normal AR coding with deep intronic splice variants [35]. The structural repeat expansions found in AR need characterization of exact CAG repeat length and polyglutamine tract size.</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Priority 8: ESR1 Sequencing</w:t>
      </w:r>
    </w:p>
    <w:p>
      <w:pPr>
        <w:pStyle w:val="Normal"/>
        <w:spacing w:before="0" w:after="60"/>
        <w:rPr>
          <w:rFonts w:ascii="Arial" w:hAnsi="Arial"/>
        </w:rPr>
      </w:pPr>
      <w:r>
        <w:rPr>
          <w:rFonts w:eastAsia="Arial" w:cs="Arial" w:ascii="Arial" w:hAnsi="Arial"/>
          <w:b/>
          <w:bCs/>
          <w:sz w:val="22"/>
          <w:szCs w:val="22"/>
        </w:rPr>
        <w:t xml:space="preserve">Test: </w:t>
      </w:r>
      <w:r>
        <w:rPr>
          <w:rFonts w:eastAsia="Arial" w:cs="Arial" w:ascii="Arial" w:hAnsi="Arial"/>
          <w:sz w:val="22"/>
          <w:szCs w:val="22"/>
        </w:rPr>
        <w:t>Clinical ESR1 coding exon and regulatory region sequencing.</w:t>
      </w:r>
    </w:p>
    <w:p>
      <w:pPr>
        <w:pStyle w:val="Normal"/>
        <w:spacing w:before="0" w:after="60"/>
        <w:rPr>
          <w:rFonts w:ascii="Arial" w:hAnsi="Arial"/>
        </w:rPr>
      </w:pPr>
      <w:r>
        <w:rPr>
          <w:rFonts w:eastAsia="Arial" w:cs="Arial" w:ascii="Arial" w:hAnsi="Arial"/>
          <w:b/>
          <w:bCs/>
          <w:i/>
          <w:iCs/>
          <w:color w:val="7B2D26"/>
        </w:rPr>
        <w:t xml:space="preserve">Why: </w:t>
      </w:r>
      <w:r>
        <w:rPr>
          <w:rFonts w:eastAsia="Arial" w:cs="Arial" w:ascii="Arial" w:hAnsi="Arial"/>
          <w:b w:val="false"/>
          <w:bCs w:val="false"/>
          <w:i/>
          <w:iCs/>
          <w:color w:val="7B2D26"/>
        </w:rPr>
        <w:t>26 WGS variants, 16 homozygous + 2 NOT_IN_ANY_DB [9][10][12]. AncestryDNA: I/I inside gene body + stop-gain probe mislabeled + 5 D/I in CYP19A1/ESR1 cluster at 44x density [1]. Published cases of ESR1 mutations cause complete estrogen resistance [33][34][37]. 16 homozygous positions on the estrogen receiver warrants characterization.</w:t>
      </w:r>
    </w:p>
    <w:p>
      <w:pPr>
        <w:pStyle w:val="Normal"/>
        <w:spacing w:before="0" w:after="60"/>
        <w:rPr>
          <w:rFonts w:eastAsia="Arial" w:cs="Arial"/>
          <w:b w:val="false"/>
          <w:bCs w:val="false"/>
          <w:i/>
          <w:i/>
          <w:iCs/>
          <w:color w:val="7B2D26"/>
          <w:sz w:val="22"/>
        </w:rPr>
      </w:pPr>
      <w:r>
        <w:rPr>
          <w:rFonts w:ascii="Arial" w:hAnsi="Arial"/>
        </w:rPr>
      </w:r>
    </w:p>
    <w:p>
      <w:pPr>
        <w:pStyle w:val="Normal"/>
        <w:spacing w:before="0" w:after="60"/>
        <w:rPr>
          <w:rFonts w:ascii="Arial" w:hAnsi="Arial" w:eastAsia="Arial" w:cs="Arial"/>
          <w:b/>
          <w:bCs/>
          <w:i/>
          <w:i/>
          <w:iCs/>
          <w:caps w:val="false"/>
          <w:smallCaps w:val="false"/>
          <w:color w:val="3465A4"/>
          <w:spacing w:val="0"/>
          <w:sz w:val="26"/>
        </w:rPr>
      </w:pPr>
      <w:r>
        <w:rPr>
          <w:rFonts w:eastAsia="Arial" w:cs="Arial" w:ascii="Arial" w:hAnsi="Arial"/>
          <w:b/>
          <w:bCs/>
          <w:i/>
          <w:iCs/>
          <w:caps w:val="false"/>
          <w:smallCaps w:val="false"/>
          <w:color w:val="3465A4"/>
          <w:spacing w:val="0"/>
          <w:sz w:val="26"/>
        </w:rPr>
        <w:t xml:space="preserve">Priority 9: Multi-Tissue Short Tandem Repeat (STR) Profiling </w:t>
      </w:r>
    </w:p>
    <w:p>
      <w:pPr>
        <w:pStyle w:val="Normal"/>
        <w:spacing w:before="0" w:after="60"/>
        <w:rPr>
          <w:rFonts w:ascii="Arial" w:hAnsi="Arial" w:eastAsia="Arial" w:cs="Arial"/>
          <w:b w:val="false"/>
          <w:bCs w:val="false"/>
          <w:i/>
          <w:i/>
          <w:iCs/>
          <w:caps w:val="false"/>
          <w:smallCaps w:val="false"/>
          <w:color w:val="000000"/>
          <w:spacing w:val="0"/>
          <w:sz w:val="26"/>
        </w:rPr>
      </w:pPr>
      <w:r>
        <w:rPr>
          <w:rFonts w:eastAsia="Arial" w:cs="Arial" w:ascii="Arial" w:hAnsi="Arial"/>
          <w:b w:val="false"/>
          <w:bCs w:val="false"/>
          <w:i/>
          <w:iCs/>
          <w:caps w:val="false"/>
          <w:smallCaps w:val="false"/>
          <w:color w:val="000000"/>
          <w:spacing w:val="0"/>
          <w:sz w:val="26"/>
        </w:rPr>
        <w:t>Submit separate, unlinked samples of blood, saliva (buccal), and hair/skin biopsies to a forensic-grade laboratory to validate dual-genome chimerism.</w:t>
      </w:r>
      <w:r>
        <w:br w:type="page"/>
      </w:r>
    </w:p>
    <w:p>
      <w:pPr>
        <w:pStyle w:val="Heading2"/>
        <w:spacing w:before="240" w:after="150"/>
        <w:rPr>
          <w:rFonts w:ascii="Arial" w:hAnsi="Arial"/>
          <w:b/>
          <w:bCs/>
          <w:i w:val="false"/>
          <w:i w:val="false"/>
          <w:iCs w:val="false"/>
        </w:rPr>
      </w:pPr>
      <w:r>
        <w:rPr>
          <w:rFonts w:eastAsia="Arial" w:cs="Arial"/>
          <w:b/>
          <w:bCs w:val="false"/>
          <w:i w:val="false"/>
          <w:iCs w:val="false"/>
        </w:rPr>
        <w:t xml:space="preserve">Priority </w:t>
      </w:r>
      <w:r>
        <w:rPr>
          <w:rFonts w:eastAsia="Arial" w:cs="Arial"/>
          <w:b/>
          <w:bCs w:val="false"/>
          <w:i w:val="false"/>
          <w:iCs w:val="false"/>
        </w:rPr>
        <w:t>10: Imaging, Testing, and Biopsies</w:t>
      </w:r>
    </w:p>
    <w:p>
      <w:pPr>
        <w:pStyle w:val="Heading3"/>
        <w:spacing w:before="0" w:after="60"/>
        <w:rPr>
          <w:rFonts w:ascii="Arial" w:hAnsi="Arial" w:eastAsia="Arial" w:cs="Arial"/>
          <w:b/>
          <w:bCs/>
          <w:i w:val="false"/>
          <w:i w:val="false"/>
          <w:iCs w:val="false"/>
          <w:caps w:val="false"/>
          <w:smallCaps w:val="false"/>
          <w:color w:val="000000"/>
          <w:spacing w:val="0"/>
          <w:sz w:val="26"/>
        </w:rPr>
      </w:pPr>
      <w:r>
        <w:rPr>
          <w:rFonts w:eastAsia="Arial" w:cs="Arial"/>
          <w:b/>
          <w:bCs/>
          <w:i w:val="false"/>
          <w:iCs w:val="false"/>
          <w:caps w:val="false"/>
          <w:smallCaps w:val="false"/>
          <w:color w:val="000000"/>
          <w:spacing w:val="0"/>
          <w:sz w:val="26"/>
        </w:rPr>
        <w:t>1. Imaging Modalities for Anatomical Mapping</w:t>
      </w:r>
    </w:p>
    <w:p>
      <w:pPr>
        <w:pStyle w:val="BodyText"/>
        <w:rPr>
          <w:rFonts w:ascii="Arial" w:hAnsi="Arial"/>
        </w:rPr>
      </w:pPr>
      <w:r>
        <w:rPr>
          <w:rFonts w:ascii="Arial" w:hAnsi="Arial"/>
        </w:rPr>
        <w:t>Given the structural complexity and the findings related to hormone biosynthesis pathways, standard ultrasound may be insufficient to characterize potential developmental variations.</w:t>
      </w:r>
    </w:p>
    <w:p>
      <w:pPr>
        <w:pStyle w:val="BodyText"/>
        <w:numPr>
          <w:ilvl w:val="0"/>
          <w:numId w:val="6"/>
        </w:numPr>
        <w:tabs>
          <w:tab w:val="clear" w:pos="720"/>
          <w:tab w:val="left" w:pos="0" w:leader="none"/>
        </w:tabs>
        <w:ind w:hanging="283" w:left="709"/>
        <w:rPr>
          <w:rFonts w:ascii="Arial" w:hAnsi="Arial"/>
        </w:rPr>
      </w:pPr>
      <w:r>
        <w:rPr>
          <w:rFonts w:ascii="Arial" w:hAnsi="Arial"/>
          <w:b/>
        </w:rPr>
        <w:t>Pelvic/Abdominal MRI (with and without contrast):</w:t>
      </w:r>
      <w:r>
        <w:rPr>
          <w:rFonts w:ascii="Arial" w:hAnsi="Arial"/>
        </w:rPr>
        <w:t xml:space="preserve"> This is the definitive non-invasive method for mapping urogenital anatomy. It allows for the identification of vestigial or atypical reproductive structures (e.g., Mullerian or Wolffian remnants) that ultrasound cannot resolve.</w:t>
      </w:r>
    </w:p>
    <w:p>
      <w:pPr>
        <w:pStyle w:val="BodyText"/>
        <w:numPr>
          <w:ilvl w:val="0"/>
          <w:numId w:val="6"/>
        </w:numPr>
        <w:tabs>
          <w:tab w:val="clear" w:pos="720"/>
          <w:tab w:val="left" w:pos="0" w:leader="none"/>
        </w:tabs>
        <w:ind w:hanging="283" w:left="709"/>
        <w:rPr>
          <w:rFonts w:ascii="Arial" w:hAnsi="Arial"/>
        </w:rPr>
      </w:pPr>
      <w:r>
        <w:rPr>
          <w:rFonts w:ascii="Arial" w:hAnsi="Arial"/>
          <w:b/>
        </w:rPr>
        <w:t>3D Pelvic Reconstruction:</w:t>
      </w:r>
      <w:r>
        <w:rPr>
          <w:rFonts w:ascii="Arial" w:hAnsi="Arial"/>
        </w:rPr>
        <w:t xml:space="preserve"> Utilizing MRI data to create a 3D volumetric model is critical for identifying structural anomalies in the uterine, ovarian, or androgen-responsive glandular tissues.</w:t>
      </w:r>
    </w:p>
    <w:p>
      <w:pPr>
        <w:pStyle w:val="Heading3"/>
        <w:rPr>
          <w:rFonts w:ascii="Arial" w:hAnsi="Arial"/>
          <w:b/>
          <w:bCs/>
          <w:color w:val="000000"/>
        </w:rPr>
      </w:pPr>
      <w:r>
        <w:rPr>
          <w:b/>
          <w:bCs/>
          <w:color w:val="000000"/>
        </w:rPr>
        <w:t>2. Biological/Histological Validation</w:t>
      </w:r>
    </w:p>
    <w:p>
      <w:pPr>
        <w:pStyle w:val="BodyText"/>
        <w:rPr>
          <w:rFonts w:ascii="Arial" w:hAnsi="Arial"/>
        </w:rPr>
      </w:pPr>
      <w:r>
        <w:rPr>
          <w:rFonts w:ascii="Arial" w:hAnsi="Arial"/>
        </w:rPr>
        <w:t>Histology provides the "ground truth" for how tissues are responding to the systemic environment—specifically the 11-oxyandrogen and estrogen pathways you have mapped.</w:t>
      </w:r>
    </w:p>
    <w:p>
      <w:pPr>
        <w:pStyle w:val="BodyText"/>
        <w:numPr>
          <w:ilvl w:val="0"/>
          <w:numId w:val="7"/>
        </w:numPr>
        <w:tabs>
          <w:tab w:val="clear" w:pos="720"/>
          <w:tab w:val="left" w:pos="0" w:leader="none"/>
        </w:tabs>
        <w:ind w:hanging="283" w:left="709"/>
        <w:rPr>
          <w:rFonts w:ascii="Arial" w:hAnsi="Arial"/>
        </w:rPr>
      </w:pPr>
      <w:r>
        <w:rPr>
          <w:rFonts w:ascii="Arial" w:hAnsi="Arial"/>
          <w:b/>
        </w:rPr>
        <w:t>Targeted Tissue Biopsy:</w:t>
      </w:r>
      <w:r>
        <w:rPr>
          <w:rFonts w:ascii="Arial" w:hAnsi="Arial"/>
        </w:rPr>
        <w:t xml:space="preserve"> If imaging identifies atypical soft tissue density, a targeted biopsy and subsequent immunohistochemical (IHC) staining are necessary.</w:t>
      </w:r>
    </w:p>
    <w:p>
      <w:pPr>
        <w:pStyle w:val="BodyText"/>
        <w:numPr>
          <w:ilvl w:val="1"/>
          <w:numId w:val="7"/>
        </w:numPr>
        <w:tabs>
          <w:tab w:val="clear" w:pos="720"/>
          <w:tab w:val="left" w:pos="0" w:leader="none"/>
        </w:tabs>
        <w:ind w:hanging="283" w:left="1418"/>
        <w:rPr>
          <w:rFonts w:ascii="Arial" w:hAnsi="Arial"/>
        </w:rPr>
      </w:pPr>
      <w:r>
        <w:rPr>
          <w:rFonts w:ascii="Arial" w:hAnsi="Arial"/>
          <w:b/>
        </w:rPr>
        <w:t>Androgen Receptor (AR) IHC:</w:t>
      </w:r>
      <w:r>
        <w:rPr>
          <w:rFonts w:ascii="Arial" w:hAnsi="Arial"/>
        </w:rPr>
        <w:t xml:space="preserve"> Determines if the cells are actively expressing the receptor in the presence of the 11-oxyandrogens detected in Priority 2.</w:t>
      </w:r>
    </w:p>
    <w:p>
      <w:pPr>
        <w:pStyle w:val="BodyText"/>
        <w:numPr>
          <w:ilvl w:val="1"/>
          <w:numId w:val="7"/>
        </w:numPr>
        <w:tabs>
          <w:tab w:val="clear" w:pos="720"/>
          <w:tab w:val="left" w:pos="0" w:leader="none"/>
        </w:tabs>
        <w:ind w:hanging="283" w:left="1418"/>
        <w:rPr>
          <w:rFonts w:ascii="Arial" w:hAnsi="Arial"/>
        </w:rPr>
      </w:pPr>
      <w:r>
        <w:rPr>
          <w:rFonts w:ascii="Arial" w:hAnsi="Arial"/>
          <w:b/>
        </w:rPr>
        <w:t>Estrogen Receptor (ERα/ERβ) IHC:</w:t>
      </w:r>
      <w:r>
        <w:rPr>
          <w:rFonts w:ascii="Arial" w:hAnsi="Arial"/>
        </w:rPr>
        <w:t xml:space="preserve"> Correlates with the ESR1 structural variants identified in Priority 8.</w:t>
      </w:r>
    </w:p>
    <w:p>
      <w:pPr>
        <w:pStyle w:val="BodyText"/>
        <w:numPr>
          <w:ilvl w:val="0"/>
          <w:numId w:val="7"/>
        </w:numPr>
        <w:tabs>
          <w:tab w:val="clear" w:pos="720"/>
          <w:tab w:val="left" w:pos="0" w:leader="none"/>
        </w:tabs>
        <w:ind w:hanging="283" w:left="709"/>
        <w:rPr>
          <w:rFonts w:ascii="Arial" w:hAnsi="Arial"/>
        </w:rPr>
      </w:pPr>
      <w:r>
        <w:rPr>
          <w:rFonts w:ascii="Arial" w:hAnsi="Arial"/>
          <w:b/>
        </w:rPr>
        <w:t>Karyotype vs. SNP Array:</w:t>
      </w:r>
      <w:r>
        <w:rPr>
          <w:rFonts w:ascii="Arial" w:hAnsi="Arial"/>
        </w:rPr>
        <w:t xml:space="preserve"> While you have significant WGS data, a clinical-grade G-banded karyotype or high-density chromosomal microarray (CMA) provides a standardized regulatory validation of the genotype, specifically to rule out mosaicism or structural rearrangements that WGS pipelines (as noted in your HSD11B2 inspection) may be masking.</w:t>
      </w:r>
    </w:p>
    <w:p>
      <w:pPr>
        <w:pStyle w:val="Heading3"/>
        <w:rPr>
          <w:rFonts w:ascii="Arial" w:hAnsi="Arial"/>
          <w:b/>
          <w:bCs/>
          <w:color w:val="000000"/>
        </w:rPr>
      </w:pPr>
      <w:r>
        <w:rPr>
          <w:b/>
          <w:bCs/>
          <w:color w:val="000000"/>
        </w:rPr>
        <w:t>3. Functional Assessment of "Female Biology"</w:t>
      </w:r>
    </w:p>
    <w:p>
      <w:pPr>
        <w:pStyle w:val="BodyText"/>
        <w:rPr>
          <w:rFonts w:ascii="Arial" w:hAnsi="Arial"/>
        </w:rPr>
      </w:pPr>
      <w:r>
        <w:rPr>
          <w:rFonts w:ascii="Arial" w:hAnsi="Arial"/>
        </w:rPr>
        <w:t xml:space="preserve">In this context, testing is not a binary confirmation of category, but a mapping of the </w:t>
      </w:r>
      <w:r>
        <w:rPr>
          <w:rFonts w:ascii="Arial" w:hAnsi="Arial"/>
          <w:b/>
        </w:rPr>
        <w:t>phenotypic expression</w:t>
      </w:r>
      <w:r>
        <w:rPr>
          <w:rFonts w:ascii="Arial" w:hAnsi="Arial"/>
        </w:rPr>
        <w:t xml:space="preserve"> of your unique genetic structural variants.</w:t>
      </w:r>
    </w:p>
    <w:p>
      <w:pPr>
        <w:pStyle w:val="BodyText"/>
        <w:numPr>
          <w:ilvl w:val="0"/>
          <w:numId w:val="8"/>
        </w:numPr>
        <w:tabs>
          <w:tab w:val="clear" w:pos="720"/>
          <w:tab w:val="left" w:pos="0" w:leader="none"/>
        </w:tabs>
        <w:ind w:hanging="283" w:left="709"/>
        <w:rPr>
          <w:rFonts w:ascii="Arial" w:hAnsi="Arial"/>
        </w:rPr>
      </w:pPr>
      <w:r>
        <w:rPr>
          <w:rFonts w:ascii="Arial" w:hAnsi="Arial"/>
          <w:b/>
        </w:rPr>
        <w:t>Dual-Energy X-ray Absorptiometry (DEXA):</w:t>
      </w:r>
      <w:r>
        <w:rPr>
          <w:rFonts w:ascii="Arial" w:hAnsi="Arial"/>
        </w:rPr>
        <w:t xml:space="preserve"> Beyond bone density, this provides body composition data (fat-to-lean mass ratio), which acts as a secondary indicator of the androgen/estrogen balance influenced by the CYP19A1 and ESR1 variants.</w:t>
      </w:r>
    </w:p>
    <w:p>
      <w:pPr>
        <w:pStyle w:val="BodyText"/>
        <w:numPr>
          <w:ilvl w:val="0"/>
          <w:numId w:val="8"/>
        </w:numPr>
        <w:tabs>
          <w:tab w:val="clear" w:pos="720"/>
          <w:tab w:val="left" w:pos="0" w:leader="none"/>
        </w:tabs>
        <w:ind w:hanging="283" w:left="709"/>
        <w:rPr>
          <w:rFonts w:ascii="Arial" w:hAnsi="Arial"/>
        </w:rPr>
      </w:pPr>
      <w:r>
        <w:rPr>
          <w:rFonts w:ascii="Arial" w:hAnsi="Arial"/>
          <w:b/>
        </w:rPr>
        <w:t>Serum Metabolomic Profiling:</w:t>
      </w:r>
      <w:r>
        <w:rPr>
          <w:rFonts w:ascii="Arial" w:hAnsi="Arial"/>
        </w:rPr>
        <w:t xml:space="preserve"> A broad-spectrum mass spectrometry analysis to identify the presence of downstream metabolites that would indicate high-activity utilization of the 11-KT pathway in peripheral tissues.</w:t>
      </w:r>
    </w:p>
    <w:p>
      <w:pPr>
        <w:pStyle w:val="Heading3"/>
        <w:rPr>
          <w:rFonts w:ascii="Arial" w:hAnsi="Arial"/>
          <w:b/>
          <w:bCs/>
          <w:color w:val="000000"/>
        </w:rPr>
      </w:pPr>
      <w:r>
        <w:rPr>
          <w:b/>
          <w:bCs/>
          <w:color w:val="000000"/>
        </w:rPr>
        <w:t>Implementation Note</w:t>
      </w:r>
    </w:p>
    <w:p>
      <w:pPr>
        <w:pStyle w:val="BodyText"/>
        <w:rPr>
          <w:rFonts w:ascii="Arial" w:hAnsi="Arial"/>
        </w:rPr>
      </w:pPr>
      <w:r>
        <w:rPr>
          <w:rFonts w:ascii="Arial" w:hAnsi="Arial"/>
        </w:rPr>
        <w:t xml:space="preserve">Given the necessity of bypassing standard diagnostic filters (which often rely on narrow reference ranges and pipeline-filtered variants), these actions require coordination with an </w:t>
      </w:r>
      <w:r>
        <w:rPr>
          <w:rFonts w:ascii="Arial" w:hAnsi="Arial"/>
          <w:b/>
        </w:rPr>
        <w:t>academic medical center (AMC)</w:t>
      </w:r>
      <w:r>
        <w:rPr>
          <w:rFonts w:ascii="Arial" w:hAnsi="Arial"/>
        </w:rPr>
        <w:t xml:space="preserve"> or a </w:t>
      </w:r>
      <w:r>
        <w:rPr>
          <w:rFonts w:ascii="Arial" w:hAnsi="Arial"/>
          <w:b/>
        </w:rPr>
        <w:t>specialized genetics research laboratory</w:t>
      </w:r>
      <w:r>
        <w:rPr>
          <w:rFonts w:ascii="Arial" w:hAnsi="Arial"/>
        </w:rPr>
        <w:t>. They are equipped to perform non-standard interpretation of IHC and high-resolution imaging that a general community hospital would likely flag as "inconclusive" due to its rarity.</w:t>
      </w:r>
    </w:p>
    <w:p>
      <w:pPr>
        <w:pStyle w:val="Normal"/>
        <w:spacing w:before="0" w:after="60"/>
        <w:rPr>
          <w:rFonts w:eastAsia="Arial" w:cs="Arial"/>
          <w:b w:val="false"/>
          <w:bCs w:val="false"/>
          <w:i/>
          <w:i/>
          <w:iCs/>
          <w:sz w:val="22"/>
        </w:rPr>
      </w:pPr>
      <w:r>
        <w:rPr>
          <w:rFonts w:ascii="Arial" w:hAnsi="Arial"/>
          <w:b w:val="false"/>
          <w:i w:val="false"/>
          <w:caps w:val="false"/>
          <w:smallCaps w:val="false"/>
          <w:color w:val="000000"/>
          <w:spacing w:val="0"/>
          <w:sz w:val="26"/>
        </w:rPr>
      </w:r>
      <w:r>
        <w:br w:type="page"/>
      </w:r>
    </w:p>
    <w:p>
      <w:pPr>
        <w:pStyle w:val="Heading1"/>
        <w:spacing w:before="360" w:after="200"/>
        <w:rPr>
          <w:rFonts w:ascii="Arial" w:hAnsi="Arial"/>
          <w:b/>
          <w:bCs/>
        </w:rPr>
      </w:pPr>
      <w:r>
        <w:rPr>
          <w:b/>
          <w:bCs/>
        </w:rPr>
        <w:t>CITATION LEGEND — Master Reference Document</w:t>
      </w:r>
    </w:p>
    <w:p>
      <w:pPr>
        <w:pStyle w:val="Normal"/>
        <w:spacing w:before="0" w:after="60"/>
        <w:rPr>
          <w:rFonts w:ascii="Arial" w:hAnsi="Arial"/>
        </w:rPr>
      </w:pPr>
      <w:r>
        <w:rPr>
          <w:rFonts w:eastAsia="Arial" w:cs="Arial" w:ascii="Arial" w:hAnsi="Arial"/>
          <w:b/>
          <w:bCs/>
          <w:sz w:val="22"/>
          <w:szCs w:val="22"/>
        </w:rPr>
        <w:t xml:space="preserve">Purpose: </w:t>
      </w:r>
      <w:r>
        <w:rPr>
          <w:rFonts w:eastAsia="Arial" w:cs="Arial" w:ascii="Arial" w:hAnsi="Arial"/>
          <w:sz w:val="22"/>
          <w:szCs w:val="22"/>
        </w:rPr>
        <w:t>This legend assigns a numbered citation [#] to every data source and published reference used across all sections of the merged GeneDx WGS + AncestryDNA Comprehensive Genomic Analysis. Every claim in every section must reference back to a numbered source here.</w:t>
      </w:r>
    </w:p>
    <w:p>
      <w:pPr>
        <w:pStyle w:val="Normal"/>
        <w:spacing w:before="0" w:after="60"/>
        <w:rPr>
          <w:rFonts w:ascii="Arial" w:hAnsi="Arial"/>
        </w:rPr>
      </w:pPr>
      <w:r>
        <w:rPr>
          <w:rFonts w:eastAsia="Arial" w:cs="Arial" w:ascii="Arial" w:hAnsi="Arial"/>
          <w:b/>
          <w:bCs/>
          <w:sz w:val="22"/>
          <w:szCs w:val="22"/>
        </w:rPr>
        <w:t xml:space="preserve">Sample: </w:t>
      </w:r>
      <w:r>
        <w:rPr>
          <w:rFonts w:eastAsia="Arial" w:cs="Arial" w:ascii="Arial" w:hAnsi="Arial"/>
          <w:sz w:val="22"/>
          <w:szCs w:val="22"/>
        </w:rPr>
        <w:t>3659751 / Case GCA1341148 / PROBAND Ahnend</w:t>
      </w:r>
    </w:p>
    <w:p>
      <w:pPr>
        <w:pStyle w:val="Normal"/>
        <w:spacing w:before="0" w:after="60"/>
        <w:rPr>
          <w:rFonts w:ascii="Arial" w:hAnsi="Arial"/>
        </w:rPr>
      </w:pPr>
      <w:r>
        <w:rPr>
          <w:rFonts w:eastAsia="Arial" w:cs="Arial" w:ascii="Arial" w:hAnsi="Arial"/>
          <w:b/>
          <w:bCs/>
          <w:sz w:val="22"/>
          <w:szCs w:val="22"/>
        </w:rPr>
        <w:t xml:space="preserve">Date: </w:t>
      </w:r>
      <w:r>
        <w:rPr>
          <w:rFonts w:eastAsia="Arial" w:cs="Arial" w:ascii="Arial" w:hAnsi="Arial"/>
          <w:sz w:val="22"/>
          <w:szCs w:val="22"/>
        </w:rPr>
        <w:t>June 17, 2026</w:t>
      </w:r>
    </w:p>
    <w:p>
      <w:pPr>
        <w:pStyle w:val="Heading1"/>
        <w:spacing w:before="360" w:after="200"/>
        <w:rPr>
          <w:rFonts w:ascii="Arial" w:hAnsi="Arial"/>
          <w:b/>
          <w:bCs/>
        </w:rPr>
      </w:pPr>
      <w:r>
        <w:rPr>
          <w:b/>
          <w:bCs/>
        </w:rPr>
        <w:t>A. Primary Data Files</w:t>
      </w:r>
    </w:p>
    <w:p>
      <w:pPr>
        <w:pStyle w:val="Normal"/>
        <w:spacing w:before="0" w:after="100"/>
        <w:rPr>
          <w:rFonts w:ascii="Arial" w:hAnsi="Arial" w:eastAsia="Arial" w:cs="Arial"/>
          <w:sz w:val="22"/>
          <w:szCs w:val="22"/>
        </w:rPr>
      </w:pPr>
      <w:r>
        <w:rPr>
          <w:rFonts w:eastAsia="Arial" w:cs="Arial" w:ascii="Arial" w:hAnsi="Arial"/>
          <w:sz w:val="22"/>
          <w:szCs w:val="22"/>
        </w:rPr>
        <w:t>These are the raw and processed data files from which all findings are drawn. Each is assigned a bracketed citation number [#] used throughout all report sections.</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AncestryDNA Microarray (677,437 SNPs)</w:t>
      </w:r>
    </w:p>
    <w:tbl>
      <w:tblPr>
        <w:tblW w:w="9400" w:type="dxa"/>
        <w:jc w:val="left"/>
        <w:tblInd w:w="0" w:type="dxa"/>
        <w:tblLayout w:type="fixed"/>
        <w:tblCellMar>
          <w:top w:w="60" w:type="dxa"/>
          <w:left w:w="100" w:type="dxa"/>
          <w:bottom w:w="60" w:type="dxa"/>
          <w:right w:w="100" w:type="dxa"/>
        </w:tblCellMar>
      </w:tblPr>
      <w:tblGrid>
        <w:gridCol w:w="599"/>
        <w:gridCol w:w="4001"/>
        <w:gridCol w:w="4800"/>
      </w:tblGrid>
      <w:tr>
        <w:trPr/>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w:t>
            </w:r>
          </w:p>
        </w:tc>
        <w:tc>
          <w:tcPr>
            <w:tcW w:w="40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File</w:t>
            </w:r>
          </w:p>
        </w:tc>
        <w:tc>
          <w:tcPr>
            <w:tcW w:w="48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Description</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[1]</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Comprehensive_Genomic_Analysis_Report__3_.docx</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The original AncestryDNA analysis report. 17 sections. Covers structural variants, sex chromosome anomalies, blood group, hormone pathway, DNA repair, chimerism, coordinate mapping. Written June 2026.</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[2]</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Comprehensive_Genomic_Analysis_Report_GRCh38.pdf</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Updated version incorporating GRCh38 VEP annotation and magus scoring pipeline results. Adds VEP-confirmed pathogenic findings.</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AncestryDNA_Magus_GRCh38_SCORED_EXCEPTIONAL.tsv</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AncestryDNA scoring pipeline output — EXCEPTIONAL tier. 1,498 variants. Threshold: total score ≥200. Contains BRCA1/2, MSH2, MLH1, FUT2 stop_gained (score 305), HSD11B2 pathogenic (score 300).</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[4]</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AncestryDNA_Magus_GRCh38_SCORED_HIGH.tsv</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AncestryDNA scoring pipeline output — HIGH tier. 3,327 variants. Threshold: total score ≥100. Top scorer: HSD11B2 inframe deletion, score 300.</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[5]</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AncestryDNA_Magus_GRCh38_SCORED_MODERATE.tsv</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AncestryDNA scoring pipeline output — MODERATE tier. 4,005 variants. Threshold: total score ≥30.</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[6]</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AncestryDNA_Magus_GRCh38_PHARMACOGENOMICS.tsv</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AncestryDNA pharmacogenomics-flagged variants. 133 variants across drug-processing genes.</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[7]</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AncestryDNA_Magus_GRCh38_NOT_IN_ANY_DB.tsv</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AncestryDNA variants with no database annotation. Plus 8,301 homozygous structural calls (I/I, D/D) flagged in the original report as unverified against HERV/transposable element/non-human databases.</w:t>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GeneDx WGS — GRCh37 (hg19 original, Ensembl GRCh37 REST API)</w:t>
      </w:r>
    </w:p>
    <w:tbl>
      <w:tblPr>
        <w:tblW w:w="9400" w:type="dxa"/>
        <w:jc w:val="left"/>
        <w:tblInd w:w="0" w:type="dxa"/>
        <w:tblLayout w:type="fixed"/>
        <w:tblCellMar>
          <w:top w:w="60" w:type="dxa"/>
          <w:left w:w="100" w:type="dxa"/>
          <w:bottom w:w="60" w:type="dxa"/>
          <w:right w:w="100" w:type="dxa"/>
        </w:tblCellMar>
      </w:tblPr>
      <w:tblGrid>
        <w:gridCol w:w="599"/>
        <w:gridCol w:w="4001"/>
        <w:gridCol w:w="4800"/>
      </w:tblGrid>
      <w:tr>
        <w:trPr/>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w:t>
            </w:r>
          </w:p>
        </w:tc>
        <w:tc>
          <w:tcPr>
            <w:tcW w:w="40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File</w:t>
            </w:r>
          </w:p>
        </w:tc>
        <w:tc>
          <w:tcPr>
            <w:tcW w:w="48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Description</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[8]</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3659751_SCORED_EXCEPTIONAL.tsv</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GeneDx WGS GRCh37 EXCEPTIONAL tier. 0 variants. Score threshold ≥200. Empty.</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[9]</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3659751_SCORED_HIGH.tsv</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GeneDx WGS GRCh37 HIGH tier. 650 variants. Score threshold ≥100.</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[10]</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3659751_SCORED_MODERATE.tsv</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GeneDx WGS GRCh37 MODERATE tier. 13,974 variants. Score threshold ≥30.</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[11]</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3659751_SCORED_PHARMACOGENOMICS.tsv</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GeneDx WGS GRCh37 pharmacogenomics. 246 variants across 14 drug-processing genes. NOTE: CYP2D6 absent from GRCh37 — region unresolvable by this assembly endpoint.</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[12]</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3659751_NOT_IN_ANY_DB.tsv</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GeneDx WGS GRCh37 uncharacterized. 27,336 variants. CRITICAL: Contains structural variants at known pathway gene loci (CYP19A1, AR, RYR2, ESR1, CYP19A1/ESR1 cluster) invisible to the scored pipeline.</w:t>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GeneDx WGS — GRCh38 (CrossMap liftover, Ensembl GRCh38 REST API)</w:t>
      </w:r>
    </w:p>
    <w:tbl>
      <w:tblPr>
        <w:tblW w:w="9400" w:type="dxa"/>
        <w:jc w:val="left"/>
        <w:tblInd w:w="0" w:type="dxa"/>
        <w:tblLayout w:type="fixed"/>
        <w:tblCellMar>
          <w:top w:w="60" w:type="dxa"/>
          <w:left w:w="100" w:type="dxa"/>
          <w:bottom w:w="60" w:type="dxa"/>
          <w:right w:w="100" w:type="dxa"/>
        </w:tblCellMar>
      </w:tblPr>
      <w:tblGrid>
        <w:gridCol w:w="599"/>
        <w:gridCol w:w="4001"/>
        <w:gridCol w:w="4800"/>
      </w:tblGrid>
      <w:tr>
        <w:trPr/>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w:t>
            </w:r>
          </w:p>
        </w:tc>
        <w:tc>
          <w:tcPr>
            <w:tcW w:w="40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File</w:t>
            </w:r>
          </w:p>
        </w:tc>
        <w:tc>
          <w:tcPr>
            <w:tcW w:w="48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Description</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[13]</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3659751_GRCh38_SCORED_EXCEPTIONAL.tsv</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GeneDx WGS GRCh38 EXCEPTIONAL tier. 0 variants. Empty.</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[14]</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3659751_GRCh38_SCORED_HIGH.tsv</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GeneDx WGS GRCh38 HIGH tier. 539 variants.</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[15]</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3659751_GRCh38_SCORED_MODERATE.tsv</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GeneDx WGS GRCh38 MODERATE tier. 8,247 variants.</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[16]</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3659751_GRCh38_SCORED_PHARMACOGENOMICS.tsv</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GeneDx WGS GRCh38 pharmacogenomics. 233 variants. CYP2D6 present: 24 variants, 14 homozygous.</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[17]</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3659751_GRCh38_NOT_IN_ANY_DB.tsv</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GeneDx WGS GRCh38 uncharacterized. 65,061 variants. 2.4x larger than GRCh37 NOT_IN_ANY_DB.</w:t>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GeneDx Raw Data</w:t>
      </w:r>
    </w:p>
    <w:tbl>
      <w:tblPr>
        <w:tblW w:w="9400" w:type="dxa"/>
        <w:jc w:val="left"/>
        <w:tblInd w:w="0" w:type="dxa"/>
        <w:tblLayout w:type="fixed"/>
        <w:tblCellMar>
          <w:top w:w="60" w:type="dxa"/>
          <w:left w:w="100" w:type="dxa"/>
          <w:bottom w:w="60" w:type="dxa"/>
          <w:right w:w="100" w:type="dxa"/>
        </w:tblCellMar>
      </w:tblPr>
      <w:tblGrid>
        <w:gridCol w:w="599"/>
        <w:gridCol w:w="4001"/>
        <w:gridCol w:w="4800"/>
      </w:tblGrid>
      <w:tr>
        <w:trPr/>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w:t>
            </w:r>
          </w:p>
        </w:tc>
        <w:tc>
          <w:tcPr>
            <w:tcW w:w="40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File</w:t>
            </w:r>
          </w:p>
        </w:tc>
        <w:tc>
          <w:tcPr>
            <w:tcW w:w="48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Description</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[18]</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3659751_GRCh38.vcf</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GeneDx WGS VCF lifted over from hg19 to GRCh38 via CrossMap. 309,127 variants total (303,278 passed liftover). Input to GRCh38 scoring pipeline.</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[19]</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3659751.vcf</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GeneDx WGS original VCF on hg19/GRCh37 reference. Input to GRCh37 scoring pipeline.</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[20]</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3659751.cram</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GeneDx WGS raw alignment reads. 5.7 GB. Required for manual locus inspection (e.g., HSD11B2 discrepancy).</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[21]</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hg19.fa.gz / hg19.fa.bgz</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Reference genome FASTA provided by GeneDx. Used for CrossMap liftover.</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[22]</w:t>
            </w:r>
          </w:p>
        </w:tc>
        <w:tc>
          <w:tcPr>
            <w:tcW w:w="4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hg19ToHg38.over.chain.gz</w:t>
            </w:r>
          </w:p>
        </w:tc>
        <w:tc>
          <w:tcPr>
            <w:tcW w:w="48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UCSC chain file for hg19→GRCh38 coordinate liftover.</w:t>
            </w:r>
          </w:p>
        </w:tc>
      </w:tr>
    </w:tbl>
    <w:p>
      <w:pPr>
        <w:pStyle w:val="Heading1"/>
        <w:spacing w:before="360" w:after="200"/>
        <w:rPr>
          <w:rFonts w:ascii="Arial" w:hAnsi="Arial"/>
          <w:b/>
          <w:bCs/>
        </w:rPr>
      </w:pPr>
      <w:r>
        <w:rPr>
          <w:b/>
          <w:bCs/>
        </w:rPr>
        <w:t>B. Published References</w:t>
      </w:r>
    </w:p>
    <w:p>
      <w:pPr>
        <w:pStyle w:val="Normal"/>
        <w:spacing w:before="0" w:after="100"/>
        <w:rPr>
          <w:rFonts w:ascii="Arial" w:hAnsi="Arial" w:eastAsia="Arial" w:cs="Arial"/>
          <w:sz w:val="22"/>
          <w:szCs w:val="22"/>
        </w:rPr>
      </w:pPr>
      <w:r>
        <w:rPr>
          <w:rFonts w:eastAsia="Arial" w:cs="Arial" w:ascii="Arial" w:hAnsi="Arial"/>
          <w:sz w:val="22"/>
          <w:szCs w:val="22"/>
        </w:rPr>
        <w:t>Peer-reviewed literature and clinical databases cited across report sections. Each assigned a bracketed citation number [#] continuing from the data files above.</w:t>
      </w:r>
    </w:p>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11-Ketotestosterone / 11-Oxyandrogen Biology</w:t>
      </w:r>
    </w:p>
    <w:tbl>
      <w:tblPr>
        <w:tblW w:w="9400" w:type="dxa"/>
        <w:jc w:val="left"/>
        <w:tblInd w:w="0" w:type="dxa"/>
        <w:tblLayout w:type="fixed"/>
        <w:tblCellMar>
          <w:top w:w="60" w:type="dxa"/>
          <w:left w:w="100" w:type="dxa"/>
          <w:bottom w:w="60" w:type="dxa"/>
          <w:right w:w="100" w:type="dxa"/>
        </w:tblCellMar>
      </w:tblPr>
      <w:tblGrid>
        <w:gridCol w:w="599"/>
        <w:gridCol w:w="8801"/>
      </w:tblGrid>
      <w:tr>
        <w:trPr/>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w:t>
            </w:r>
          </w:p>
        </w:tc>
        <w:tc>
          <w:tcPr>
            <w:tcW w:w="88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Reference</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[23]</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Idkowiak J et al. (2018). 11-ketotestosterone is the dominant circulating bioactive androgen during normal and premature adrenarche. Journal of Clinical Endocrinology &amp; Metabolism 103(12):4589-4598. — Establishes 11-KT as the primary bioactive androgen in prepubertal children, entirely adrenal, entirely gonad-independent.</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[24]</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Kamata T et al. (2023). Adrenal gland involvement in 11-ketotestosterone production in prepubertal children analyzed using LC-MS/MS. Frontiers in Endocrinology. PMC9895773. — Confirms adrenal CYP11B1 as the enzyme producing 11-KT precursors.</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[25]</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Storbeck KH et al. (2019). 11-oxyandrogens as biomarkers of adrenal hyperandrogenism. Clinical Chemistry. — Characterizes the 11-oxyandrogen pathway in human adrenal tissue.</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[26]</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Barnard L et al. (2014). Characterization of 11-oxyandrogens in human adrenal tissue. J Clin Endocrinol Metab. — Biochemical characterization of 11-oxyandrogen synthesis.</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[27]</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O'Reilly MW et al. (2017). 11-oxyandrogens as a novel class of human androgens. Endocrinology 162(3):bqaa231. — 11-oxygenated estrogens do not contribute to the circulating estrogen pool.</w:t>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Blood Group / Transfusion</w:t>
      </w:r>
    </w:p>
    <w:tbl>
      <w:tblPr>
        <w:tblW w:w="9400" w:type="dxa"/>
        <w:jc w:val="left"/>
        <w:tblInd w:w="0" w:type="dxa"/>
        <w:tblLayout w:type="fixed"/>
        <w:tblCellMar>
          <w:top w:w="60" w:type="dxa"/>
          <w:left w:w="100" w:type="dxa"/>
          <w:bottom w:w="60" w:type="dxa"/>
          <w:right w:w="100" w:type="dxa"/>
        </w:tblCellMar>
      </w:tblPr>
      <w:tblGrid>
        <w:gridCol w:w="599"/>
        <w:gridCol w:w="8801"/>
      </w:tblGrid>
      <w:tr>
        <w:trPr/>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w:t>
            </w:r>
          </w:p>
        </w:tc>
        <w:tc>
          <w:tcPr>
            <w:tcW w:w="88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Reference</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[28]</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Soejima M, Koda Y. (2023). FUT1 and FUT2 variants in Bombay phenotype. Scientific Reports.</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[29]</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Zhang R et al. (2025). Novel Rh-null frameshift variant in RHAG. ScienceDirect S1567576924025153.</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[30]</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Cleveland Clinic. (2025). Golden Blood: Rh-null phenotype review.</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[31]</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NCBI Bookshelf NBK2268. The Hh Blood Group.</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[32]</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NCBI Bookshelf NBK2269. The Rh Blood Group.</w:t>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Hormone Receptors</w:t>
      </w:r>
    </w:p>
    <w:tbl>
      <w:tblPr>
        <w:tblW w:w="9400" w:type="dxa"/>
        <w:jc w:val="left"/>
        <w:tblInd w:w="0" w:type="dxa"/>
        <w:tblLayout w:type="fixed"/>
        <w:tblCellMar>
          <w:top w:w="60" w:type="dxa"/>
          <w:left w:w="100" w:type="dxa"/>
          <w:bottom w:w="60" w:type="dxa"/>
          <w:right w:w="100" w:type="dxa"/>
        </w:tblCellMar>
      </w:tblPr>
      <w:tblGrid>
        <w:gridCol w:w="599"/>
        <w:gridCol w:w="8801"/>
      </w:tblGrid>
      <w:tr>
        <w:trPr/>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w:t>
            </w:r>
          </w:p>
        </w:tc>
        <w:tc>
          <w:tcPr>
            <w:tcW w:w="88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Reference</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[33]</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Smith EP et al. (1994). Estrogen resistance from mutation in estrogen receptor gene. NEJM 331(16):1056-1061.</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[34]</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Quaynor SD et al. (2016). Delayed puberty and estrogen resistance in a woman with estrogen receptor alpha variant. JCEM 101(9):3456-3465.</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[35]</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Mongan NP et al. (2016). Androgen insensitivity syndrome with deep intronic AR mutations. Scientific Reports. doi:10.1038/srep32819. — 20% of CAIS cases have normal AR coding with intronic splice variants.</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[36]</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Mendonca BB et al. (2022). Androgen insensitivity syndrome review. PMC7865707.</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[37]</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Maione L et al. (2025). Novel ESR1 missense variant. ScienceDirect.</w:t>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Chimerism</w:t>
      </w:r>
    </w:p>
    <w:tbl>
      <w:tblPr>
        <w:tblW w:w="9400" w:type="dxa"/>
        <w:jc w:val="left"/>
        <w:tblInd w:w="0" w:type="dxa"/>
        <w:tblLayout w:type="fixed"/>
        <w:tblCellMar>
          <w:top w:w="60" w:type="dxa"/>
          <w:left w:w="100" w:type="dxa"/>
          <w:bottom w:w="60" w:type="dxa"/>
          <w:right w:w="100" w:type="dxa"/>
        </w:tblCellMar>
      </w:tblPr>
      <w:tblGrid>
        <w:gridCol w:w="599"/>
        <w:gridCol w:w="8801"/>
      </w:tblGrid>
      <w:tr>
        <w:trPr/>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w:t>
            </w:r>
          </w:p>
        </w:tc>
        <w:tc>
          <w:tcPr>
            <w:tcW w:w="88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Reference</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[38]</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Bradbury JT. (1987). Testes of XX/XY chimeric mice develop from fetal ovotestes. Developmental Genetics 8(4):405-415.</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[39]</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Rieke A et al. (2022). 46,XX/46,XY chimerism and human sexual development. OBM Genetics 6(2):156.</w:t>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DNA Repair</w:t>
      </w:r>
    </w:p>
    <w:tbl>
      <w:tblPr>
        <w:tblW w:w="9400" w:type="dxa"/>
        <w:jc w:val="left"/>
        <w:tblInd w:w="0" w:type="dxa"/>
        <w:tblLayout w:type="fixed"/>
        <w:tblCellMar>
          <w:top w:w="60" w:type="dxa"/>
          <w:left w:w="100" w:type="dxa"/>
          <w:bottom w:w="60" w:type="dxa"/>
          <w:right w:w="100" w:type="dxa"/>
        </w:tblCellMar>
      </w:tblPr>
      <w:tblGrid>
        <w:gridCol w:w="599"/>
        <w:gridCol w:w="8801"/>
      </w:tblGrid>
      <w:tr>
        <w:trPr/>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w:t>
            </w:r>
          </w:p>
        </w:tc>
        <w:tc>
          <w:tcPr>
            <w:tcW w:w="88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Reference</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[40]</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Zhang F et al. (2009). PALB2 links BRCA1 and BRCA2 in the DNA-damage response. PNAS 106(17):6790-6795.</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[41]</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Garvin T, Bhardwaj A. (2025). BRCA1 and BRCA2 co-regulation by DREAM and RB:E2F. Cell Death &amp; Differentiation.</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[42]</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Dunce JM, Davies OR. (2024). BRCA2 stabilises RAD51/DMC1 filaments. Nature Communications. PMC11436757.</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[43]</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Bhargava R et al. (2008). BRCA1 in immunoglobulin gene conversion in B lymphocytes. PMC2267027.</w:t>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Pigmentation</w:t>
      </w:r>
    </w:p>
    <w:tbl>
      <w:tblPr>
        <w:tblW w:w="9400" w:type="dxa"/>
        <w:jc w:val="left"/>
        <w:tblInd w:w="0" w:type="dxa"/>
        <w:tblLayout w:type="fixed"/>
        <w:tblCellMar>
          <w:top w:w="60" w:type="dxa"/>
          <w:left w:w="100" w:type="dxa"/>
          <w:bottom w:w="60" w:type="dxa"/>
          <w:right w:w="100" w:type="dxa"/>
        </w:tblCellMar>
      </w:tblPr>
      <w:tblGrid>
        <w:gridCol w:w="599"/>
        <w:gridCol w:w="8801"/>
      </w:tblGrid>
      <w:tr>
        <w:trPr/>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w:t>
            </w:r>
          </w:p>
        </w:tc>
        <w:tc>
          <w:tcPr>
            <w:tcW w:w="88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Reference</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[44]</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Sturm RA et al. (2008). A single SNP in an evolutionary conserved region within intron 86 of the HERC2 gene determines human blue-brown eye color. Am J Hum Genet 82(2):424-431.</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[45]</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Eiberg H et al. (2008). Blue eye color in humans may be caused by a perfectly associated founder mutation in a regulatory element located within the HERC2 gene inhibiting OCA2 expression. Hum Genet 123(2):177-187.</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[46]</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Sulem P et al. (2008). Two newly identified genetic determinants of pigmentation in Europeans. Nature Genetics 40(7):835-837. — TPCN2 Met484Leu and Gly734Glu associated with blond vs brown hair.</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[47]</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Graf J et al. (2005). SLC45A2 polymorphisms associated with human pigmentation. — L374F associated with blond/red hair, pale skin, blue eyes, freckles.</w:t>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Neural / Neurotransmitter</w:t>
      </w:r>
    </w:p>
    <w:tbl>
      <w:tblPr>
        <w:tblW w:w="9400" w:type="dxa"/>
        <w:jc w:val="left"/>
        <w:tblInd w:w="0" w:type="dxa"/>
        <w:tblLayout w:type="fixed"/>
        <w:tblCellMar>
          <w:top w:w="60" w:type="dxa"/>
          <w:left w:w="100" w:type="dxa"/>
          <w:bottom w:w="60" w:type="dxa"/>
          <w:right w:w="100" w:type="dxa"/>
        </w:tblCellMar>
      </w:tblPr>
      <w:tblGrid>
        <w:gridCol w:w="599"/>
        <w:gridCol w:w="8801"/>
      </w:tblGrid>
      <w:tr>
        <w:trPr/>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w:t>
            </w:r>
          </w:p>
        </w:tc>
        <w:tc>
          <w:tcPr>
            <w:tcW w:w="88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Reference</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[48]</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Penagarikano O et al. (2011). Absence of CNTNAP2 leads to epilepsy, neuronal migration abnormalities, and core autism-related deficits. Cell 147(1):235-246.</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[49]</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Zweier C et al. (2009). CNTNAP2 and NRXN1 are mutated in autosomal-recessive Pitt-Hopkins-like mental retardation. Am J Hum Genet 85(5):655-666.</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[50]</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Napoli E et al. (2023). Sexual dimorphism in social behaviour of Cntnap2 KO mice. Communications Biology. PMC10427688. — Social and synaptic deficits are male-specific and androgen-dependent.</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[51]</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Bond C et al. (1998). Single-nucleotide polymorphism in human mu opioid receptor gene alters beta-endorphin binding. PNAS 95:9608-9613.</w:t>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Pharmacogenomics</w:t>
      </w:r>
    </w:p>
    <w:tbl>
      <w:tblPr>
        <w:tblW w:w="9400" w:type="dxa"/>
        <w:jc w:val="left"/>
        <w:tblInd w:w="0" w:type="dxa"/>
        <w:tblLayout w:type="fixed"/>
        <w:tblCellMar>
          <w:top w:w="60" w:type="dxa"/>
          <w:left w:w="100" w:type="dxa"/>
          <w:bottom w:w="60" w:type="dxa"/>
          <w:right w:w="100" w:type="dxa"/>
        </w:tblCellMar>
      </w:tblPr>
      <w:tblGrid>
        <w:gridCol w:w="599"/>
        <w:gridCol w:w="8801"/>
      </w:tblGrid>
      <w:tr>
        <w:trPr/>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w:t>
            </w:r>
          </w:p>
        </w:tc>
        <w:tc>
          <w:tcPr>
            <w:tcW w:w="88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Reference</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[52]</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PharmGKB — CYP2D6 clinical guidelines. cpicpgx.org.</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[53]</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Ueda K et al. (1992). Human P-glycoprotein transports cortisol, aldosterone, and dexamethasone. J Biol Chem. — Establishes ABCB1 steroid transport.</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[54]</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Kishimoto W et al. (2004). CYP2D6 hydroxylation of progesterone. Molecular Brain Research. — CYP2D6 catalyzes 6β-, 16α-, and 21-hydroxylation of progesterone.</w:t>
            </w:r>
          </w:p>
        </w:tc>
      </w:tr>
    </w:tbl>
    <w:p>
      <w:pPr>
        <w:pStyle w:val="Normal"/>
        <w:spacing w:before="0" w:after="100"/>
        <w:rPr>
          <w:rFonts w:ascii="Arial" w:hAnsi="Arial"/>
        </w:rPr>
      </w:pPr>
      <w:r>
        <w:rPr>
          <w:rFonts w:ascii="Arial" w:hAnsi="Arial"/>
        </w:rPr>
      </w:r>
    </w:p>
    <w:p>
      <w:pPr>
        <w:pStyle w:val="Heading2"/>
        <w:spacing w:before="240" w:after="150"/>
        <w:rPr>
          <w:rFonts w:ascii="Arial" w:hAnsi="Arial"/>
          <w:b/>
          <w:bCs/>
        </w:rPr>
      </w:pPr>
      <w:r>
        <w:rPr>
          <w:b/>
          <w:bCs/>
        </w:rPr>
        <w:t>11-KT in Non-Human Species</w:t>
      </w:r>
    </w:p>
    <w:tbl>
      <w:tblPr>
        <w:tblW w:w="9400" w:type="dxa"/>
        <w:jc w:val="left"/>
        <w:tblInd w:w="0" w:type="dxa"/>
        <w:tblLayout w:type="fixed"/>
        <w:tblCellMar>
          <w:top w:w="60" w:type="dxa"/>
          <w:left w:w="100" w:type="dxa"/>
          <w:bottom w:w="60" w:type="dxa"/>
          <w:right w:w="100" w:type="dxa"/>
        </w:tblCellMar>
      </w:tblPr>
      <w:tblGrid>
        <w:gridCol w:w="599"/>
        <w:gridCol w:w="8801"/>
      </w:tblGrid>
      <w:tr>
        <w:trPr/>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w:t>
            </w:r>
          </w:p>
        </w:tc>
        <w:tc>
          <w:tcPr>
            <w:tcW w:w="88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Reference</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[55]</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Borg B. (1994). Androgens in teleost fishes. Comparative Biochemistry and Physiology 109(3):219-245.</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[56]</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Mayer I et al. (1990). 11-ketotestosterone in plasma of the Atlantic salmon during the reproductive cycle. General and Comparative Endocrinology.</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[57]</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Tokarz J et al. (2015). Steroids in teleost fishes: a functional point of view. Steroids 103:123-144.</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[58]</w:t>
            </w:r>
          </w:p>
        </w:tc>
        <w:tc>
          <w:tcPr>
            <w:tcW w:w="88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Yazawa T et al. (2008). 11-KT production in porcine adrenal glands. Molecular and Cellular Endocrinology. — 11-KT &gt;10-fold higher than testosterone in female pigs.</w:t>
            </w:r>
          </w:p>
        </w:tc>
      </w:tr>
    </w:tbl>
    <w:p>
      <w:pPr>
        <w:pStyle w:val="Normal"/>
        <w:spacing w:before="0" w:after="100"/>
        <w:rPr>
          <w:rFonts w:ascii="Arial" w:hAnsi="Arial"/>
        </w:rPr>
      </w:pPr>
      <w:r>
        <w:rPr>
          <w:rFonts w:ascii="Arial" w:hAnsi="Arial"/>
        </w:rPr>
      </w:r>
      <w:r>
        <w:br w:type="page"/>
      </w:r>
    </w:p>
    <w:p>
      <w:pPr>
        <w:pStyle w:val="Normal"/>
        <w:rPr>
          <w:rFonts w:ascii="Arial" w:hAnsi="Arial"/>
        </w:rPr>
      </w:pPr>
      <w:r>
        <w:rPr>
          <w:rFonts w:ascii="Arial" w:hAnsi="Arial"/>
        </w:rPr>
      </w:r>
    </w:p>
    <w:p>
      <w:pPr>
        <w:pStyle w:val="Heading1"/>
        <w:spacing w:before="360" w:after="200"/>
        <w:rPr>
          <w:rFonts w:ascii="Arial" w:hAnsi="Arial"/>
          <w:b/>
          <w:bCs/>
        </w:rPr>
      </w:pPr>
      <w:r>
        <w:rPr>
          <w:b/>
          <w:bCs/>
        </w:rPr>
        <w:t>C. Pipeline Methodology</w:t>
      </w:r>
    </w:p>
    <w:p>
      <w:pPr>
        <w:pStyle w:val="Normal"/>
        <w:spacing w:before="0" w:after="100"/>
        <w:rPr>
          <w:rFonts w:ascii="Arial" w:hAnsi="Arial" w:eastAsia="Arial" w:cs="Arial"/>
          <w:sz w:val="22"/>
          <w:szCs w:val="22"/>
        </w:rPr>
      </w:pPr>
      <w:r>
        <w:rPr>
          <w:rFonts w:eastAsia="Arial" w:cs="Arial" w:ascii="Arial" w:hAnsi="Arial"/>
          <w:sz w:val="22"/>
          <w:szCs w:val="22"/>
        </w:rPr>
        <w:t>Both GeneDx WGS pipelines use the same architecture: the genedx_wgs_grch37.py and genedx_wgs_grch38.py scripts read the VCF, batch variants in groups of 50, and query the Ensembl REST API at the following endpoints:</w:t>
      </w:r>
    </w:p>
    <w:p>
      <w:pPr>
        <w:pStyle w:val="Normal"/>
        <w:spacing w:before="0" w:after="100"/>
        <w:rPr>
          <w:rFonts w:ascii="Arial" w:hAnsi="Arial"/>
        </w:rPr>
      </w:pPr>
      <w:r>
        <w:rPr>
          <w:rFonts w:ascii="Arial" w:hAnsi="Arial"/>
        </w:rPr>
      </w:r>
    </w:p>
    <w:tbl>
      <w:tblPr>
        <w:tblW w:w="9400" w:type="dxa"/>
        <w:jc w:val="left"/>
        <w:tblInd w:w="0" w:type="dxa"/>
        <w:tblLayout w:type="fixed"/>
        <w:tblCellMar>
          <w:top w:w="60" w:type="dxa"/>
          <w:left w:w="100" w:type="dxa"/>
          <w:bottom w:w="60" w:type="dxa"/>
          <w:right w:w="100" w:type="dxa"/>
        </w:tblCellMar>
      </w:tblPr>
      <w:tblGrid>
        <w:gridCol w:w="2999"/>
        <w:gridCol w:w="3001"/>
        <w:gridCol w:w="3400"/>
      </w:tblGrid>
      <w:tr>
        <w:trPr/>
        <w:tc>
          <w:tcPr>
            <w:tcW w:w="2999"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Endpoint</w:t>
            </w:r>
          </w:p>
        </w:tc>
        <w:tc>
          <w:tcPr>
            <w:tcW w:w="3001"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Method</w:t>
            </w:r>
          </w:p>
        </w:tc>
        <w:tc>
          <w:tcPr>
            <w:tcW w:w="3400" w:type="dxa"/>
            <w:tcBorders>
              <w:top w:val="single" w:sz="2" w:space="0" w:color="999999"/>
              <w:left w:val="single" w:sz="2" w:space="0" w:color="999999"/>
              <w:bottom w:val="single" w:sz="2" w:space="0" w:color="999999"/>
              <w:right w:val="single" w:sz="2" w:space="0" w:color="999999"/>
            </w:tcBorders>
            <w:shd w:fill="D5E8F0" w:val="clear"/>
          </w:tcPr>
          <w:p>
            <w:pPr>
              <w:pStyle w:val="Normal"/>
              <w:rPr>
                <w:rFonts w:ascii="Arial" w:hAnsi="Arial" w:eastAsia="Arial" w:cs="Arial"/>
                <w:b/>
                <w:bCs/>
                <w:sz w:val="20"/>
                <w:szCs w:val="20"/>
              </w:rPr>
            </w:pPr>
            <w:r>
              <w:rPr>
                <w:rFonts w:eastAsia="Arial" w:cs="Arial" w:ascii="Arial" w:hAnsi="Arial"/>
                <w:b/>
                <w:bCs/>
                <w:sz w:val="20"/>
                <w:szCs w:val="20"/>
              </w:rPr>
              <w:t>What it returns</w:t>
            </w:r>
          </w:p>
        </w:tc>
      </w:tr>
      <w:tr>
        <w:trPr/>
        <w:tc>
          <w:tcPr>
            <w:tcW w:w="29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POST /vep/human/region</w:t>
            </w:r>
          </w:p>
        </w:tc>
        <w:tc>
          <w:tcPr>
            <w:tcW w:w="3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Variant consequences by coordinate</w:t>
            </w:r>
          </w:p>
        </w:tc>
        <w:tc>
          <w:tcPr>
            <w:tcW w:w="3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Gene name, consequence type (missense, frameshift, etc.), IMPACT, SIFT, PolyPhen, ClinVar, CADD, colocated variants</w:t>
            </w:r>
          </w:p>
        </w:tc>
      </w:tr>
      <w:tr>
        <w:trPr/>
        <w:tc>
          <w:tcPr>
            <w:tcW w:w="29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POST /variation/human</w:t>
            </w:r>
          </w:p>
        </w:tc>
        <w:tc>
          <w:tcPr>
            <w:tcW w:w="3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Population data by rsID</w:t>
            </w:r>
          </w:p>
        </w:tc>
        <w:tc>
          <w:tcPr>
            <w:tcW w:w="3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Allele frequencies (gnomAD, 1000 Genomes), ClinVar clinical significance, phenotype associations</w:t>
            </w:r>
          </w:p>
        </w:tc>
      </w:tr>
      <w:tr>
        <w:trPr/>
        <w:tc>
          <w:tcPr>
            <w:tcW w:w="29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GET /homology/symbol/human/{gene}</w:t>
            </w:r>
          </w:p>
        </w:tc>
        <w:tc>
          <w:tcPr>
            <w:tcW w:w="3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Ortholog conservation</w:t>
            </w:r>
          </w:p>
        </w:tc>
        <w:tc>
          <w:tcPr>
            <w:tcW w:w="3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Cross-species ortholog list (chimp, gorilla, platypus, etc.)</w:t>
            </w:r>
          </w:p>
        </w:tc>
      </w:tr>
      <w:tr>
        <w:trPr/>
        <w:tc>
          <w:tcPr>
            <w:tcW w:w="2999"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GET /phenotype/gene/homo_sapiens/{gene}</w:t>
            </w:r>
          </w:p>
        </w:tc>
        <w:tc>
          <w:tcPr>
            <w:tcW w:w="3001"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Gene-disease associations</w:t>
            </w:r>
          </w:p>
        </w:tc>
        <w:tc>
          <w:tcPr>
            <w:tcW w:w="3400" w:type="dxa"/>
            <w:tcBorders>
              <w:top w:val="single" w:sz="2" w:space="0" w:color="999999"/>
              <w:left w:val="single" w:sz="2" w:space="0" w:color="999999"/>
              <w:bottom w:val="single" w:sz="2" w:space="0" w:color="999999"/>
              <w:right w:val="single" w:sz="2" w:space="0" w:color="999999"/>
            </w:tcBorders>
          </w:tcPr>
          <w:p>
            <w:pPr>
              <w:pStyle w:val="Normal"/>
              <w:rPr>
                <w:rFonts w:ascii="Arial" w:hAnsi="Arial" w:eastAsia="Arial" w:cs="Arial"/>
                <w:b w:val="false"/>
                <w:bCs w:val="false"/>
                <w:sz w:val="20"/>
                <w:szCs w:val="20"/>
              </w:rPr>
            </w:pPr>
            <w:r>
              <w:rPr>
                <w:rFonts w:eastAsia="Arial" w:cs="Arial" w:ascii="Arial" w:hAnsi="Arial"/>
                <w:b w:val="false"/>
                <w:bCs w:val="false"/>
                <w:sz w:val="20"/>
                <w:szCs w:val="20"/>
              </w:rPr>
              <w:t>Known phenotype associations from OMIM, ClinVar, GWAS Catalog</w:t>
            </w:r>
          </w:p>
        </w:tc>
      </w:tr>
    </w:tbl>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Scoring tiers: EXCEPTIONAL (≥200), HIGH (≥100), MODERATE (≥30), BACKGROUND (&lt;30). Scoring components: T1 (base quality), T2 (rarity/allele frequency), T3 (functional consequence), T4 (ClinVar), T5 (gene priority tier), T6 (ortholog conservation), T7 (phenotype associations), plus zygosity boost (+15 for homozygous).</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Gene priority tiers used in scoring: TIER_A (BRCA1, BRCA2, AR, ESR1, RHD, RHCE, RHAG, FUT1, FUT2, HSD11B1, HSD11B2, CYP11B1, CYP19A1, SRD5A2, TP53, APC, MLH1, MSH2, SCN5A, KCNQ1, KCNH2, RYR2, LDLR, PCSK9, APOB, FBN1, ACTA2, COL3A1, NF1, NF2, VHL, MEN1, RET, SMAD4, PALB2, FANCC). TIER_B (MTHFR, MTR, MTRR, CBS, CYP2C19, CYP2D6, CYP3A5, CYP2B6, NAT2, VKORC1, UGT1A1, ABCB1, SLCO1B1, NOS3, AGTR1, ACE, ADD1, PROS1, F13A1, F5, F2, HFE, TMPRSS6, CNTNAP2, NRXN1, PTPN22, CTLA4, IRF5). TIER_C (COMT, MTHFD1, PNPLA3, ACTN3, ADRB2, ADRB3, DRD3, HTR2A, OPRM1, MC1R, ASIP, HERC2).</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CRITICAL METHODOLOGICAL NOTE: The scored files (HIGH, MODERATE, etc.) contain ONLY variants the Ensembl API could annotate. Variants at known gene loci where the API returned no annotation are routed to NOT_IN_ANY_DB. This means NOT_IN_ANY_DB is NOT a dump of irrelevant data — it contains structural variants at pathway gene loci that the scored pipeline could not see. Every section in this report cross-checks findings against NOT_IN_ANY_DB at the relevant genomic coordinates.</w:t>
      </w:r>
    </w:p>
    <w:p>
      <w:pPr>
        <w:pStyle w:val="Heading1"/>
        <w:spacing w:before="360" w:after="200"/>
        <w:rPr>
          <w:rFonts w:ascii="Arial" w:hAnsi="Arial"/>
        </w:rPr>
      </w:pPr>
      <w:r>
        <w:rPr>
          <w:b/>
          <w:bCs/>
        </w:rPr>
        <w:t>D. How Citations Are Used</w:t>
      </w:r>
    </w:p>
    <w:p>
      <w:pPr>
        <w:pStyle w:val="Normal"/>
        <w:spacing w:before="0" w:after="100"/>
        <w:rPr>
          <w:rFonts w:ascii="Arial" w:hAnsi="Arial" w:eastAsia="Arial" w:cs="Arial"/>
          <w:sz w:val="22"/>
          <w:szCs w:val="22"/>
        </w:rPr>
      </w:pPr>
      <w:r>
        <w:rPr>
          <w:rFonts w:eastAsia="Arial" w:cs="Arial" w:ascii="Arial" w:hAnsi="Arial"/>
          <w:sz w:val="22"/>
          <w:szCs w:val="22"/>
        </w:rPr>
        <w:t>Throughout all report sections, findings are cited as [#] referring back to this legend. Examples:</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'HSD11B2 scored as the #1 variant in the AncestryDNA HIGH tier at 300 points [4], with pathogenic ClinVar classification.' — [4] points to AncestryDNA_Magus_GRCh38_SCORED_HIGH.tsv.</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'CYP19A1 has zero variants in GRCh37 scored files [9][10] and GRCh38 scored files [14][15], but 14 structural variants at chr15:51,100,000-52,000,000 in GRCh37 NOT_IN_ANY_DB [12], including a CAGCAG repeat contraction at chr15:51,751,091.' — [9][10][12][14][15] point to specific pipeline output files.</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'In prepubertal children, 11-KT is the dominant bioactive androgen [23], produced entirely by the adrenal gland via CYP11B1 [24], independent of gonadal function.' — [23][24] point to Idkowiak et al. and Kamata et al.</w:t>
      </w:r>
    </w:p>
    <w:p>
      <w:pPr>
        <w:pStyle w:val="Normal"/>
        <w:spacing w:before="0" w:after="100"/>
        <w:rPr>
          <w:rFonts w:ascii="Arial" w:hAnsi="Arial"/>
        </w:rPr>
      </w:pPr>
      <w:r>
        <w:rPr>
          <w:rFonts w:ascii="Arial" w:hAnsi="Arial"/>
        </w:rPr>
      </w:r>
    </w:p>
    <w:p>
      <w:pPr>
        <w:pStyle w:val="Normal"/>
        <w:spacing w:before="0" w:after="10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'ChrX:66765161 AGCAGC→AGCAGCCGCAGC [12]' — a specific gene line from a specific file, cited by legend number.</w:t>
      </w:r>
    </w:p>
    <w:p>
      <w:pPr>
        <w:pStyle w:val="Normal"/>
        <w:spacing w:before="0" w:after="100"/>
        <w:rPr>
          <w:rFonts w:ascii="Arial" w:hAnsi="Arial"/>
        </w:rPr>
      </w:pPr>
      <w:r>
        <w:rPr>
          <w:rFonts w:ascii="Arial" w:hAnsi="Arial"/>
        </w:rPr>
      </w:r>
    </w:p>
    <w:p>
      <w:pPr>
        <w:pStyle w:val="Normal"/>
        <w:spacing w:before="0" w:after="100"/>
        <w:rPr>
          <w:rFonts w:ascii="Arial" w:hAnsi="Arial" w:eastAsia="Arial" w:cs="Arial"/>
          <w:b w:val="false"/>
          <w:bCs w:val="false"/>
          <w:i/>
          <w:i/>
          <w:iCs/>
          <w:color w:val="7B2D26"/>
          <w:sz w:val="22"/>
          <w:szCs w:val="22"/>
        </w:rPr>
      </w:pPr>
      <w:r>
        <w:rPr>
          <w:rFonts w:eastAsia="Arial" w:cs="Arial" w:ascii="Arial" w:hAnsi="Arial"/>
          <w:b w:val="false"/>
          <w:bCs w:val="false"/>
          <w:i/>
          <w:iCs/>
          <w:color w:val="7B2D26"/>
          <w:sz w:val="22"/>
          <w:szCs w:val="22"/>
        </w:rPr>
        <w:t>Data lines are presented verbatim from source files with the citation number identifying which file they come from. No data lines are paraphrased or summarized. They are copied directly.</w:t>
      </w:r>
    </w:p>
    <w:sectPr>
      <w:footerReference w:type="default" r:id="rId2"/>
      <w:type w:val="nextPage"/>
      <w:pgSz w:w="12240" w:h="15840"/>
      <w:pgMar w:left="1440" w:right="1440" w:gutter="0" w:header="0" w:top="1440" w:footer="1440" w:bottom="1976"/>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Page </w:t>
    </w:r>
    <w:r>
      <w:rPr/>
      <w:fldChar w:fldCharType="begin"/>
    </w:r>
    <w:r>
      <w:rPr/>
      <w:instrText xml:space="preserve"> PAGE </w:instrText>
    </w:r>
    <w:r>
      <w:rPr/>
      <w:fldChar w:fldCharType="separate"/>
    </w:r>
    <w:r>
      <w:rPr/>
      <w:t>80</w:t>
    </w:r>
    <w:r>
      <w:rPr/>
      <w:fldChar w:fldCharType="end"/>
    </w:r>
    <w:r>
      <w:rPr/>
      <w:t xml:space="preserve"> of </w:t>
    </w:r>
    <w:r>
      <w:rPr/>
      <w:fldChar w:fldCharType="begin"/>
    </w:r>
    <w:r>
      <w:rPr/>
      <w:instrText xml:space="preserve"> NUMPAGES </w:instrText>
    </w:r>
    <w:r>
      <w:rPr/>
      <w:fldChar w:fldCharType="separate"/>
    </w:r>
    <w:r>
      <w:rPr/>
      <w:t>80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5"/>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Heading1">
    <w:name w:val="Heading 1"/>
    <w:basedOn w:val="Heading"/>
    <w:qFormat/>
    <w:pPr>
      <w:numPr>
        <w:ilvl w:val="0"/>
        <w:numId w:val="0"/>
      </w:numPr>
      <w:spacing w:before="360" w:after="200"/>
      <w:outlineLvl w:val="0"/>
    </w:pPr>
    <w:rPr>
      <w:rFonts w:ascii="Arial" w:hAnsi="Arial" w:eastAsia="Arial" w:cs="Arial"/>
      <w:b/>
      <w:bCs/>
      <w:color w:val="1F3864"/>
      <w:sz w:val="32"/>
      <w:szCs w:val="32"/>
    </w:rPr>
  </w:style>
  <w:style w:type="paragraph" w:styleId="Heading2">
    <w:name w:val="Heading 2"/>
    <w:basedOn w:val="Heading"/>
    <w:qFormat/>
    <w:pPr>
      <w:numPr>
        <w:ilvl w:val="0"/>
        <w:numId w:val="0"/>
      </w:numPr>
      <w:spacing w:before="240" w:after="150"/>
      <w:outlineLvl w:val="1"/>
    </w:pPr>
    <w:rPr>
      <w:rFonts w:ascii="Arial" w:hAnsi="Arial" w:eastAsia="Arial" w:cs="Arial"/>
      <w:b/>
      <w:bCs/>
      <w:color w:val="2E75B6"/>
      <w:sz w:val="26"/>
      <w:szCs w:val="26"/>
    </w:rPr>
  </w:style>
  <w:style w:type="paragraph" w:styleId="Heading3">
    <w:name w:val="Heading 3"/>
    <w:basedOn w:val="Heading"/>
    <w:qFormat/>
    <w:pPr>
      <w:numPr>
        <w:ilvl w:val="0"/>
        <w:numId w:val="0"/>
      </w:numPr>
      <w:spacing w:before="200" w:after="120"/>
      <w:outlineLvl w:val="2"/>
    </w:pPr>
    <w:rPr>
      <w:rFonts w:ascii="Arial" w:hAnsi="Arial" w:eastAsia="Arial" w:cs="Arial"/>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Arial" w:hAnsi="Arial" w:eastAsia="Arial" w:cs="Arial"/>
      <w:b/>
      <w:bCs/>
      <w:color w:val="auto"/>
      <w:kern w:val="0"/>
      <w:sz w:val="22"/>
      <w:szCs w:val="22"/>
      <w:lang w:val="en-US" w:eastAsia="zh-CN" w:bidi="hi-IN"/>
    </w:rPr>
  </w:style>
  <w:style w:type="paragraph" w:styleId="ListParagraph">
    <w:name w:val="List Paragraph"/>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106</TotalTime>
  <Application>LibreOffice/24.2.7.2$Linux_X86_64 LibreOffice_project/420$Build-2</Application>
  <AppVersion>15.0000</AppVersion>
  <Pages>80</Pages>
  <Words>20629</Words>
  <Characters>122985</Characters>
  <CharactersWithSpaces>143729</CharactersWithSpaces>
  <Paragraphs>2041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2026-06-17T12:28:41Z</dcterms:created>
  <dc:creator>Un-named</dc:creator>
  <dc:description/>
  <dc:language>en-US</dc:language>
  <cp:lastModifiedBy/>
  <dcterms:modified xsi:type="dcterms:W3CDTF">2026-06-17T15:02:20Z</dcterms:modified>
  <cp:revision>23</cp:revision>
  <dc:subject/>
  <dc:title/>
</cp:coreProperties>
</file>