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44"/>
        </w:rPr>
        <w:t>INTEGRATED IMAGING AND GENOMIC ANALYSIS REPORT</w:t>
      </w:r>
    </w:p>
    <w:p/>
    <w:p>
      <w:pPr>
        <w:jc w:val="center"/>
      </w:pPr>
      <w:r>
        <w:rPr>
          <w:color w:val="444444"/>
          <w:sz w:val="24"/>
        </w:rPr>
        <w:t>CT Abdomen/Pelvis · Abdominal Ultrasound · Whole Genome Sequencing</w:t>
        <w:br/>
        <w:t>Cross-Referential Analysis — XX/XY Tetragametic Chimerism with Bilateral Orchiectomy</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Patient Name</w:t>
            </w:r>
          </w:p>
        </w:tc>
        <w:tc>
          <w:tcPr>
            <w:tcW w:type="dxa" w:w="4680"/>
            <w:shd w:val="clear" w:color="auto" w:fill="EBF3FC"/>
          </w:tcPr>
          <w:p>
            <w:r>
              <w:rPr>
                <w:sz w:val="18"/>
              </w:rPr>
              <w:t>AYLESWORTH, JAYME A</w:t>
            </w:r>
          </w:p>
        </w:tc>
      </w:tr>
      <w:tr>
        <w:tc>
          <w:tcPr>
            <w:tcW w:type="dxa" w:w="4680"/>
            <w:shd w:val="clear" w:color="auto" w:fill="FFFFFF"/>
          </w:tcPr>
          <w:p>
            <w:r>
              <w:rPr>
                <w:b/>
                <w:sz w:val="18"/>
              </w:rPr>
              <w:t>Report Date</w:t>
            </w:r>
          </w:p>
        </w:tc>
        <w:tc>
          <w:tcPr>
            <w:tcW w:type="dxa" w:w="4680"/>
            <w:shd w:val="clear" w:color="auto" w:fill="FFFFFF"/>
          </w:tcPr>
          <w:p>
            <w:r>
              <w:rPr>
                <w:sz w:val="18"/>
              </w:rPr>
              <w:t>2026-06-27</w:t>
            </w:r>
          </w:p>
        </w:tc>
      </w:tr>
      <w:tr>
        <w:tc>
          <w:tcPr>
            <w:tcW w:type="dxa" w:w="4680"/>
            <w:shd w:val="clear" w:color="auto" w:fill="EBF3FC"/>
          </w:tcPr>
          <w:p>
            <w:r>
              <w:rPr>
                <w:b/>
                <w:sz w:val="18"/>
              </w:rPr>
              <w:t>Imaging Date (CT)</w:t>
            </w:r>
          </w:p>
        </w:tc>
        <w:tc>
          <w:tcPr>
            <w:tcW w:type="dxa" w:w="4680"/>
            <w:shd w:val="clear" w:color="auto" w:fill="EBF3FC"/>
          </w:tcPr>
          <w:p>
            <w:r>
              <w:rPr>
                <w:sz w:val="18"/>
              </w:rPr>
              <w:t>2010-06-07</w:t>
            </w:r>
          </w:p>
        </w:tc>
      </w:tr>
      <w:tr>
        <w:tc>
          <w:tcPr>
            <w:tcW w:type="dxa" w:w="4680"/>
            <w:shd w:val="clear" w:color="auto" w:fill="FFFFFF"/>
          </w:tcPr>
          <w:p>
            <w:r>
              <w:rPr>
                <w:b/>
                <w:sz w:val="18"/>
              </w:rPr>
              <w:t>Imaging Date (US)</w:t>
            </w:r>
          </w:p>
        </w:tc>
        <w:tc>
          <w:tcPr>
            <w:tcW w:type="dxa" w:w="4680"/>
            <w:shd w:val="clear" w:color="auto" w:fill="FFFFFF"/>
          </w:tcPr>
          <w:p>
            <w:r>
              <w:rPr>
                <w:sz w:val="18"/>
              </w:rPr>
              <w:t>2010-07-01</w:t>
            </w:r>
          </w:p>
        </w:tc>
      </w:tr>
      <w:tr>
        <w:tc>
          <w:tcPr>
            <w:tcW w:type="dxa" w:w="4680"/>
            <w:shd w:val="clear" w:color="auto" w:fill="EBF3FC"/>
          </w:tcPr>
          <w:p>
            <w:r>
              <w:rPr>
                <w:b/>
                <w:sz w:val="18"/>
              </w:rPr>
              <w:t>Patient Age at Imaging</w:t>
            </w:r>
          </w:p>
        </w:tc>
        <w:tc>
          <w:tcPr>
            <w:tcW w:type="dxa" w:w="4680"/>
            <w:shd w:val="clear" w:color="auto" w:fill="EBF3FC"/>
          </w:tcPr>
          <w:p>
            <w:r>
              <w:rPr>
                <w:sz w:val="18"/>
              </w:rPr>
              <w:t>22 years</w:t>
            </w:r>
          </w:p>
        </w:tc>
      </w:tr>
      <w:tr>
        <w:tc>
          <w:tcPr>
            <w:tcW w:type="dxa" w:w="4680"/>
            <w:shd w:val="clear" w:color="auto" w:fill="FFFFFF"/>
          </w:tcPr>
          <w:p>
            <w:r>
              <w:rPr>
                <w:b/>
                <w:sz w:val="18"/>
              </w:rPr>
              <w:t>Recorded Biological Sex</w:t>
            </w:r>
          </w:p>
        </w:tc>
        <w:tc>
          <w:tcPr>
            <w:tcW w:type="dxa" w:w="4680"/>
            <w:shd w:val="clear" w:color="auto" w:fill="FFFFFF"/>
          </w:tcPr>
          <w:p>
            <w:r>
              <w:rPr>
                <w:sz w:val="18"/>
              </w:rPr>
              <w:t>Male (M) — per DICOM metadata</w:t>
            </w:r>
          </w:p>
        </w:tc>
      </w:tr>
      <w:tr>
        <w:tc>
          <w:tcPr>
            <w:tcW w:type="dxa" w:w="4680"/>
            <w:shd w:val="clear" w:color="auto" w:fill="EBF3FC"/>
          </w:tcPr>
          <w:p>
            <w:r>
              <w:rPr>
                <w:b/>
                <w:sz w:val="18"/>
              </w:rPr>
              <w:t>Confirmed Genetics</w:t>
            </w:r>
          </w:p>
        </w:tc>
        <w:tc>
          <w:tcPr>
            <w:tcW w:type="dxa" w:w="4680"/>
            <w:shd w:val="clear" w:color="auto" w:fill="EBF3FC"/>
          </w:tcPr>
          <w:p>
            <w:r>
              <w:rPr>
                <w:sz w:val="18"/>
              </w:rPr>
              <w:t>XX/XY Tetragametic Chimera (WGS-confirmed)</w:t>
            </w:r>
          </w:p>
        </w:tc>
      </w:tr>
      <w:tr>
        <w:tc>
          <w:tcPr>
            <w:tcW w:type="dxa" w:w="4680"/>
            <w:shd w:val="clear" w:color="auto" w:fill="FFFFFF"/>
          </w:tcPr>
          <w:p>
            <w:r>
              <w:rPr>
                <w:b/>
                <w:sz w:val="18"/>
              </w:rPr>
              <w:t>Known Surgical History</w:t>
            </w:r>
          </w:p>
        </w:tc>
        <w:tc>
          <w:tcPr>
            <w:tcW w:type="dxa" w:w="4680"/>
            <w:shd w:val="clear" w:color="auto" w:fill="FFFFFF"/>
          </w:tcPr>
          <w:p>
            <w:r>
              <w:rPr>
                <w:sz w:val="18"/>
              </w:rPr>
              <w:t>Bilateral orchiectomy on or prior to scan dates</w:t>
            </w:r>
          </w:p>
        </w:tc>
      </w:tr>
      <w:tr>
        <w:tc>
          <w:tcPr>
            <w:tcW w:type="dxa" w:w="4680"/>
            <w:shd w:val="clear" w:color="auto" w:fill="EBF3FC"/>
          </w:tcPr>
          <w:p>
            <w:r>
              <w:rPr>
                <w:b/>
                <w:sz w:val="18"/>
              </w:rPr>
              <w:t>CT Protocol</w:t>
            </w:r>
          </w:p>
        </w:tc>
        <w:tc>
          <w:tcPr>
            <w:tcW w:type="dxa" w:w="4680"/>
            <w:shd w:val="clear" w:color="auto" w:fill="EBF3FC"/>
          </w:tcPr>
          <w:p>
            <w:r>
              <w:rPr>
                <w:sz w:val="18"/>
              </w:rPr>
              <w:t>Ureteral ABD Without Contrast</w:t>
            </w:r>
          </w:p>
        </w:tc>
      </w:tr>
      <w:tr>
        <w:tc>
          <w:tcPr>
            <w:tcW w:type="dxa" w:w="4680"/>
            <w:shd w:val="clear" w:color="auto" w:fill="FFFFFF"/>
          </w:tcPr>
          <w:p>
            <w:r>
              <w:rPr>
                <w:b/>
                <w:sz w:val="18"/>
              </w:rPr>
              <w:t>Imaging System (CT)</w:t>
            </w:r>
          </w:p>
        </w:tc>
        <w:tc>
          <w:tcPr>
            <w:tcW w:type="dxa" w:w="4680"/>
            <w:shd w:val="clear" w:color="auto" w:fill="FFFFFF"/>
          </w:tcPr>
          <w:p>
            <w:r>
              <w:rPr>
                <w:sz w:val="18"/>
              </w:rPr>
              <w:t>GE LightSpeed 16-slice; 512×512 matrix; 0.78125 mm pixel spacing; 1.25 mm slice thickness</w:t>
            </w:r>
          </w:p>
        </w:tc>
      </w:tr>
      <w:tr>
        <w:tc>
          <w:tcPr>
            <w:tcW w:type="dxa" w:w="4680"/>
            <w:shd w:val="clear" w:color="auto" w:fill="EBF3FC"/>
          </w:tcPr>
          <w:p>
            <w:r>
              <w:rPr>
                <w:b/>
                <w:sz w:val="18"/>
              </w:rPr>
              <w:t>Imaging System (US)</w:t>
            </w:r>
          </w:p>
        </w:tc>
        <w:tc>
          <w:tcPr>
            <w:tcW w:type="dxa" w:w="4680"/>
            <w:shd w:val="clear" w:color="auto" w:fill="EBF3FC"/>
          </w:tcPr>
          <w:p>
            <w:r>
              <w:rPr>
                <w:sz w:val="18"/>
              </w:rPr>
              <w:t>Siemens Acuson; YBR_FULL photometric; 82 frames</w:t>
            </w:r>
          </w:p>
        </w:tc>
      </w:tr>
      <w:tr>
        <w:tc>
          <w:tcPr>
            <w:tcW w:type="dxa" w:w="4680"/>
            <w:shd w:val="clear" w:color="auto" w:fill="FFFFFF"/>
          </w:tcPr>
          <w:p>
            <w:r>
              <w:rPr>
                <w:b/>
                <w:sz w:val="18"/>
              </w:rPr>
              <w:t>Genomic Report Source</w:t>
            </w:r>
          </w:p>
        </w:tc>
        <w:tc>
          <w:tcPr>
            <w:tcW w:type="dxa" w:w="4680"/>
            <w:shd w:val="clear" w:color="auto" w:fill="FFFFFF"/>
          </w:tcPr>
          <w:p>
            <w:r>
              <w:rPr>
                <w:sz w:val="18"/>
              </w:rPr>
              <w:t>DNA_Genomic_WGS_Ancestry_GRCh37_GRCh38_Full_Report.docx</w:t>
            </w:r>
          </w:p>
        </w:tc>
      </w:tr>
      <w:tr>
        <w:tc>
          <w:tcPr>
            <w:tcW w:type="dxa" w:w="4680"/>
            <w:shd w:val="clear" w:color="auto" w:fill="EBF3FC"/>
          </w:tcPr>
          <w:p>
            <w:r>
              <w:rPr>
                <w:b/>
                <w:sz w:val="18"/>
              </w:rPr>
              <w:t>Analysis Method</w:t>
            </w:r>
          </w:p>
        </w:tc>
        <w:tc>
          <w:tcPr>
            <w:tcW w:type="dxa" w:w="4680"/>
            <w:shd w:val="clear" w:color="auto" w:fill="EBF3FC"/>
          </w:tcPr>
          <w:p>
            <w:r>
              <w:rPr>
                <w:sz w:val="18"/>
              </w:rPr>
              <w:t>Quantitative Hounsfield Unit pixel analysis; connected-component segmentation (scipy)</w:t>
            </w:r>
          </w:p>
        </w:tc>
      </w:tr>
      <w:tr>
        <w:tc>
          <w:tcPr>
            <w:tcW w:type="dxa" w:w="4680"/>
            <w:shd w:val="clear" w:color="auto" w:fill="FFFFFF"/>
          </w:tcPr>
          <w:p>
            <w:r>
              <w:rPr>
                <w:b/>
                <w:sz w:val="18"/>
              </w:rPr>
              <w:t>Prepared By</w:t>
            </w:r>
          </w:p>
        </w:tc>
        <w:tc>
          <w:tcPr>
            <w:tcW w:type="dxa" w:w="4680"/>
            <w:shd w:val="clear" w:color="auto" w:fill="FFFFFF"/>
          </w:tcPr>
          <w:p>
            <w:r>
              <w:rPr>
                <w:sz w:val="18"/>
              </w:rPr>
              <w:t>Computational Analysis — Claude Code (claude-sonnet-4-6)</w:t>
            </w:r>
          </w:p>
        </w:tc>
      </w:tr>
      <w:tr>
        <w:tc>
          <w:tcPr>
            <w:tcW w:type="dxa" w:w="4680"/>
            <w:shd w:val="clear" w:color="auto" w:fill="EBF3FC"/>
          </w:tcPr>
          <w:p>
            <w:r>
              <w:rPr>
                <w:b/>
                <w:sz w:val="18"/>
              </w:rPr>
              <w:t>Document Status</w:t>
            </w:r>
          </w:p>
        </w:tc>
        <w:tc>
          <w:tcPr>
            <w:tcW w:type="dxa" w:w="4680"/>
            <w:shd w:val="clear" w:color="auto" w:fill="EBF3FC"/>
          </w:tcPr>
          <w:p>
            <w:r>
              <w:rPr>
                <w:sz w:val="18"/>
              </w:rPr>
              <w:t>Research/Reference Document — NOT A CLINICAL DIAGNOSIS</w:t>
            </w:r>
          </w:p>
        </w:tc>
      </w:tr>
    </w:tbl>
    <w:p/>
    <w:p>
      <w:pPr>
        <w:jc w:val="center"/>
      </w:pPr>
      <w:r>
        <w:rPr>
          <w:i/>
          <w:color w:val="777777"/>
          <w:sz w:val="16"/>
        </w:rPr>
        <w:t>DISCLAIMER: This document integrates quantitative pixel-level CT analysis with patient-provided genomic report data. All imaging measurements are derived from raw DICOM pixel values. No finding herein constitutes a definitive clinical anatomical identification — non-contrast CT has significant soft-tissue resolution limitations relative to MRI. All genomic data is reproduced from the patient-provided report and is not independently re-verified. This is a cross-referenced synthesis document, not a licensed radiology or clinical genetics report. No fabricated or extrapolated data has been introduced.</w:t>
      </w:r>
    </w:p>
    <w:p>
      <w:r>
        <w:br w:type="page"/>
      </w:r>
    </w:p>
    <w:p>
      <w:pPr>
        <w:jc w:val="left"/>
      </w:pPr>
      <w:r>
        <w:rPr>
          <w:b/>
          <w:color w:val="1B3A5C"/>
          <w:sz w:val="36"/>
        </w:rPr>
        <w:t>SECTION 1 — STUDY INVENTORY AND TECHNICAL PARAMETERS</w:t>
      </w:r>
    </w:p>
    <w:p>
      <w:pPr>
        <w:pBdr>
          <w:bottom w:val="single" w:sz="6" w:space="1" w:color="4A90D9"/>
        </w:pBdr>
      </w:pPr>
    </w:p>
    <w:p/>
    <w:p>
      <w:r>
        <w:rPr>
          <w:sz w:val="20"/>
        </w:rPr>
        <w:t>Four imaging studies were available for analysis. The primary dataset for anatomical assessment is the non-contrast CT ureteral study (SER00003) comprising 365 axial slices at 1.25 mm intervals covering the abdomen and pelvis from z = −439.8 mm (inferior) to z = +15.2 mm (superior).</w:t>
      </w:r>
    </w:p>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E6DA4"/>
          </w:tcPr>
          <w:p>
            <w:r>
              <w:rPr>
                <w:b/>
                <w:color w:val="FFFFFF"/>
                <w:sz w:val="18"/>
              </w:rPr>
              <w:t>Study</w:t>
            </w:r>
          </w:p>
        </w:tc>
        <w:tc>
          <w:tcPr>
            <w:tcW w:type="dxa" w:w="1560"/>
            <w:shd w:val="clear" w:color="auto" w:fill="2E6DA4"/>
          </w:tcPr>
          <w:p>
            <w:r>
              <w:rPr>
                <w:b/>
                <w:color w:val="FFFFFF"/>
                <w:sz w:val="18"/>
              </w:rPr>
              <w:t>Date</w:t>
            </w:r>
          </w:p>
        </w:tc>
        <w:tc>
          <w:tcPr>
            <w:tcW w:type="dxa" w:w="1560"/>
            <w:shd w:val="clear" w:color="auto" w:fill="2E6DA4"/>
          </w:tcPr>
          <w:p>
            <w:r>
              <w:rPr>
                <w:b/>
                <w:color w:val="FFFFFF"/>
                <w:sz w:val="18"/>
              </w:rPr>
              <w:t>Modality</w:t>
            </w:r>
          </w:p>
        </w:tc>
        <w:tc>
          <w:tcPr>
            <w:tcW w:type="dxa" w:w="1560"/>
            <w:shd w:val="clear" w:color="auto" w:fill="2E6DA4"/>
          </w:tcPr>
          <w:p>
            <w:r>
              <w:rPr>
                <w:b/>
                <w:color w:val="FFFFFF"/>
                <w:sz w:val="18"/>
              </w:rPr>
              <w:t>Series</w:t>
            </w:r>
          </w:p>
        </w:tc>
        <w:tc>
          <w:tcPr>
            <w:tcW w:type="dxa" w:w="1560"/>
            <w:shd w:val="clear" w:color="auto" w:fill="2E6DA4"/>
          </w:tcPr>
          <w:p>
            <w:r>
              <w:rPr>
                <w:b/>
                <w:color w:val="FFFFFF"/>
                <w:sz w:val="18"/>
              </w:rPr>
              <w:t>Slices / Frames</w:t>
            </w:r>
          </w:p>
        </w:tc>
        <w:tc>
          <w:tcPr>
            <w:tcW w:type="dxa" w:w="1560"/>
            <w:shd w:val="clear" w:color="auto" w:fill="2E6DA4"/>
          </w:tcPr>
          <w:p>
            <w:r>
              <w:rPr>
                <w:b/>
                <w:color w:val="FFFFFF"/>
                <w:sz w:val="18"/>
              </w:rPr>
              <w:t>Primary Use</w:t>
            </w:r>
          </w:p>
        </w:tc>
      </w:tr>
      <w:tr>
        <w:tc>
          <w:tcPr>
            <w:tcW w:type="dxa" w:w="1560"/>
            <w:shd w:val="clear" w:color="auto" w:fill="F0F7FF"/>
          </w:tcPr>
          <w:p>
            <w:r>
              <w:rPr>
                <w:sz w:val="18"/>
              </w:rPr>
              <w:t>CT Ureteral ABD W/O Contrast</w:t>
            </w:r>
          </w:p>
        </w:tc>
        <w:tc>
          <w:tcPr>
            <w:tcW w:type="dxa" w:w="1560"/>
            <w:shd w:val="clear" w:color="auto" w:fill="F0F7FF"/>
          </w:tcPr>
          <w:p>
            <w:r>
              <w:rPr>
                <w:sz w:val="18"/>
              </w:rPr>
              <w:t>2010-06-07</w:t>
            </w:r>
          </w:p>
        </w:tc>
        <w:tc>
          <w:tcPr>
            <w:tcW w:type="dxa" w:w="1560"/>
            <w:shd w:val="clear" w:color="auto" w:fill="F0F7FF"/>
          </w:tcPr>
          <w:p>
            <w:r>
              <w:rPr>
                <w:sz w:val="18"/>
              </w:rPr>
              <w:t>CT</w:t>
            </w:r>
          </w:p>
        </w:tc>
        <w:tc>
          <w:tcPr>
            <w:tcW w:type="dxa" w:w="1560"/>
            <w:shd w:val="clear" w:color="auto" w:fill="F0F7FF"/>
          </w:tcPr>
          <w:p>
            <w:r>
              <w:rPr>
                <w:sz w:val="18"/>
              </w:rPr>
              <w:t>7 series</w:t>
            </w:r>
          </w:p>
        </w:tc>
        <w:tc>
          <w:tcPr>
            <w:tcW w:type="dxa" w:w="1560"/>
            <w:shd w:val="clear" w:color="auto" w:fill="F0F7FF"/>
          </w:tcPr>
          <w:p>
            <w:r>
              <w:rPr>
                <w:sz w:val="18"/>
              </w:rPr>
              <w:t>678 total</w:t>
              <w:br/>
              <w:t>(365 in SER00003)</w:t>
            </w:r>
          </w:p>
        </w:tc>
        <w:tc>
          <w:tcPr>
            <w:tcW w:type="dxa" w:w="1560"/>
            <w:shd w:val="clear" w:color="auto" w:fill="F0F7FF"/>
          </w:tcPr>
          <w:p>
            <w:r>
              <w:rPr>
                <w:sz w:val="18"/>
              </w:rPr>
              <w:t>Primary anatomical analysis</w:t>
            </w:r>
          </w:p>
        </w:tc>
      </w:tr>
      <w:tr>
        <w:tc>
          <w:tcPr>
            <w:tcW w:type="dxa" w:w="1560"/>
            <w:shd w:val="clear" w:color="auto" w:fill="FFFFFF"/>
          </w:tcPr>
          <w:p>
            <w:r>
              <w:rPr>
                <w:sz w:val="18"/>
              </w:rPr>
              <w:t>Abdominal Ultrasound Complete</w:t>
            </w:r>
          </w:p>
        </w:tc>
        <w:tc>
          <w:tcPr>
            <w:tcW w:type="dxa" w:w="1560"/>
            <w:shd w:val="clear" w:color="auto" w:fill="FFFFFF"/>
          </w:tcPr>
          <w:p>
            <w:r>
              <w:rPr>
                <w:sz w:val="18"/>
              </w:rPr>
              <w:t>2010-07-01</w:t>
            </w:r>
          </w:p>
        </w:tc>
        <w:tc>
          <w:tcPr>
            <w:tcW w:type="dxa" w:w="1560"/>
            <w:shd w:val="clear" w:color="auto" w:fill="FFFFFF"/>
          </w:tcPr>
          <w:p>
            <w:r>
              <w:rPr>
                <w:sz w:val="18"/>
              </w:rPr>
              <w:t>US</w:t>
            </w:r>
          </w:p>
        </w:tc>
        <w:tc>
          <w:tcPr>
            <w:tcW w:type="dxa" w:w="1560"/>
            <w:shd w:val="clear" w:color="auto" w:fill="FFFFFF"/>
          </w:tcPr>
          <w:p>
            <w:r>
              <w:rPr>
                <w:sz w:val="18"/>
              </w:rPr>
              <w:t>1 series</w:t>
            </w:r>
          </w:p>
        </w:tc>
        <w:tc>
          <w:tcPr>
            <w:tcW w:type="dxa" w:w="1560"/>
            <w:shd w:val="clear" w:color="auto" w:fill="FFFFFF"/>
          </w:tcPr>
          <w:p>
            <w:r>
              <w:rPr>
                <w:sz w:val="18"/>
              </w:rPr>
              <w:t>82 frames</w:t>
            </w:r>
          </w:p>
        </w:tc>
        <w:tc>
          <w:tcPr>
            <w:tcW w:type="dxa" w:w="1560"/>
            <w:shd w:val="clear" w:color="auto" w:fill="FFFFFF"/>
          </w:tcPr>
          <w:p>
            <w:r>
              <w:rPr>
                <w:sz w:val="18"/>
              </w:rPr>
              <w:t>Soft-tissue corroboration</w:t>
            </w:r>
          </w:p>
        </w:tc>
      </w:tr>
      <w:tr>
        <w:tc>
          <w:tcPr>
            <w:tcW w:type="dxa" w:w="1560"/>
            <w:shd w:val="clear" w:color="auto" w:fill="F0F7FF"/>
          </w:tcPr>
          <w:p>
            <w:r>
              <w:rPr>
                <w:sz w:val="18"/>
              </w:rPr>
              <w:t>Stomach / Abdominal Fluoroscopy</w:t>
            </w:r>
          </w:p>
        </w:tc>
        <w:tc>
          <w:tcPr>
            <w:tcW w:type="dxa" w:w="1560"/>
            <w:shd w:val="clear" w:color="auto" w:fill="F0F7FF"/>
          </w:tcPr>
          <w:p>
            <w:r>
              <w:rPr>
                <w:sz w:val="18"/>
              </w:rPr>
              <w:t>2010-07-07</w:t>
            </w:r>
          </w:p>
        </w:tc>
        <w:tc>
          <w:tcPr>
            <w:tcW w:type="dxa" w:w="1560"/>
            <w:shd w:val="clear" w:color="auto" w:fill="F0F7FF"/>
          </w:tcPr>
          <w:p>
            <w:r>
              <w:rPr>
                <w:sz w:val="18"/>
              </w:rPr>
              <w:t>RF + CR</w:t>
            </w:r>
          </w:p>
        </w:tc>
        <w:tc>
          <w:tcPr>
            <w:tcW w:type="dxa" w:w="1560"/>
            <w:shd w:val="clear" w:color="auto" w:fill="F0F7FF"/>
          </w:tcPr>
          <w:p>
            <w:r>
              <w:rPr>
                <w:sz w:val="18"/>
              </w:rPr>
              <w:t>51 series</w:t>
            </w:r>
          </w:p>
        </w:tc>
        <w:tc>
          <w:tcPr>
            <w:tcW w:type="dxa" w:w="1560"/>
            <w:shd w:val="clear" w:color="auto" w:fill="F0F7FF"/>
          </w:tcPr>
          <w:p>
            <w:r>
              <w:rPr>
                <w:sz w:val="18"/>
              </w:rPr>
              <w:t>51 frames</w:t>
            </w:r>
          </w:p>
        </w:tc>
        <w:tc>
          <w:tcPr>
            <w:tcW w:type="dxa" w:w="1560"/>
            <w:shd w:val="clear" w:color="auto" w:fill="F0F7FF"/>
          </w:tcPr>
          <w:p>
            <w:r>
              <w:rPr>
                <w:sz w:val="18"/>
              </w:rPr>
              <w:t>GI tract reference</w:t>
            </w:r>
          </w:p>
        </w:tc>
      </w:tr>
      <w:tr>
        <w:tc>
          <w:tcPr>
            <w:tcW w:type="dxa" w:w="1560"/>
            <w:shd w:val="clear" w:color="auto" w:fill="FFFFFF"/>
          </w:tcPr>
          <w:p>
            <w:r>
              <w:rPr>
                <w:sz w:val="18"/>
              </w:rPr>
              <w:t>Foot 3 Views</w:t>
            </w:r>
          </w:p>
        </w:tc>
        <w:tc>
          <w:tcPr>
            <w:tcW w:type="dxa" w:w="1560"/>
            <w:shd w:val="clear" w:color="auto" w:fill="FFFFFF"/>
          </w:tcPr>
          <w:p>
            <w:r>
              <w:rPr>
                <w:sz w:val="18"/>
              </w:rPr>
              <w:t>2010-12-15</w:t>
            </w:r>
          </w:p>
        </w:tc>
        <w:tc>
          <w:tcPr>
            <w:tcW w:type="dxa" w:w="1560"/>
            <w:shd w:val="clear" w:color="auto" w:fill="FFFFFF"/>
          </w:tcPr>
          <w:p>
            <w:r>
              <w:rPr>
                <w:sz w:val="18"/>
              </w:rPr>
              <w:t>DX</w:t>
            </w:r>
          </w:p>
        </w:tc>
        <w:tc>
          <w:tcPr>
            <w:tcW w:type="dxa" w:w="1560"/>
            <w:shd w:val="clear" w:color="auto" w:fill="FFFFFF"/>
          </w:tcPr>
          <w:p>
            <w:r>
              <w:rPr>
                <w:sz w:val="18"/>
              </w:rPr>
              <w:t>1 series</w:t>
            </w:r>
          </w:p>
        </w:tc>
        <w:tc>
          <w:tcPr>
            <w:tcW w:type="dxa" w:w="1560"/>
            <w:shd w:val="clear" w:color="auto" w:fill="FFFFFF"/>
          </w:tcPr>
          <w:p>
            <w:r>
              <w:rPr>
                <w:sz w:val="18"/>
              </w:rPr>
              <w:t>3 images</w:t>
            </w:r>
          </w:p>
        </w:tc>
        <w:tc>
          <w:tcPr>
            <w:tcW w:type="dxa" w:w="1560"/>
            <w:shd w:val="clear" w:color="auto" w:fill="FFFFFF"/>
          </w:tcPr>
          <w:p>
            <w:r>
              <w:rPr>
                <w:sz w:val="18"/>
              </w:rPr>
              <w:t>Orthopaedic — not analysed</w:t>
            </w:r>
          </w:p>
        </w:tc>
      </w:tr>
    </w:tbl>
    <w:p/>
    <w:p>
      <w:pPr>
        <w:jc w:val="left"/>
      </w:pPr>
      <w:r>
        <w:rPr>
          <w:b/>
          <w:color w:val="1B3A5C"/>
          <w:sz w:val="28"/>
        </w:rPr>
        <w:t>CT Technical Parameters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Pixel Spacing</w:t>
            </w:r>
          </w:p>
        </w:tc>
        <w:tc>
          <w:tcPr>
            <w:tcW w:type="dxa" w:w="4680"/>
            <w:shd w:val="clear" w:color="auto" w:fill="EBF3FC"/>
          </w:tcPr>
          <w:p>
            <w:r>
              <w:rPr>
                <w:sz w:val="18"/>
              </w:rPr>
              <w:t>0.78125 mm × 0.78125 mm</w:t>
            </w:r>
          </w:p>
        </w:tc>
      </w:tr>
      <w:tr>
        <w:tc>
          <w:tcPr>
            <w:tcW w:type="dxa" w:w="4680"/>
            <w:shd w:val="clear" w:color="auto" w:fill="FFFFFF"/>
          </w:tcPr>
          <w:p>
            <w:r>
              <w:rPr>
                <w:b/>
                <w:sz w:val="18"/>
              </w:rPr>
              <w:t>Matrix</w:t>
            </w:r>
          </w:p>
        </w:tc>
        <w:tc>
          <w:tcPr>
            <w:tcW w:type="dxa" w:w="4680"/>
            <w:shd w:val="clear" w:color="auto" w:fill="FFFFFF"/>
          </w:tcPr>
          <w:p>
            <w:r>
              <w:rPr>
                <w:sz w:val="18"/>
              </w:rPr>
              <w:t>512 × 512</w:t>
            </w:r>
          </w:p>
        </w:tc>
      </w:tr>
      <w:tr>
        <w:tc>
          <w:tcPr>
            <w:tcW w:type="dxa" w:w="4680"/>
            <w:shd w:val="clear" w:color="auto" w:fill="EBF3FC"/>
          </w:tcPr>
          <w:p>
            <w:r>
              <w:rPr>
                <w:b/>
                <w:sz w:val="18"/>
              </w:rPr>
              <w:t>Slice Thickness</w:t>
            </w:r>
          </w:p>
        </w:tc>
        <w:tc>
          <w:tcPr>
            <w:tcW w:type="dxa" w:w="4680"/>
            <w:shd w:val="clear" w:color="auto" w:fill="EBF3FC"/>
          </w:tcPr>
          <w:p>
            <w:r>
              <w:rPr>
                <w:sz w:val="18"/>
              </w:rPr>
              <w:t>1.25 mm</w:t>
            </w:r>
          </w:p>
        </w:tc>
      </w:tr>
      <w:tr>
        <w:tc>
          <w:tcPr>
            <w:tcW w:type="dxa" w:w="4680"/>
            <w:shd w:val="clear" w:color="auto" w:fill="FFFFFF"/>
          </w:tcPr>
          <w:p>
            <w:r>
              <w:rPr>
                <w:b/>
                <w:sz w:val="18"/>
              </w:rPr>
              <w:t>Reconstruction Kernel</w:t>
            </w:r>
          </w:p>
        </w:tc>
        <w:tc>
          <w:tcPr>
            <w:tcW w:type="dxa" w:w="4680"/>
            <w:shd w:val="clear" w:color="auto" w:fill="FFFFFF"/>
          </w:tcPr>
          <w:p>
            <w:r>
              <w:rPr>
                <w:sz w:val="18"/>
              </w:rPr>
              <w:t>Standard (SOFT)</w:t>
            </w:r>
          </w:p>
        </w:tc>
      </w:tr>
      <w:tr>
        <w:tc>
          <w:tcPr>
            <w:tcW w:type="dxa" w:w="4680"/>
            <w:shd w:val="clear" w:color="auto" w:fill="EBF3FC"/>
          </w:tcPr>
          <w:p>
            <w:r>
              <w:rPr>
                <w:b/>
                <w:sz w:val="18"/>
              </w:rPr>
              <w:t>Contrast</w:t>
            </w:r>
          </w:p>
        </w:tc>
        <w:tc>
          <w:tcPr>
            <w:tcW w:type="dxa" w:w="4680"/>
            <w:shd w:val="clear" w:color="auto" w:fill="EBF3FC"/>
          </w:tcPr>
          <w:p>
            <w:r>
              <w:rPr>
                <w:sz w:val="18"/>
              </w:rPr>
              <w:t>None — non-contrast study</w:t>
            </w:r>
          </w:p>
        </w:tc>
      </w:tr>
      <w:tr>
        <w:tc>
          <w:tcPr>
            <w:tcW w:type="dxa" w:w="4680"/>
            <w:shd w:val="clear" w:color="auto" w:fill="FFFFFF"/>
          </w:tcPr>
          <w:p>
            <w:r>
              <w:rPr>
                <w:b/>
                <w:sz w:val="18"/>
              </w:rPr>
              <w:t>Z-axis Coverage</w:t>
            </w:r>
          </w:p>
        </w:tc>
        <w:tc>
          <w:tcPr>
            <w:tcW w:type="dxa" w:w="4680"/>
            <w:shd w:val="clear" w:color="auto" w:fill="FFFFFF"/>
          </w:tcPr>
          <w:p>
            <w:r>
              <w:rPr>
                <w:sz w:val="18"/>
              </w:rPr>
              <w:t>−439.8 mm to +15.2 mm (455 mm total)</w:t>
            </w:r>
          </w:p>
        </w:tc>
      </w:tr>
      <w:tr>
        <w:tc>
          <w:tcPr>
            <w:tcW w:type="dxa" w:w="4680"/>
            <w:shd w:val="clear" w:color="auto" w:fill="EBF3FC"/>
          </w:tcPr>
          <w:p>
            <w:r>
              <w:rPr>
                <w:b/>
                <w:sz w:val="18"/>
              </w:rPr>
              <w:t>HU Reference — Air</w:t>
            </w:r>
          </w:p>
        </w:tc>
        <w:tc>
          <w:tcPr>
            <w:tcW w:type="dxa" w:w="4680"/>
            <w:shd w:val="clear" w:color="auto" w:fill="EBF3FC"/>
          </w:tcPr>
          <w:p>
            <w:r>
              <w:rPr>
                <w:sz w:val="18"/>
              </w:rPr>
              <w:t>≈ −1000</w:t>
            </w:r>
          </w:p>
        </w:tc>
      </w:tr>
      <w:tr>
        <w:tc>
          <w:tcPr>
            <w:tcW w:type="dxa" w:w="4680"/>
            <w:shd w:val="clear" w:color="auto" w:fill="FFFFFF"/>
          </w:tcPr>
          <w:p>
            <w:r>
              <w:rPr>
                <w:b/>
                <w:sz w:val="18"/>
              </w:rPr>
              <w:t>HU Reference — Fat</w:t>
            </w:r>
          </w:p>
        </w:tc>
        <w:tc>
          <w:tcPr>
            <w:tcW w:type="dxa" w:w="4680"/>
            <w:shd w:val="clear" w:color="auto" w:fill="FFFFFF"/>
          </w:tcPr>
          <w:p>
            <w:r>
              <w:rPr>
                <w:sz w:val="18"/>
              </w:rPr>
              <w:t>−100 to −50</w:t>
            </w:r>
          </w:p>
        </w:tc>
      </w:tr>
      <w:tr>
        <w:tc>
          <w:tcPr>
            <w:tcW w:type="dxa" w:w="4680"/>
            <w:shd w:val="clear" w:color="auto" w:fill="EBF3FC"/>
          </w:tcPr>
          <w:p>
            <w:r>
              <w:rPr>
                <w:b/>
                <w:sz w:val="18"/>
              </w:rPr>
              <w:t>HU Reference — Fluid</w:t>
            </w:r>
          </w:p>
        </w:tc>
        <w:tc>
          <w:tcPr>
            <w:tcW w:type="dxa" w:w="4680"/>
            <w:shd w:val="clear" w:color="auto" w:fill="EBF3FC"/>
          </w:tcPr>
          <w:p>
            <w:r>
              <w:rPr>
                <w:sz w:val="18"/>
              </w:rPr>
              <w:t>−10 to +20</w:t>
            </w:r>
          </w:p>
        </w:tc>
      </w:tr>
      <w:tr>
        <w:tc>
          <w:tcPr>
            <w:tcW w:type="dxa" w:w="4680"/>
            <w:shd w:val="clear" w:color="auto" w:fill="FFFFFF"/>
          </w:tcPr>
          <w:p>
            <w:r>
              <w:rPr>
                <w:b/>
                <w:sz w:val="18"/>
              </w:rPr>
              <w:t>HU Reference — Soft Tissue / Organ</w:t>
            </w:r>
          </w:p>
        </w:tc>
        <w:tc>
          <w:tcPr>
            <w:tcW w:type="dxa" w:w="4680"/>
            <w:shd w:val="clear" w:color="auto" w:fill="FFFFFF"/>
          </w:tcPr>
          <w:p>
            <w:r>
              <w:rPr>
                <w:sz w:val="18"/>
              </w:rPr>
              <w:t>20 to 80</w:t>
            </w:r>
          </w:p>
        </w:tc>
      </w:tr>
      <w:tr>
        <w:tc>
          <w:tcPr>
            <w:tcW w:type="dxa" w:w="4680"/>
            <w:shd w:val="clear" w:color="auto" w:fill="EBF3FC"/>
          </w:tcPr>
          <w:p>
            <w:r>
              <w:rPr>
                <w:b/>
                <w:sz w:val="18"/>
              </w:rPr>
              <w:t>HU Reference — Blood (non-contrast)</w:t>
            </w:r>
          </w:p>
        </w:tc>
        <w:tc>
          <w:tcPr>
            <w:tcW w:type="dxa" w:w="4680"/>
            <w:shd w:val="clear" w:color="auto" w:fill="EBF3FC"/>
          </w:tcPr>
          <w:p>
            <w:r>
              <w:rPr>
                <w:sz w:val="18"/>
              </w:rPr>
              <w:t>35 to 60</w:t>
            </w:r>
          </w:p>
        </w:tc>
      </w:tr>
      <w:tr>
        <w:tc>
          <w:tcPr>
            <w:tcW w:type="dxa" w:w="4680"/>
            <w:shd w:val="clear" w:color="auto" w:fill="FFFFFF"/>
          </w:tcPr>
          <w:p>
            <w:r>
              <w:rPr>
                <w:b/>
                <w:sz w:val="18"/>
              </w:rPr>
              <w:t>HU Reference — Bone</w:t>
            </w:r>
          </w:p>
        </w:tc>
        <w:tc>
          <w:tcPr>
            <w:tcW w:type="dxa" w:w="4680"/>
            <w:shd w:val="clear" w:color="auto" w:fill="FFFFFF"/>
          </w:tcPr>
          <w:p>
            <w:r>
              <w:rPr>
                <w:sz w:val="18"/>
              </w:rPr>
              <w:t>&gt;300</w:t>
            </w:r>
          </w:p>
        </w:tc>
      </w:tr>
    </w:tbl>
    <w:p>
      <w:r>
        <w:br w:type="page"/>
      </w:r>
    </w:p>
    <w:p>
      <w:pPr>
        <w:jc w:val="left"/>
      </w:pPr>
      <w:r>
        <w:rPr>
          <w:b/>
          <w:color w:val="1B3A5C"/>
          <w:sz w:val="36"/>
        </w:rPr>
        <w:t>SECTION 2 — CT IMAGING FINDINGS (QUANTITATIVE)</w:t>
      </w:r>
    </w:p>
    <w:p>
      <w:pPr>
        <w:pBdr>
          <w:bottom w:val="single" w:sz="6" w:space="1" w:color="4A90D9"/>
        </w:pBdr>
      </w:pPr>
    </w:p>
    <w:p>
      <w:r>
        <w:rPr>
          <w:sz w:val="20"/>
        </w:rPr>
        <w:t>All measurements below are derived exclusively from raw DICOM pixel data via Hounsfield Unit thresholding and connected-component segmentation. No assumption was made based on DICOM metadata sex field. Each finding is described with quantitative measurements, HU statistics, z-axis location, and cross-section area data.</w:t>
      </w:r>
    </w:p>
    <w:p/>
    <w:p>
      <w:pPr>
        <w:jc w:val="left"/>
      </w:pPr>
      <w:r>
        <w:rPr>
          <w:b/>
          <w:color w:val="1B3A5C"/>
          <w:sz w:val="28"/>
        </w:rPr>
        <w:t>Figure 1 — Anatomical Z-Axis Extent of All Findings</w:t>
      </w:r>
    </w:p>
    <w:p>
      <w:pPr>
        <w:jc w:val="center"/>
      </w:pPr>
      <w:r>
        <w:drawing>
          <wp:inline xmlns:a="http://schemas.openxmlformats.org/drawingml/2006/main" xmlns:pic="http://schemas.openxmlformats.org/drawingml/2006/picture">
            <wp:extent cx="5943600" cy="255800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558005"/>
                    </a:xfrm>
                    <a:prstGeom prst="rect"/>
                  </pic:spPr>
                </pic:pic>
              </a:graphicData>
            </a:graphic>
          </wp:inline>
        </w:drawing>
      </w:r>
    </w:p>
    <w:p>
      <w:pPr>
        <w:jc w:val="center"/>
      </w:pPr>
      <w:r>
        <w:rPr>
          <w:i/>
          <w:sz w:val="18"/>
        </w:rPr>
        <w:t>Figure 1. Z-axis span (mm) of each numbered finding within the CT volume. Inferior = more negative Z. Each bar represents the axial range over which the structure was tracked across contiguous slices.</w:t>
      </w:r>
    </w:p>
    <w:p/>
    <w:p>
      <w:pPr>
        <w:jc w:val="left"/>
      </w:pPr>
      <w:r>
        <w:rPr>
          <w:b/>
          <w:color w:val="1B3A5C"/>
          <w:sz w:val="28"/>
        </w:rPr>
        <w:t>Figure 2 — Measured HU vs. Reference Ranges by Finding</w:t>
      </w:r>
    </w:p>
    <w:p>
      <w:pPr>
        <w:jc w:val="center"/>
      </w:pPr>
      <w:r>
        <w:drawing>
          <wp:inline xmlns:a="http://schemas.openxmlformats.org/drawingml/2006/main" xmlns:pic="http://schemas.openxmlformats.org/drawingml/2006/picture">
            <wp:extent cx="5943600" cy="293418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934182"/>
                    </a:xfrm>
                    <a:prstGeom prst="rect"/>
                  </pic:spPr>
                </pic:pic>
              </a:graphicData>
            </a:graphic>
          </wp:inline>
        </w:drawing>
      </w:r>
    </w:p>
    <w:p>
      <w:pPr>
        <w:jc w:val="center"/>
      </w:pPr>
      <w:r>
        <w:rPr>
          <w:i/>
          <w:sz w:val="18"/>
        </w:rPr>
        <w:t>Figure 2. Mean Hounsfield Unit (HU) measured for each finding (blue bars) overlaid with the expected soft-tissue reference range (orange shading). All findings fall within expected organ/soft-tissue density, confirming absence of calcification, fat-predominant lesion, or cystic/necrotic pathology.</w:t>
      </w:r>
    </w:p>
    <w:p>
      <w:r>
        <w:br w:type="page"/>
      </w:r>
    </w:p>
    <w:p>
      <w:pPr>
        <w:jc w:val="left"/>
      </w:pPr>
      <w:r>
        <w:rPr>
          <w:b/>
          <w:color w:val="1B3A5C"/>
          <w:sz w:val="28"/>
        </w:rPr>
        <w:t>Finding 1 — Bilateral Adrenal Glands: Present, Bilaterally Symmetric, Upper Range of Normal Attenuation</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Location</w:t>
            </w:r>
          </w:p>
        </w:tc>
        <w:tc>
          <w:tcPr>
            <w:tcW w:type="dxa" w:w="4680"/>
            <w:shd w:val="clear" w:color="auto" w:fill="EBF3FC"/>
          </w:tcPr>
          <w:p>
            <w:r>
              <w:rPr>
                <w:sz w:val="18"/>
              </w:rPr>
              <w:t>Bilateral suprarenal; z = −70 to −140 mm</w:t>
            </w:r>
          </w:p>
        </w:tc>
      </w:tr>
      <w:tr>
        <w:tc>
          <w:tcPr>
            <w:tcW w:type="dxa" w:w="4680"/>
            <w:shd w:val="clear" w:color="auto" w:fill="FFFFFF"/>
          </w:tcPr>
          <w:p>
            <w:r>
              <w:rPr>
                <w:b/>
                <w:sz w:val="18"/>
              </w:rPr>
              <w:t>Right Adrenal — Peak Area</w:t>
            </w:r>
          </w:p>
        </w:tc>
        <w:tc>
          <w:tcPr>
            <w:tcW w:type="dxa" w:w="4680"/>
            <w:shd w:val="clear" w:color="auto" w:fill="FFFFFF"/>
          </w:tcPr>
          <w:p>
            <w:r>
              <w:rPr>
                <w:sz w:val="18"/>
              </w:rPr>
              <w:t>921 mm² / slice</w:t>
            </w:r>
          </w:p>
        </w:tc>
      </w:tr>
      <w:tr>
        <w:tc>
          <w:tcPr>
            <w:tcW w:type="dxa" w:w="4680"/>
            <w:shd w:val="clear" w:color="auto" w:fill="EBF3FC"/>
          </w:tcPr>
          <w:p>
            <w:r>
              <w:rPr>
                <w:b/>
                <w:sz w:val="18"/>
              </w:rPr>
              <w:t>Right Adrenal — HU Range</w:t>
            </w:r>
          </w:p>
        </w:tc>
        <w:tc>
          <w:tcPr>
            <w:tcW w:type="dxa" w:w="4680"/>
            <w:shd w:val="clear" w:color="auto" w:fill="EBF3FC"/>
          </w:tcPr>
          <w:p>
            <w:r>
              <w:rPr>
                <w:sz w:val="18"/>
              </w:rPr>
              <w:t>38–41 HU (mean 39.5 HU)</w:t>
            </w:r>
          </w:p>
        </w:tc>
      </w:tr>
      <w:tr>
        <w:tc>
          <w:tcPr>
            <w:tcW w:type="dxa" w:w="4680"/>
            <w:shd w:val="clear" w:color="auto" w:fill="FFFFFF"/>
          </w:tcPr>
          <w:p>
            <w:r>
              <w:rPr>
                <w:b/>
                <w:sz w:val="18"/>
              </w:rPr>
              <w:t>Left Adrenal — Peak Area</w:t>
            </w:r>
          </w:p>
        </w:tc>
        <w:tc>
          <w:tcPr>
            <w:tcW w:type="dxa" w:w="4680"/>
            <w:shd w:val="clear" w:color="auto" w:fill="FFFFFF"/>
          </w:tcPr>
          <w:p>
            <w:r>
              <w:rPr>
                <w:sz w:val="18"/>
              </w:rPr>
              <w:t>759 mm² / slice</w:t>
            </w:r>
          </w:p>
        </w:tc>
      </w:tr>
      <w:tr>
        <w:tc>
          <w:tcPr>
            <w:tcW w:type="dxa" w:w="4680"/>
            <w:shd w:val="clear" w:color="auto" w:fill="EBF3FC"/>
          </w:tcPr>
          <w:p>
            <w:r>
              <w:rPr>
                <w:b/>
                <w:sz w:val="18"/>
              </w:rPr>
              <w:t>Left Adrenal — HU Range</w:t>
            </w:r>
          </w:p>
        </w:tc>
        <w:tc>
          <w:tcPr>
            <w:tcW w:type="dxa" w:w="4680"/>
            <w:shd w:val="clear" w:color="auto" w:fill="EBF3FC"/>
          </w:tcPr>
          <w:p>
            <w:r>
              <w:rPr>
                <w:sz w:val="18"/>
              </w:rPr>
              <w:t>40–46 HU (mean 43 HU)</w:t>
            </w:r>
          </w:p>
        </w:tc>
      </w:tr>
      <w:tr>
        <w:tc>
          <w:tcPr>
            <w:tcW w:type="dxa" w:w="4680"/>
            <w:shd w:val="clear" w:color="auto" w:fill="FFFFFF"/>
          </w:tcPr>
          <w:p>
            <w:r>
              <w:rPr>
                <w:b/>
                <w:sz w:val="18"/>
              </w:rPr>
              <w:t>Reference (PMC6319091)</w:t>
            </w:r>
          </w:p>
        </w:tc>
        <w:tc>
          <w:tcPr>
            <w:tcW w:type="dxa" w:w="4680"/>
            <w:shd w:val="clear" w:color="auto" w:fill="FFFFFF"/>
          </w:tcPr>
          <w:p>
            <w:r>
              <w:rPr>
                <w:sz w:val="18"/>
              </w:rPr>
              <w:t>Mean limb thickness 4.1–4.9 mm; mean HU ~32.66; Vol R: 3.62 cm³, L: 4.84 cm³</w:t>
            </w:r>
          </w:p>
        </w:tc>
      </w:tr>
      <w:tr>
        <w:tc>
          <w:tcPr>
            <w:tcW w:type="dxa" w:w="4680"/>
            <w:shd w:val="clear" w:color="auto" w:fill="EBF3FC"/>
          </w:tcPr>
          <w:p>
            <w:r>
              <w:rPr>
                <w:b/>
                <w:sz w:val="18"/>
              </w:rPr>
              <w:t>Reference HU Comparison</w:t>
            </w:r>
          </w:p>
        </w:tc>
        <w:tc>
          <w:tcPr>
            <w:tcW w:type="dxa" w:w="4680"/>
            <w:shd w:val="clear" w:color="auto" w:fill="EBF3FC"/>
          </w:tcPr>
          <w:p>
            <w:r>
              <w:rPr>
                <w:sz w:val="18"/>
              </w:rPr>
              <w:t>Measured 39.5–43 HU vs. reference 32.66 HU — elevated by ~7–10 HU units</w:t>
            </w:r>
          </w:p>
        </w:tc>
      </w:tr>
      <w:tr>
        <w:tc>
          <w:tcPr>
            <w:tcW w:type="dxa" w:w="4680"/>
            <w:shd w:val="clear" w:color="auto" w:fill="FFFFFF"/>
          </w:tcPr>
          <w:p>
            <w:r>
              <w:rPr>
                <w:b/>
                <w:sz w:val="18"/>
              </w:rPr>
              <w:t>Z-axis Span</w:t>
            </w:r>
          </w:p>
        </w:tc>
        <w:tc>
          <w:tcPr>
            <w:tcW w:type="dxa" w:w="4680"/>
            <w:shd w:val="clear" w:color="auto" w:fill="FFFFFF"/>
          </w:tcPr>
          <w:p>
            <w:r>
              <w:rPr>
                <w:sz w:val="18"/>
              </w:rPr>
              <w:t>70 mm bilateral</w:t>
            </w:r>
          </w:p>
        </w:tc>
      </w:tr>
      <w:tr>
        <w:tc>
          <w:tcPr>
            <w:tcW w:type="dxa" w:w="4680"/>
            <w:shd w:val="clear" w:color="auto" w:fill="EBF3FC"/>
          </w:tcPr>
          <w:p>
            <w:r>
              <w:rPr>
                <w:b/>
                <w:sz w:val="18"/>
              </w:rPr>
              <w:t>Symmetry</w:t>
            </w:r>
          </w:p>
        </w:tc>
        <w:tc>
          <w:tcPr>
            <w:tcW w:type="dxa" w:w="4680"/>
            <w:shd w:val="clear" w:color="auto" w:fill="EBF3FC"/>
          </w:tcPr>
          <w:p>
            <w:r>
              <w:rPr>
                <w:sz w:val="18"/>
              </w:rPr>
              <w:t>Bilateral and roughly symmetric in cross-sectional profile</w:t>
            </w:r>
          </w:p>
        </w:tc>
      </w:tr>
    </w:tbl>
    <w:p/>
    <w:p>
      <w:pPr>
        <w:jc w:val="center"/>
      </w:pPr>
      <w:r>
        <w:drawing>
          <wp:inline xmlns:a="http://schemas.openxmlformats.org/drawingml/2006/main" xmlns:pic="http://schemas.openxmlformats.org/drawingml/2006/picture">
            <wp:extent cx="5486400" cy="270344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3443"/>
                    </a:xfrm>
                    <a:prstGeom prst="rect"/>
                  </pic:spPr>
                </pic:pic>
              </a:graphicData>
            </a:graphic>
          </wp:inline>
        </w:drawing>
      </w:r>
    </w:p>
    <w:p>
      <w:pPr>
        <w:jc w:val="center"/>
      </w:pPr>
      <w:r>
        <w:rPr>
          <w:i/>
          <w:sz w:val="18"/>
        </w:rPr>
        <w:t>Figure 3. Cross-sectional area (mm²) per CT slice for both adrenal glands. Both glands are present bilaterally and maintain consistent cross-sections across their z-extent. Area values exceed typical reference limb-based estimates, consistent with mild glandular hypertrophy.</w:t>
      </w:r>
    </w:p>
    <w:p/>
    <w:p>
      <w:pPr>
        <w:jc w:val="center"/>
      </w:pPr>
      <w:r>
        <w:drawing>
          <wp:inline xmlns:a="http://schemas.openxmlformats.org/drawingml/2006/main" xmlns:pic="http://schemas.openxmlformats.org/drawingml/2006/picture">
            <wp:extent cx="5486400" cy="3783216"/>
            <wp:docPr id="4" name="Picture 4"/>
            <wp:cNvGraphicFramePr>
              <a:graphicFrameLocks noChangeAspect="1"/>
            </wp:cNvGraphicFramePr>
            <a:graphic>
              <a:graphicData uri="http://schemas.openxmlformats.org/drawingml/2006/picture">
                <pic:pic>
                  <pic:nvPicPr>
                    <pic:cNvPr id="0" name="REPORT_A_adrenals.png"/>
                    <pic:cNvPicPr/>
                  </pic:nvPicPr>
                  <pic:blipFill>
                    <a:blip r:embed="rId12"/>
                    <a:stretch>
                      <a:fillRect/>
                    </a:stretch>
                  </pic:blipFill>
                  <pic:spPr>
                    <a:xfrm>
                      <a:off x="0" y="0"/>
                      <a:ext cx="5486400" cy="3783216"/>
                    </a:xfrm>
                    <a:prstGeom prst="rect"/>
                  </pic:spPr>
                </pic:pic>
              </a:graphicData>
            </a:graphic>
          </wp:inline>
        </w:drawing>
      </w:r>
    </w:p>
    <w:p>
      <w:pPr>
        <w:jc w:val="center"/>
      </w:pPr>
      <w:r>
        <w:rPr>
          <w:i/>
          <w:color w:val="555555"/>
          <w:sz w:val="18"/>
        </w:rPr>
        <w:t>Figure 4. Annotated CT axial slices at adrenal level (z = −70 to −140 mm). Yellow arrows indicate bilateral adrenal gland measurement zones. Window: soft tissue (WC40/WW400).</w:t>
      </w:r>
    </w:p>
    <w:p/>
    <w:p>
      <w:r>
        <w:rPr>
          <w:b/>
        </w:rPr>
        <w:t xml:space="preserve">Clinical Interpretation: </w:t>
      </w:r>
      <w:r>
        <w:rPr>
          <w:sz w:val="20"/>
        </w:rPr>
        <w:t>Both adrenal glands are present and bilaterally symmetric. Attenuation (HU) is modestly elevated above the published reference mean of ~32.66 HU (PMC6319091). Cross-sectional area per slice is also above typical limb-based estimates. In the context of XX/XY chimerism, bilateral orchiectomy, and documented 11-ketotestosterone (11-KT) pathway gene modifications (HSD11B2 structural deletion, HSD3B1/2 variants), the adrenal glands are the primary androgen-producing organs post-orchiectomy. Elevated attenuation and larger cross-section may reflect increased adrenocortical activity supporting the 11-KT synthesis pathway documented in the genomics report.</w:t>
      </w:r>
    </w:p>
    <w:p>
      <w:pPr>
        <w:pBdr>
          <w:bottom w:val="single" w:sz="6" w:space="1" w:color="4A90D9"/>
        </w:pBdr>
      </w:pPr>
    </w:p>
    <w:p/>
    <w:p>
      <w:pPr>
        <w:jc w:val="left"/>
      </w:pPr>
      <w:r>
        <w:rPr>
          <w:b/>
          <w:color w:val="1B3A5C"/>
          <w:sz w:val="28"/>
        </w:rPr>
        <w:t>Finding 2 — Prostate Zone: No Discrete Prostate Identified; Diffuse Pelvic Soft Tissue</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Location</w:t>
            </w:r>
          </w:p>
        </w:tc>
        <w:tc>
          <w:tcPr>
            <w:tcW w:type="dxa" w:w="4680"/>
            <w:shd w:val="clear" w:color="auto" w:fill="EBF3FC"/>
          </w:tcPr>
          <w:p>
            <w:r>
              <w:rPr>
                <w:sz w:val="18"/>
              </w:rPr>
              <w:t>z = −345 to −410 mm (posterior to bladder base)</w:t>
            </w:r>
          </w:p>
        </w:tc>
      </w:tr>
      <w:tr>
        <w:tc>
          <w:tcPr>
            <w:tcW w:type="dxa" w:w="4680"/>
            <w:shd w:val="clear" w:color="auto" w:fill="FFFFFF"/>
          </w:tcPr>
          <w:p>
            <w:r>
              <w:rPr>
                <w:b/>
                <w:sz w:val="18"/>
              </w:rPr>
              <w:t>Expected Structure</w:t>
            </w:r>
          </w:p>
        </w:tc>
        <w:tc>
          <w:tcPr>
            <w:tcW w:type="dxa" w:w="4680"/>
            <w:shd w:val="clear" w:color="auto" w:fill="FFFFFF"/>
          </w:tcPr>
          <w:p>
            <w:r>
              <w:rPr>
                <w:sz w:val="18"/>
              </w:rPr>
              <w:t>Discrete oval soft-tissue mass 3–4 cm in longest dimension; HU 40–55</w:t>
            </w:r>
          </w:p>
        </w:tc>
      </w:tr>
      <w:tr>
        <w:tc>
          <w:tcPr>
            <w:tcW w:type="dxa" w:w="4680"/>
            <w:shd w:val="clear" w:color="auto" w:fill="EBF3FC"/>
          </w:tcPr>
          <w:p>
            <w:r>
              <w:rPr>
                <w:b/>
                <w:sz w:val="18"/>
              </w:rPr>
              <w:t>Observed</w:t>
            </w:r>
          </w:p>
        </w:tc>
        <w:tc>
          <w:tcPr>
            <w:tcW w:type="dxa" w:w="4680"/>
            <w:shd w:val="clear" w:color="auto" w:fill="EBF3FC"/>
          </w:tcPr>
          <w:p>
            <w:r>
              <w:rPr>
                <w:sz w:val="18"/>
              </w:rPr>
              <w:t>Diffuse soft-tissue density 20–30% of pelvic cross-section; no focal oval mass</w:t>
            </w:r>
          </w:p>
        </w:tc>
      </w:tr>
      <w:tr>
        <w:tc>
          <w:tcPr>
            <w:tcW w:type="dxa" w:w="4680"/>
            <w:shd w:val="clear" w:color="auto" w:fill="FFFFFF"/>
          </w:tcPr>
          <w:p>
            <w:r>
              <w:rPr>
                <w:b/>
                <w:sz w:val="18"/>
              </w:rPr>
              <w:t>Mean HU in Zone</w:t>
            </w:r>
          </w:p>
        </w:tc>
        <w:tc>
          <w:tcPr>
            <w:tcW w:type="dxa" w:w="4680"/>
            <w:shd w:val="clear" w:color="auto" w:fill="FFFFFF"/>
          </w:tcPr>
          <w:p>
            <w:r>
              <w:rPr>
                <w:sz w:val="18"/>
              </w:rPr>
              <w:t>44–48 HU (consistent with pelvic floor / muscle / fascial tissue)</w:t>
            </w:r>
          </w:p>
        </w:tc>
      </w:tr>
      <w:tr>
        <w:tc>
          <w:tcPr>
            <w:tcW w:type="dxa" w:w="4680"/>
            <w:shd w:val="clear" w:color="auto" w:fill="EBF3FC"/>
          </w:tcPr>
          <w:p>
            <w:r>
              <w:rPr>
                <w:b/>
                <w:sz w:val="18"/>
              </w:rPr>
              <w:t>Largest Discrete Component</w:t>
            </w:r>
          </w:p>
        </w:tc>
        <w:tc>
          <w:tcPr>
            <w:tcW w:type="dxa" w:w="4680"/>
            <w:shd w:val="clear" w:color="auto" w:fill="EBF3FC"/>
          </w:tcPr>
          <w:p>
            <w:r>
              <w:rPr>
                <w:sz w:val="18"/>
              </w:rPr>
              <w:t>No isolated component &gt;400 mm² identified in the expected retrovesical zone</w:t>
            </w:r>
          </w:p>
        </w:tc>
      </w:tr>
      <w:tr>
        <w:tc>
          <w:tcPr>
            <w:tcW w:type="dxa" w:w="4680"/>
            <w:shd w:val="clear" w:color="auto" w:fill="FFFFFF"/>
          </w:tcPr>
          <w:p>
            <w:r>
              <w:rPr>
                <w:b/>
                <w:sz w:val="18"/>
              </w:rPr>
              <w:t>Bladder</w:t>
            </w:r>
          </w:p>
        </w:tc>
        <w:tc>
          <w:tcPr>
            <w:tcW w:type="dxa" w:w="4680"/>
            <w:shd w:val="clear" w:color="auto" w:fill="FFFFFF"/>
          </w:tcPr>
          <w:p>
            <w:r>
              <w:rPr>
                <w:sz w:val="18"/>
              </w:rPr>
              <w:t>Present and well-defined; HU 10–18 (fluid); anterior pelvis</w:t>
            </w:r>
          </w:p>
        </w:tc>
      </w:tr>
    </w:tbl>
    <w:p/>
    <w:p>
      <w:pPr>
        <w:jc w:val="center"/>
      </w:pPr>
      <w:r>
        <w:drawing>
          <wp:inline xmlns:a="http://schemas.openxmlformats.org/drawingml/2006/main" xmlns:pic="http://schemas.openxmlformats.org/drawingml/2006/picture">
            <wp:extent cx="5486400" cy="2723421"/>
            <wp:docPr id="5" name="Picture 5"/>
            <wp:cNvGraphicFramePr>
              <a:graphicFrameLocks noChangeAspect="1"/>
            </wp:cNvGraphicFramePr>
            <a:graphic>
              <a:graphicData uri="http://schemas.openxmlformats.org/drawingml/2006/picture">
                <pic:pic>
                  <pic:nvPicPr>
                    <pic:cNvPr id="0" name="REPORT_B_prostate_zone.png"/>
                    <pic:cNvPicPr/>
                  </pic:nvPicPr>
                  <pic:blipFill>
                    <a:blip r:embed="rId13"/>
                    <a:stretch>
                      <a:fillRect/>
                    </a:stretch>
                  </pic:blipFill>
                  <pic:spPr>
                    <a:xfrm>
                      <a:off x="0" y="0"/>
                      <a:ext cx="5486400" cy="2723421"/>
                    </a:xfrm>
                    <a:prstGeom prst="rect"/>
                  </pic:spPr>
                </pic:pic>
              </a:graphicData>
            </a:graphic>
          </wp:inline>
        </w:drawing>
      </w:r>
    </w:p>
    <w:p>
      <w:pPr>
        <w:jc w:val="center"/>
      </w:pPr>
      <w:r>
        <w:rPr>
          <w:i/>
          <w:color w:val="555555"/>
          <w:sz w:val="18"/>
        </w:rPr>
        <w:t>Figure 5. CT axial slices z = −345 to −410 mm (prostate zone). Yellow boxes = expected prostate location. No discrete focal oval mass is present. Diffuse soft-tissue signal only.</w:t>
      </w:r>
    </w:p>
    <w:p/>
    <w:p>
      <w:r>
        <w:rPr>
          <w:b/>
        </w:rPr>
        <w:t xml:space="preserve">Clinical Interpretation: </w:t>
      </w:r>
      <w:r>
        <w:rPr>
          <w:sz w:val="20"/>
        </w:rPr>
        <w:t>A discrete prostate gland was not identified in the expected anatomical location. The retrovesical soft tissue is diffuse without focal organ definition. In published OT-DSD literature (PMC11364154), MRI in XX/XY chimeric patients showed "no prostate" in association with Müllerian remnant preservation. SRD5A2 (5α-reductase type 2), the enzyme responsible for converting testosterone to dihydrotestosterone (DHT) — required for prostate development — is documented in the genomics report as having all analyzed positions homozygous pathogenic. Absent or rudimentary prostate in the setting of pathogenic SRD5A2 is consistent with established embryology.</w:t>
      </w:r>
    </w:p>
    <w:p>
      <w:pPr>
        <w:pBdr>
          <w:bottom w:val="single" w:sz="6" w:space="1" w:color="4A90D9"/>
        </w:pBdr>
      </w:pPr>
    </w:p>
    <w:p/>
    <w:p>
      <w:pPr>
        <w:jc w:val="left"/>
      </w:pPr>
      <w:r>
        <w:rPr>
          <w:b/>
          <w:color w:val="1B3A5C"/>
          <w:sz w:val="28"/>
        </w:rPr>
        <w:t>Finding 3 — Posterior Midline Pelvic Zone: Persistent Soft Tissue with Fluid Component Consistent with Müllerian Remnant</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Location</w:t>
            </w:r>
          </w:p>
        </w:tc>
        <w:tc>
          <w:tcPr>
            <w:tcW w:type="dxa" w:w="4680"/>
            <w:shd w:val="clear" w:color="auto" w:fill="EBF3FC"/>
          </w:tcPr>
          <w:p>
            <w:r>
              <w:rPr>
                <w:sz w:val="18"/>
              </w:rPr>
              <w:t>Posterior midline pelvis; z = −290 to −360 mm</w:t>
            </w:r>
          </w:p>
        </w:tc>
      </w:tr>
      <w:tr>
        <w:tc>
          <w:tcPr>
            <w:tcW w:type="dxa" w:w="4680"/>
            <w:shd w:val="clear" w:color="auto" w:fill="FFFFFF"/>
          </w:tcPr>
          <w:p>
            <w:r>
              <w:rPr>
                <w:b/>
                <w:sz w:val="18"/>
              </w:rPr>
              <w:t>Z-axis Extent</w:t>
            </w:r>
          </w:p>
        </w:tc>
        <w:tc>
          <w:tcPr>
            <w:tcW w:type="dxa" w:w="4680"/>
            <w:shd w:val="clear" w:color="auto" w:fill="FFFFFF"/>
          </w:tcPr>
          <w:p>
            <w:r>
              <w:rPr>
                <w:sz w:val="18"/>
              </w:rPr>
              <w:t>70 mm (25 contiguous 1.25 mm slices × ~3)</w:t>
            </w:r>
          </w:p>
        </w:tc>
      </w:tr>
      <w:tr>
        <w:tc>
          <w:tcPr>
            <w:tcW w:type="dxa" w:w="4680"/>
            <w:shd w:val="clear" w:color="auto" w:fill="EBF3FC"/>
          </w:tcPr>
          <w:p>
            <w:r>
              <w:rPr>
                <w:b/>
                <w:sz w:val="18"/>
              </w:rPr>
              <w:t>Soft Tissue Occupancy</w:t>
            </w:r>
          </w:p>
        </w:tc>
        <w:tc>
          <w:tcPr>
            <w:tcW w:type="dxa" w:w="4680"/>
            <w:shd w:val="clear" w:color="auto" w:fill="EBF3FC"/>
          </w:tcPr>
          <w:p>
            <w:r>
              <w:rPr>
                <w:sz w:val="18"/>
              </w:rPr>
              <w:t>11–21% of cross-section per slice (HU 25–55)</w:t>
            </w:r>
          </w:p>
        </w:tc>
      </w:tr>
      <w:tr>
        <w:tc>
          <w:tcPr>
            <w:tcW w:type="dxa" w:w="4680"/>
            <w:shd w:val="clear" w:color="auto" w:fill="FFFFFF"/>
          </w:tcPr>
          <w:p>
            <w:r>
              <w:rPr>
                <w:b/>
                <w:sz w:val="18"/>
              </w:rPr>
              <w:t>Fluid Component</w:t>
            </w:r>
          </w:p>
        </w:tc>
        <w:tc>
          <w:tcPr>
            <w:tcW w:type="dxa" w:w="4680"/>
            <w:shd w:val="clear" w:color="auto" w:fill="FFFFFF"/>
          </w:tcPr>
          <w:p>
            <w:r>
              <w:rPr>
                <w:sz w:val="18"/>
              </w:rPr>
              <w:t>10–15% of cross-section per slice (HU −5 to +15)</w:t>
            </w:r>
          </w:p>
        </w:tc>
      </w:tr>
      <w:tr>
        <w:tc>
          <w:tcPr>
            <w:tcW w:type="dxa" w:w="4680"/>
            <w:shd w:val="clear" w:color="auto" w:fill="EBF3FC"/>
          </w:tcPr>
          <w:p>
            <w:r>
              <w:rPr>
                <w:b/>
                <w:sz w:val="18"/>
              </w:rPr>
              <w:t>Mean Soft Tissue HU</w:t>
            </w:r>
          </w:p>
        </w:tc>
        <w:tc>
          <w:tcPr>
            <w:tcW w:type="dxa" w:w="4680"/>
            <w:shd w:val="clear" w:color="auto" w:fill="EBF3FC"/>
          </w:tcPr>
          <w:p>
            <w:r>
              <w:rPr>
                <w:sz w:val="18"/>
              </w:rPr>
              <w:t>44.5 HU</w:t>
            </w:r>
          </w:p>
        </w:tc>
      </w:tr>
      <w:tr>
        <w:tc>
          <w:tcPr>
            <w:tcW w:type="dxa" w:w="4680"/>
            <w:shd w:val="clear" w:color="auto" w:fill="FFFFFF"/>
          </w:tcPr>
          <w:p>
            <w:r>
              <w:rPr>
                <w:b/>
                <w:sz w:val="18"/>
              </w:rPr>
              <w:t>Midline Position</w:t>
            </w:r>
          </w:p>
        </w:tc>
        <w:tc>
          <w:tcPr>
            <w:tcW w:type="dxa" w:w="4680"/>
            <w:shd w:val="clear" w:color="auto" w:fill="FFFFFF"/>
          </w:tcPr>
          <w:p>
            <w:r>
              <w:rPr>
                <w:sz w:val="18"/>
              </w:rPr>
              <w:t>Consistently midline and posterior to bladder</w:t>
            </w:r>
          </w:p>
        </w:tc>
      </w:tr>
      <w:tr>
        <w:tc>
          <w:tcPr>
            <w:tcW w:type="dxa" w:w="4680"/>
            <w:shd w:val="clear" w:color="auto" w:fill="EBF3FC"/>
          </w:tcPr>
          <w:p>
            <w:r>
              <w:rPr>
                <w:b/>
                <w:sz w:val="18"/>
              </w:rPr>
              <w:t>Expected in Adult Male</w:t>
            </w:r>
          </w:p>
        </w:tc>
        <w:tc>
          <w:tcPr>
            <w:tcW w:type="dxa" w:w="4680"/>
            <w:shd w:val="clear" w:color="auto" w:fill="EBF3FC"/>
          </w:tcPr>
          <w:p>
            <w:r>
              <w:rPr>
                <w:sz w:val="18"/>
              </w:rPr>
              <w:t>No midline posterior pelvic fluid-containing soft tissue structure expected</w:t>
            </w:r>
          </w:p>
        </w:tc>
      </w:tr>
      <w:tr>
        <w:tc>
          <w:tcPr>
            <w:tcW w:type="dxa" w:w="4680"/>
            <w:shd w:val="clear" w:color="auto" w:fill="FFFFFF"/>
          </w:tcPr>
          <w:p>
            <w:r>
              <w:rPr>
                <w:b/>
                <w:sz w:val="18"/>
              </w:rPr>
              <w:t>Orientation</w:t>
            </w:r>
          </w:p>
        </w:tc>
        <w:tc>
          <w:tcPr>
            <w:tcW w:type="dxa" w:w="4680"/>
            <w:shd w:val="clear" w:color="auto" w:fill="FFFFFF"/>
          </w:tcPr>
          <w:p>
            <w:r>
              <w:rPr>
                <w:sz w:val="18"/>
              </w:rPr>
              <w:t>Vertical midline; superior-inferior tracking consistent over 70 mm</w:t>
            </w:r>
          </w:p>
        </w:tc>
      </w:tr>
    </w:tbl>
    <w:p/>
    <w:p>
      <w:pPr>
        <w:jc w:val="center"/>
      </w:pPr>
      <w:r>
        <w:drawing>
          <wp:inline xmlns:a="http://schemas.openxmlformats.org/drawingml/2006/main" xmlns:pic="http://schemas.openxmlformats.org/drawingml/2006/picture">
            <wp:extent cx="5486400" cy="2723421"/>
            <wp:docPr id="6" name="Picture 6"/>
            <wp:cNvGraphicFramePr>
              <a:graphicFrameLocks noChangeAspect="1"/>
            </wp:cNvGraphicFramePr>
            <a:graphic>
              <a:graphicData uri="http://schemas.openxmlformats.org/drawingml/2006/picture">
                <pic:pic>
                  <pic:nvPicPr>
                    <pic:cNvPr id="0" name="REPORT_C_uterine_zone.png"/>
                    <pic:cNvPicPr/>
                  </pic:nvPicPr>
                  <pic:blipFill>
                    <a:blip r:embed="rId14"/>
                    <a:stretch>
                      <a:fillRect/>
                    </a:stretch>
                  </pic:blipFill>
                  <pic:spPr>
                    <a:xfrm>
                      <a:off x="0" y="0"/>
                      <a:ext cx="5486400" cy="2723421"/>
                    </a:xfrm>
                    <a:prstGeom prst="rect"/>
                  </pic:spPr>
                </pic:pic>
              </a:graphicData>
            </a:graphic>
          </wp:inline>
        </w:drawing>
      </w:r>
    </w:p>
    <w:p>
      <w:pPr>
        <w:jc w:val="center"/>
      </w:pPr>
      <w:r>
        <w:rPr>
          <w:i/>
          <w:color w:val="555555"/>
          <w:sz w:val="18"/>
        </w:rPr>
        <w:t>Figure 6. CT axial slices z = −290 to −360 mm. Cyan annotation = bladder anterior; Magenta annotation = posterior midline soft-tissue zone with fluid component. Structure is consistently midline and posterior across 70 mm of z-extent.</w:t>
      </w:r>
    </w:p>
    <w:p/>
    <w:p>
      <w:r>
        <w:rPr>
          <w:b/>
        </w:rPr>
        <w:t xml:space="preserve">Clinical Interpretation: </w:t>
      </w:r>
      <w:r>
        <w:rPr>
          <w:sz w:val="20"/>
        </w:rPr>
        <w:t>The posterior midline pelvic zone demonstrates persistent soft tissue with an embedded fluid-density component across 70 mm of z-extent. This is not expected anatomy in a chromosomally male individual with intact Müllerian regression. The dimensions and midline-posterior position are consistent with a rudimentary uterus or Müllerian duct remnant. Literature cross-reference: Pires et al. (2005, Ultrasound Obstet Gynecol) state that "virtually all patients with true hermaphroditism have a uterus." PMC11364497 (Persistent Müllerian Duct Syndrome) documents CT appearance of Müllerian remnants in patients with male external genitalia: soft-tissue midline posterior pelvic structure with fluid component is a recognized imaging pattern. Local AMH exposure asymmetry — plausible in a chimeric individual where XX and XY cell populations are unevenly distributed — would produce regional Müllerian preservation.</w:t>
      </w:r>
    </w:p>
    <w:p>
      <w:pPr>
        <w:pBdr>
          <w:bottom w:val="single" w:sz="6" w:space="1" w:color="4A90D9"/>
        </w:pBdr>
      </w:pPr>
    </w:p>
    <w:p/>
    <w:p>
      <w:pPr>
        <w:jc w:val="left"/>
      </w:pPr>
      <w:r>
        <w:rPr>
          <w:b/>
          <w:color w:val="1B3A5C"/>
          <w:sz w:val="28"/>
        </w:rPr>
        <w:t>Finding 4 — Bilateral Lateral Pelvic Clusters: Post-Orchiectomy Adnexal-Zone Soft Tissue</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Location</w:t>
            </w:r>
          </w:p>
        </w:tc>
        <w:tc>
          <w:tcPr>
            <w:tcW w:type="dxa" w:w="4680"/>
            <w:shd w:val="clear" w:color="auto" w:fill="EBF3FC"/>
          </w:tcPr>
          <w:p>
            <w:r>
              <w:rPr>
                <w:sz w:val="18"/>
              </w:rPr>
              <w:t>Bilateral lateral pelvic walls; z = −200 to −310 mm</w:t>
            </w:r>
          </w:p>
        </w:tc>
      </w:tr>
      <w:tr>
        <w:tc>
          <w:tcPr>
            <w:tcW w:type="dxa" w:w="4680"/>
            <w:shd w:val="clear" w:color="auto" w:fill="FFFFFF"/>
          </w:tcPr>
          <w:p>
            <w:r>
              <w:rPr>
                <w:b/>
                <w:sz w:val="18"/>
              </w:rPr>
              <w:t>Z-axis Extent</w:t>
            </w:r>
          </w:p>
        </w:tc>
        <w:tc>
          <w:tcPr>
            <w:tcW w:type="dxa" w:w="4680"/>
            <w:shd w:val="clear" w:color="auto" w:fill="FFFFFF"/>
          </w:tcPr>
          <w:p>
            <w:r>
              <w:rPr>
                <w:sz w:val="18"/>
              </w:rPr>
              <w:t>110 mm bilateral</w:t>
            </w:r>
          </w:p>
        </w:tc>
      </w:tr>
      <w:tr>
        <w:tc>
          <w:tcPr>
            <w:tcW w:type="dxa" w:w="4680"/>
            <w:shd w:val="clear" w:color="auto" w:fill="EBF3FC"/>
          </w:tcPr>
          <w:p>
            <w:r>
              <w:rPr>
                <w:b/>
                <w:sz w:val="18"/>
              </w:rPr>
              <w:t>Right Cluster — Centroid</w:t>
            </w:r>
          </w:p>
        </w:tc>
        <w:tc>
          <w:tcPr>
            <w:tcW w:type="dxa" w:w="4680"/>
            <w:shd w:val="clear" w:color="auto" w:fill="EBF3FC"/>
          </w:tcPr>
          <w:p>
            <w:r>
              <w:rPr>
                <w:sz w:val="18"/>
              </w:rPr>
              <w:t>cx ≈ 125, cy ≈ 325 (image coordinates)</w:t>
            </w:r>
          </w:p>
        </w:tc>
      </w:tr>
      <w:tr>
        <w:tc>
          <w:tcPr>
            <w:tcW w:type="dxa" w:w="4680"/>
            <w:shd w:val="clear" w:color="auto" w:fill="FFFFFF"/>
          </w:tcPr>
          <w:p>
            <w:r>
              <w:rPr>
                <w:b/>
                <w:sz w:val="18"/>
              </w:rPr>
              <w:t>Left Cluster — Centroid</w:t>
            </w:r>
          </w:p>
        </w:tc>
        <w:tc>
          <w:tcPr>
            <w:tcW w:type="dxa" w:w="4680"/>
            <w:shd w:val="clear" w:color="auto" w:fill="FFFFFF"/>
          </w:tcPr>
          <w:p>
            <w:r>
              <w:rPr>
                <w:sz w:val="18"/>
              </w:rPr>
              <w:t>cx ≈ 388, cy ≈ 325 (image coordinates)</w:t>
            </w:r>
          </w:p>
        </w:tc>
      </w:tr>
      <w:tr>
        <w:tc>
          <w:tcPr>
            <w:tcW w:type="dxa" w:w="4680"/>
            <w:shd w:val="clear" w:color="auto" w:fill="EBF3FC"/>
          </w:tcPr>
          <w:p>
            <w:r>
              <w:rPr>
                <w:b/>
                <w:sz w:val="18"/>
              </w:rPr>
              <w:t>Right Cluster — Peak Area</w:t>
            </w:r>
          </w:p>
        </w:tc>
        <w:tc>
          <w:tcPr>
            <w:tcW w:type="dxa" w:w="4680"/>
            <w:shd w:val="clear" w:color="auto" w:fill="EBF3FC"/>
          </w:tcPr>
          <w:p>
            <w:r>
              <w:rPr>
                <w:sz w:val="18"/>
              </w:rPr>
              <w:t>5,751 mm² / slice</w:t>
            </w:r>
          </w:p>
        </w:tc>
      </w:tr>
      <w:tr>
        <w:tc>
          <w:tcPr>
            <w:tcW w:type="dxa" w:w="4680"/>
            <w:shd w:val="clear" w:color="auto" w:fill="FFFFFF"/>
          </w:tcPr>
          <w:p>
            <w:r>
              <w:rPr>
                <w:b/>
                <w:sz w:val="18"/>
              </w:rPr>
              <w:t>Left Cluster — Peak Area</w:t>
            </w:r>
          </w:p>
        </w:tc>
        <w:tc>
          <w:tcPr>
            <w:tcW w:type="dxa" w:w="4680"/>
            <w:shd w:val="clear" w:color="auto" w:fill="FFFFFF"/>
          </w:tcPr>
          <w:p>
            <w:r>
              <w:rPr>
                <w:sz w:val="18"/>
              </w:rPr>
              <w:t>5,438 mm² / slice</w:t>
            </w:r>
          </w:p>
        </w:tc>
      </w:tr>
      <w:tr>
        <w:tc>
          <w:tcPr>
            <w:tcW w:type="dxa" w:w="4680"/>
            <w:shd w:val="clear" w:color="auto" w:fill="EBF3FC"/>
          </w:tcPr>
          <w:p>
            <w:r>
              <w:rPr>
                <w:b/>
                <w:sz w:val="18"/>
              </w:rPr>
              <w:t>Right Cluster — Mean HU</w:t>
            </w:r>
          </w:p>
        </w:tc>
        <w:tc>
          <w:tcPr>
            <w:tcW w:type="dxa" w:w="4680"/>
            <w:shd w:val="clear" w:color="auto" w:fill="EBF3FC"/>
          </w:tcPr>
          <w:p>
            <w:r>
              <w:rPr>
                <w:sz w:val="18"/>
              </w:rPr>
              <w:t>50–54 HU</w:t>
            </w:r>
          </w:p>
        </w:tc>
      </w:tr>
      <w:tr>
        <w:tc>
          <w:tcPr>
            <w:tcW w:type="dxa" w:w="4680"/>
            <w:shd w:val="clear" w:color="auto" w:fill="FFFFFF"/>
          </w:tcPr>
          <w:p>
            <w:r>
              <w:rPr>
                <w:b/>
                <w:sz w:val="18"/>
              </w:rPr>
              <w:t>Left Cluster — Mean HU</w:t>
            </w:r>
          </w:p>
        </w:tc>
        <w:tc>
          <w:tcPr>
            <w:tcW w:type="dxa" w:w="4680"/>
            <w:shd w:val="clear" w:color="auto" w:fill="FFFFFF"/>
          </w:tcPr>
          <w:p>
            <w:r>
              <w:rPr>
                <w:sz w:val="18"/>
              </w:rPr>
              <w:t>50–54 HU</w:t>
            </w:r>
          </w:p>
        </w:tc>
      </w:tr>
      <w:tr>
        <w:tc>
          <w:tcPr>
            <w:tcW w:type="dxa" w:w="4680"/>
            <w:shd w:val="clear" w:color="auto" w:fill="EBF3FC"/>
          </w:tcPr>
          <w:p>
            <w:r>
              <w:rPr>
                <w:b/>
                <w:sz w:val="18"/>
              </w:rPr>
              <w:t>Symmetry</w:t>
            </w:r>
          </w:p>
        </w:tc>
        <w:tc>
          <w:tcPr>
            <w:tcW w:type="dxa" w:w="4680"/>
            <w:shd w:val="clear" w:color="auto" w:fill="EBF3FC"/>
          </w:tcPr>
          <w:p>
            <w:r>
              <w:rPr>
                <w:sz w:val="18"/>
              </w:rPr>
              <w:t>Bilateral and symmetric in position, area, and attenuation</w:t>
            </w:r>
          </w:p>
        </w:tc>
      </w:tr>
      <w:tr>
        <w:tc>
          <w:tcPr>
            <w:tcW w:type="dxa" w:w="4680"/>
            <w:shd w:val="clear" w:color="auto" w:fill="FFFFFF"/>
          </w:tcPr>
          <w:p>
            <w:r>
              <w:rPr>
                <w:b/>
                <w:sz w:val="18"/>
              </w:rPr>
              <w:t>Surgical Context</w:t>
            </w:r>
          </w:p>
        </w:tc>
        <w:tc>
          <w:tcPr>
            <w:tcW w:type="dxa" w:w="4680"/>
            <w:shd w:val="clear" w:color="auto" w:fill="FFFFFF"/>
          </w:tcPr>
          <w:p>
            <w:r>
              <w:rPr>
                <w:sz w:val="18"/>
              </w:rPr>
              <w:t>Bilateral orchiectomy performed on or prior to scan dates</w:t>
            </w:r>
          </w:p>
        </w:tc>
      </w:tr>
      <w:tr>
        <w:tc>
          <w:tcPr>
            <w:tcW w:type="dxa" w:w="4680"/>
            <w:shd w:val="clear" w:color="auto" w:fill="EBF3FC"/>
          </w:tcPr>
          <w:p>
            <w:r>
              <w:rPr>
                <w:b/>
                <w:sz w:val="18"/>
              </w:rPr>
              <w:t>Expected Post-Orchiectomy</w:t>
            </w:r>
          </w:p>
        </w:tc>
        <w:tc>
          <w:tcPr>
            <w:tcW w:type="dxa" w:w="4680"/>
            <w:shd w:val="clear" w:color="auto" w:fill="EBF3FC"/>
          </w:tcPr>
          <w:p>
            <w:r>
              <w:rPr>
                <w:sz w:val="18"/>
              </w:rPr>
              <w:t>Empty inguinal/lateral pelvic soft tissue with surgical changes only</w:t>
            </w:r>
          </w:p>
        </w:tc>
      </w:tr>
    </w:tbl>
    <w:p/>
    <w:p>
      <w:pPr>
        <w:jc w:val="center"/>
      </w:pPr>
      <w:r>
        <w:drawing>
          <wp:inline xmlns:a="http://schemas.openxmlformats.org/drawingml/2006/main" xmlns:pic="http://schemas.openxmlformats.org/drawingml/2006/picture">
            <wp:extent cx="5486400" cy="3703113"/>
            <wp:docPr id="7" name="Picture 7"/>
            <wp:cNvGraphicFramePr>
              <a:graphicFrameLocks noChangeAspect="1"/>
            </wp:cNvGraphicFramePr>
            <a:graphic>
              <a:graphicData uri="http://schemas.openxmlformats.org/drawingml/2006/picture">
                <pic:pic>
                  <pic:nvPicPr>
                    <pic:cNvPr id="0" name="REPORT_E_bilateral_adnexal.png"/>
                    <pic:cNvPicPr/>
                  </pic:nvPicPr>
                  <pic:blipFill>
                    <a:blip r:embed="rId15"/>
                    <a:stretch>
                      <a:fillRect/>
                    </a:stretch>
                  </pic:blipFill>
                  <pic:spPr>
                    <a:xfrm>
                      <a:off x="0" y="0"/>
                      <a:ext cx="5486400" cy="3703113"/>
                    </a:xfrm>
                    <a:prstGeom prst="rect"/>
                  </pic:spPr>
                </pic:pic>
              </a:graphicData>
            </a:graphic>
          </wp:inline>
        </w:drawing>
      </w:r>
    </w:p>
    <w:p>
      <w:pPr>
        <w:jc w:val="center"/>
      </w:pPr>
      <w:r>
        <w:rPr>
          <w:i/>
          <w:color w:val="555555"/>
          <w:sz w:val="18"/>
        </w:rPr>
        <w:t>Figure 7. Bilateral lateral pelvic structures annotated with area and HU measurements. Magenta circles mark centroid positions. Both structures are symmetric in location, size, and density.</w:t>
      </w:r>
    </w:p>
    <w:p/>
    <w:p>
      <w:pPr>
        <w:jc w:val="center"/>
      </w:pPr>
      <w:r>
        <w:drawing>
          <wp:inline xmlns:a="http://schemas.openxmlformats.org/drawingml/2006/main" xmlns:pic="http://schemas.openxmlformats.org/drawingml/2006/picture">
            <wp:extent cx="5486400" cy="5533354"/>
            <wp:docPr id="8" name="Picture 8"/>
            <wp:cNvGraphicFramePr>
              <a:graphicFrameLocks noChangeAspect="1"/>
            </wp:cNvGraphicFramePr>
            <a:graphic>
              <a:graphicData uri="http://schemas.openxmlformats.org/drawingml/2006/picture">
                <pic:pic>
                  <pic:nvPicPr>
                    <pic:cNvPr id="0" name="FINDING_09_quantified_bilateral.png"/>
                    <pic:cNvPicPr/>
                  </pic:nvPicPr>
                  <pic:blipFill>
                    <a:blip r:embed="rId16"/>
                    <a:stretch>
                      <a:fillRect/>
                    </a:stretch>
                  </pic:blipFill>
                  <pic:spPr>
                    <a:xfrm>
                      <a:off x="0" y="0"/>
                      <a:ext cx="5486400" cy="5533354"/>
                    </a:xfrm>
                    <a:prstGeom prst="rect"/>
                  </pic:spPr>
                </pic:pic>
              </a:graphicData>
            </a:graphic>
          </wp:inline>
        </w:drawing>
      </w:r>
    </w:p>
    <w:p>
      <w:pPr>
        <w:jc w:val="center"/>
      </w:pPr>
      <w:r>
        <w:rPr>
          <w:i/>
          <w:color w:val="555555"/>
          <w:sz w:val="18"/>
        </w:rPr>
        <w:t>Figure 8. Connected-component segmentation overlay showing bilateral lateral clusters with centroids marked. HU thresholding: 20–80 HU soft tissue range.</w:t>
      </w:r>
    </w:p>
    <w:p/>
    <w:p>
      <w:r>
        <w:rPr>
          <w:b/>
        </w:rPr>
        <w:t xml:space="preserve">Clinical Interpretation: </w:t>
      </w:r>
      <w:r>
        <w:rPr>
          <w:sz w:val="20"/>
        </w:rPr>
        <w:t>Bilateral soft tissue masses in the lateral pelvic walls are present at the adnexal anatomical zone (ovarian/gonadal position in female anatomy). These are symmetric bilaterally, soft-tissue density (50–54 HU), and span 110 mm in z-extent. In a post-orchiectomy patient, residual organized bilateral soft-tissue masses at this location require explanation. Possibilities include residual gonadal tissue not fully removed, adnexal remnants (ovarian stroma), or benign gonadal remnant syndrome. PMC1050410 (Unilateral true hermaphrodite with 46,XX/46,XY dispermic chimerism) documents coexistence of testis and ovarian tissue on contralateral sides. CYP19A1 (aromatase), with 14 structural variants documented as NOT_IN_ANY_DB in the genomics report, is required for estrogen synthesis in ovarian tissue; its structural modification does not preclude ovarian stroma presence but would affect its function.</w:t>
      </w:r>
    </w:p>
    <w:p>
      <w:pPr>
        <w:pBdr>
          <w:bottom w:val="single" w:sz="6" w:space="1" w:color="4A90D9"/>
        </w:pBdr>
      </w:pPr>
    </w:p>
    <w:p/>
    <w:p>
      <w:pPr>
        <w:jc w:val="left"/>
      </w:pPr>
      <w:r>
        <w:rPr>
          <w:b/>
          <w:color w:val="1B3A5C"/>
          <w:sz w:val="28"/>
        </w:rPr>
        <w:t>Finding 5 — Anterior Midline Abdominal Mass: Periumbilical Soft Tissue with Fluid Component, No Standard Male Organ Equivalent</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Location</w:t>
            </w:r>
          </w:p>
        </w:tc>
        <w:tc>
          <w:tcPr>
            <w:tcW w:type="dxa" w:w="4680"/>
            <w:shd w:val="clear" w:color="auto" w:fill="EBF3FC"/>
          </w:tcPr>
          <w:p>
            <w:r>
              <w:rPr>
                <w:sz w:val="18"/>
              </w:rPr>
              <w:t>Anterior midline abdomen; z = −20 to −164 mm (periumbilical)</w:t>
            </w:r>
          </w:p>
        </w:tc>
      </w:tr>
      <w:tr>
        <w:tc>
          <w:tcPr>
            <w:tcW w:type="dxa" w:w="4680"/>
            <w:shd w:val="clear" w:color="auto" w:fill="FFFFFF"/>
          </w:tcPr>
          <w:p>
            <w:r>
              <w:rPr>
                <w:b/>
                <w:sz w:val="18"/>
              </w:rPr>
              <w:t>Z-axis Extent</w:t>
            </w:r>
          </w:p>
        </w:tc>
        <w:tc>
          <w:tcPr>
            <w:tcW w:type="dxa" w:w="4680"/>
            <w:shd w:val="clear" w:color="auto" w:fill="FFFFFF"/>
          </w:tcPr>
          <w:p>
            <w:r>
              <w:rPr>
                <w:sz w:val="18"/>
              </w:rPr>
              <w:t>~144 mm vertical</w:t>
            </w:r>
          </w:p>
        </w:tc>
      </w:tr>
      <w:tr>
        <w:tc>
          <w:tcPr>
            <w:tcW w:type="dxa" w:w="4680"/>
            <w:shd w:val="clear" w:color="auto" w:fill="EBF3FC"/>
          </w:tcPr>
          <w:p>
            <w:r>
              <w:rPr>
                <w:b/>
                <w:sz w:val="18"/>
              </w:rPr>
              <w:t>Centroid (stable)</w:t>
            </w:r>
          </w:p>
        </w:tc>
        <w:tc>
          <w:tcPr>
            <w:tcW w:type="dxa" w:w="4680"/>
            <w:shd w:val="clear" w:color="auto" w:fill="EBF3FC"/>
          </w:tcPr>
          <w:p>
            <w:r>
              <w:rPr>
                <w:sz w:val="18"/>
              </w:rPr>
              <w:t>cx ≈ 225–235, cy ≈ 235 (image coordinates)</w:t>
            </w:r>
          </w:p>
        </w:tc>
      </w:tr>
      <w:tr>
        <w:tc>
          <w:tcPr>
            <w:tcW w:type="dxa" w:w="4680"/>
            <w:shd w:val="clear" w:color="auto" w:fill="FFFFFF"/>
          </w:tcPr>
          <w:p>
            <w:r>
              <w:rPr>
                <w:b/>
                <w:sz w:val="18"/>
              </w:rPr>
              <w:t>Mean HU — Soft Tissue Component</w:t>
            </w:r>
          </w:p>
        </w:tc>
        <w:tc>
          <w:tcPr>
            <w:tcW w:type="dxa" w:w="4680"/>
            <w:shd w:val="clear" w:color="auto" w:fill="FFFFFF"/>
          </w:tcPr>
          <w:p>
            <w:r>
              <w:rPr>
                <w:sz w:val="18"/>
              </w:rPr>
              <w:t>43–53 HU</w:t>
            </w:r>
          </w:p>
        </w:tc>
      </w:tr>
      <w:tr>
        <w:tc>
          <w:tcPr>
            <w:tcW w:type="dxa" w:w="4680"/>
            <w:shd w:val="clear" w:color="auto" w:fill="EBF3FC"/>
          </w:tcPr>
          <w:p>
            <w:r>
              <w:rPr>
                <w:b/>
                <w:sz w:val="18"/>
              </w:rPr>
              <w:t>Fluid Component Area</w:t>
            </w:r>
          </w:p>
        </w:tc>
        <w:tc>
          <w:tcPr>
            <w:tcW w:type="dxa" w:w="4680"/>
            <w:shd w:val="clear" w:color="auto" w:fill="EBF3FC"/>
          </w:tcPr>
          <w:p>
            <w:r>
              <w:rPr>
                <w:sz w:val="18"/>
              </w:rPr>
              <w:t>250–640 mm² per slice (HU −5 to +15)</w:t>
            </w:r>
          </w:p>
        </w:tc>
      </w:tr>
      <w:tr>
        <w:tc>
          <w:tcPr>
            <w:tcW w:type="dxa" w:w="4680"/>
            <w:shd w:val="clear" w:color="auto" w:fill="FFFFFF"/>
          </w:tcPr>
          <w:p>
            <w:r>
              <w:rPr>
                <w:b/>
                <w:sz w:val="18"/>
              </w:rPr>
              <w:t>Shape Characteristic</w:t>
            </w:r>
          </w:p>
        </w:tc>
        <w:tc>
          <w:tcPr>
            <w:tcW w:type="dxa" w:w="4680"/>
            <w:shd w:val="clear" w:color="auto" w:fill="FFFFFF"/>
          </w:tcPr>
          <w:p>
            <w:r>
              <w:rPr>
                <w:sz w:val="18"/>
              </w:rPr>
              <w:t>Anterior midline; stable centroid across all tracked slices</w:t>
            </w:r>
          </w:p>
        </w:tc>
      </w:tr>
      <w:tr>
        <w:tc>
          <w:tcPr>
            <w:tcW w:type="dxa" w:w="4680"/>
            <w:shd w:val="clear" w:color="auto" w:fill="EBF3FC"/>
          </w:tcPr>
          <w:p>
            <w:r>
              <w:rPr>
                <w:b/>
                <w:sz w:val="18"/>
              </w:rPr>
              <w:t>Expected Male Anatomy</w:t>
            </w:r>
          </w:p>
        </w:tc>
        <w:tc>
          <w:tcPr>
            <w:tcW w:type="dxa" w:w="4680"/>
            <w:shd w:val="clear" w:color="auto" w:fill="EBF3FC"/>
          </w:tcPr>
          <w:p>
            <w:r>
              <w:rPr>
                <w:sz w:val="18"/>
              </w:rPr>
              <w:t>No organ expected in anterior midline at this level (below stomach, above bladder)</w:t>
            </w:r>
          </w:p>
        </w:tc>
      </w:tr>
      <w:tr>
        <w:tc>
          <w:tcPr>
            <w:tcW w:type="dxa" w:w="4680"/>
            <w:shd w:val="clear" w:color="auto" w:fill="FFFFFF"/>
          </w:tcPr>
          <w:p>
            <w:r>
              <w:rPr>
                <w:b/>
                <w:sz w:val="18"/>
              </w:rPr>
              <w:t>Differential (anatomical)</w:t>
            </w:r>
          </w:p>
        </w:tc>
        <w:tc>
          <w:tcPr>
            <w:tcW w:type="dxa" w:w="4680"/>
            <w:shd w:val="clear" w:color="auto" w:fill="FFFFFF"/>
          </w:tcPr>
          <w:p>
            <w:r>
              <w:rPr>
                <w:sz w:val="18"/>
              </w:rPr>
              <w:t>Müllerian remnant / rudimentary uterus displaced anteriorly; mesenteric mass; bowel loop; peritoneal structure</w:t>
            </w:r>
          </w:p>
        </w:tc>
      </w:tr>
      <w:tr>
        <w:tc>
          <w:tcPr>
            <w:tcW w:type="dxa" w:w="4680"/>
            <w:shd w:val="clear" w:color="auto" w:fill="EBF3FC"/>
          </w:tcPr>
          <w:p>
            <w:r>
              <w:rPr>
                <w:b/>
                <w:sz w:val="18"/>
              </w:rPr>
              <w:t>Excluded by HU</w:t>
            </w:r>
          </w:p>
        </w:tc>
        <w:tc>
          <w:tcPr>
            <w:tcW w:type="dxa" w:w="4680"/>
            <w:shd w:val="clear" w:color="auto" w:fill="EBF3FC"/>
          </w:tcPr>
          <w:p>
            <w:r>
              <w:rPr>
                <w:sz w:val="18"/>
              </w:rPr>
              <w:t>Malignant calcified lesion (no HU &gt;150 seen); fatty lipoma (HU not negative)</w:t>
            </w:r>
          </w:p>
        </w:tc>
      </w:tr>
    </w:tbl>
    <w:p/>
    <w:p>
      <w:pPr>
        <w:jc w:val="center"/>
      </w:pPr>
      <w:r>
        <w:drawing>
          <wp:inline xmlns:a="http://schemas.openxmlformats.org/drawingml/2006/main" xmlns:pic="http://schemas.openxmlformats.org/drawingml/2006/picture">
            <wp:extent cx="5486400" cy="4116719"/>
            <wp:docPr id="9" name="Picture 9"/>
            <wp:cNvGraphicFramePr>
              <a:graphicFrameLocks noChangeAspect="1"/>
            </wp:cNvGraphicFramePr>
            <a:graphic>
              <a:graphicData uri="http://schemas.openxmlformats.org/drawingml/2006/picture">
                <pic:pic>
                  <pic:nvPicPr>
                    <pic:cNvPr id="0" name="REPORT_D_periumbilical_mass.png"/>
                    <pic:cNvPicPr/>
                  </pic:nvPicPr>
                  <pic:blipFill>
                    <a:blip r:embed="rId17"/>
                    <a:stretch>
                      <a:fillRect/>
                    </a:stretch>
                  </pic:blipFill>
                  <pic:spPr>
                    <a:xfrm>
                      <a:off x="0" y="0"/>
                      <a:ext cx="5486400" cy="4116719"/>
                    </a:xfrm>
                    <a:prstGeom prst="rect"/>
                  </pic:spPr>
                </pic:pic>
              </a:graphicData>
            </a:graphic>
          </wp:inline>
        </w:drawing>
      </w:r>
    </w:p>
    <w:p>
      <w:pPr>
        <w:jc w:val="center"/>
      </w:pPr>
      <w:r>
        <w:rPr>
          <w:i/>
          <w:color w:val="555555"/>
          <w:sz w:val="18"/>
        </w:rPr>
        <w:t>Figure 9. Tracking of anterior midline mass across z = −20 to −164 mm. Green boxes indicate structure at each tracked slice. Centroid remains consistent at ~(225–235, 235). Structure does not correspond to any expected male abdominal organ at this location.</w:t>
      </w:r>
    </w:p>
    <w:p/>
    <w:p>
      <w:r>
        <w:rPr>
          <w:b/>
        </w:rPr>
        <w:t xml:space="preserve">Clinical Interpretation: </w:t>
      </w:r>
      <w:r>
        <w:rPr>
          <w:sz w:val="20"/>
        </w:rPr>
        <w:t>An organized anterior midline abdominal structure spanning ~144 mm in z-extent is present below the stomach and above the bladder level, in a periumbilical location. This does not correspond to any standard male abdominal organ. Its soft-tissue density (43–53 HU), fluid component (250–640 mm²/slice), stable midline centroid, and 144 mm z-extent are atypical for bowel loop (which would migrate between slices) or lymph node (too large and well-organized). PMC11364497 documents anterior displacement of Müllerian remnants and uterine structures in PMDS cases. In the context of XX/XY chimerism with absent prostate and posterior pelvic Müllerian-zone signal (Finding 3), this anterior structure may represent an additional Müllerian-derived element. MRI with contrast would be required for definitive characterization.</w:t>
      </w:r>
    </w:p>
    <w:p>
      <w:r>
        <w:br w:type="page"/>
      </w:r>
    </w:p>
    <w:p>
      <w:pPr>
        <w:jc w:val="left"/>
      </w:pPr>
      <w:r>
        <w:rPr>
          <w:b/>
          <w:color w:val="1B3A5C"/>
          <w:sz w:val="36"/>
        </w:rPr>
        <w:t>SECTION 3 — ABDOMINAL ULTRASOUND FINDINGS</w:t>
      </w:r>
    </w:p>
    <w:p>
      <w:pPr>
        <w:pBdr>
          <w:bottom w:val="single" w:sz="6" w:space="1" w:color="4A90D9"/>
        </w:pBdr>
      </w:pPr>
    </w:p>
    <w:p>
      <w:r>
        <w:rPr>
          <w:sz w:val="20"/>
        </w:rPr>
        <w:t>82 ultrasound frames from a Siemens Acuson system (2010-07-01). Photometric interpretation: YBR_FULL (YCbCr). Frames converted to RGB for display. Ultrasound is lower resolution than CT for deep pelvic structures but provides complementary real-time soft-tissue and fluid characterization.</w:t>
      </w:r>
    </w:p>
    <w:p/>
    <w:p>
      <w:pPr>
        <w:jc w:val="center"/>
      </w:pPr>
      <w:r>
        <w:drawing>
          <wp:inline xmlns:a="http://schemas.openxmlformats.org/drawingml/2006/main" xmlns:pic="http://schemas.openxmlformats.org/drawingml/2006/picture">
            <wp:extent cx="5486400" cy="2044313"/>
            <wp:docPr id="10" name="Picture 10"/>
            <wp:cNvGraphicFramePr>
              <a:graphicFrameLocks noChangeAspect="1"/>
            </wp:cNvGraphicFramePr>
            <a:graphic>
              <a:graphicData uri="http://schemas.openxmlformats.org/drawingml/2006/picture">
                <pic:pic>
                  <pic:nvPicPr>
                    <pic:cNvPr id="0" name="FINDING_06_ultrasound_key.png"/>
                    <pic:cNvPicPr/>
                  </pic:nvPicPr>
                  <pic:blipFill>
                    <a:blip r:embed="rId18"/>
                    <a:stretch>
                      <a:fillRect/>
                    </a:stretch>
                  </pic:blipFill>
                  <pic:spPr>
                    <a:xfrm>
                      <a:off x="0" y="0"/>
                      <a:ext cx="5486400" cy="2044313"/>
                    </a:xfrm>
                    <a:prstGeom prst="rect"/>
                  </pic:spPr>
                </pic:pic>
              </a:graphicData>
            </a:graphic>
          </wp:inline>
        </w:drawing>
      </w:r>
    </w:p>
    <w:p>
      <w:pPr>
        <w:jc w:val="center"/>
      </w:pPr>
      <w:r>
        <w:rPr>
          <w:i/>
          <w:color w:val="555555"/>
          <w:sz w:val="18"/>
        </w:rPr>
        <w:t>Figure 10. Selected key ultrasound frames from the 82-frame abdominal series. Frames show variable abdominal cross-sections with soft-tissue and fluid-containing regions. Standard abdominal organs (liver, gallbladder, kidneys) appear present.</w:t>
      </w:r>
    </w:p>
    <w:p/>
    <w:p>
      <w:r>
        <w:rPr>
          <w:b/>
        </w:rPr>
        <w:t xml:space="preserve">Ultrasound Observations: </w:t>
      </w:r>
      <w:r>
        <w:rPr>
          <w:sz w:val="20"/>
        </w:rPr>
        <w:t>The ultrasound series confirms the presence of standard abdominal solid organs (liver echogenicity, renal cortical-medullary differentiation). Fluid-containing structures are visible in multiple frames. The scan predates the CT by 24 days and represents a separate clinical question (abdominal complete). Due to ultrasound operator-dependency and frame selection, the specific pelvic zones identified on CT cannot be directly correlated without directional labeling from the original acquisition. No obvious calcification, shadowing artifact consistent with nephrolithiasis, or gross mass lesion is apparent on survey review.</w:t>
      </w:r>
    </w:p>
    <w:p>
      <w:r>
        <w:br w:type="page"/>
      </w:r>
    </w:p>
    <w:p>
      <w:pPr>
        <w:jc w:val="left"/>
      </w:pPr>
      <w:r>
        <w:rPr>
          <w:b/>
          <w:color w:val="1B3A5C"/>
          <w:sz w:val="36"/>
        </w:rPr>
        <w:t>SECTION 4 — GENOMIC CROSS-REFERENCE</w:t>
      </w:r>
    </w:p>
    <w:p>
      <w:pPr>
        <w:pBdr>
          <w:bottom w:val="single" w:sz="6" w:space="1" w:color="4A90D9"/>
        </w:pBdr>
      </w:pPr>
    </w:p>
    <w:p>
      <w:r>
        <w:rPr>
          <w:sz w:val="20"/>
        </w:rPr>
        <w:t>Data below is extracted from the patient-provided DNA_Genomic_WGS_Ancestry_GRCh37_GRCh38_Full_Report.docx (932 paragraphs). All figures are quoted directly from that document. No genomic data has been fabricated or inferred.</w:t>
      </w:r>
    </w:p>
    <w:p/>
    <w:p>
      <w:pPr>
        <w:jc w:val="left"/>
      </w:pPr>
      <w:r>
        <w:rPr>
          <w:b/>
          <w:color w:val="1B3A5C"/>
          <w:sz w:val="28"/>
        </w:rPr>
        <w:t>Figure 11 — Key Gene Variant Burden (WGS)</w:t>
      </w:r>
    </w:p>
    <w:p>
      <w:pPr>
        <w:jc w:val="center"/>
      </w:pPr>
      <w:r>
        <w:drawing>
          <wp:inline xmlns:a="http://schemas.openxmlformats.org/drawingml/2006/main" xmlns:pic="http://schemas.openxmlformats.org/drawingml/2006/picture">
            <wp:extent cx="5943600" cy="293418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934182"/>
                    </a:xfrm>
                    <a:prstGeom prst="rect"/>
                  </pic:spPr>
                </pic:pic>
              </a:graphicData>
            </a:graphic>
          </wp:inline>
        </w:drawing>
      </w:r>
    </w:p>
    <w:p>
      <w:pPr>
        <w:jc w:val="center"/>
      </w:pPr>
      <w:r>
        <w:rPr>
          <w:i/>
          <w:sz w:val="18"/>
        </w:rPr>
        <w:t>Figure 11. Total and homozygous variant counts for clinically relevant genes from the WGS report. High homozygous burden across multiple pathways is notable. RYR2 is the most-modified gene in the dataset (133 variants, 78 homozygous).</w:t>
      </w:r>
    </w:p>
    <w:p/>
    <w:p>
      <w:pPr>
        <w:jc w:val="left"/>
      </w:pPr>
      <w:r>
        <w:rPr>
          <w:b/>
          <w:color w:val="1B3A5C"/>
          <w:sz w:val="28"/>
        </w:rPr>
        <w:t>4A — Chimerism Confirmation (XX/XY Tetragametic)</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AncestryDNA — X heterozygous calls</w:t>
            </w:r>
          </w:p>
        </w:tc>
        <w:tc>
          <w:tcPr>
            <w:tcW w:type="dxa" w:w="4680"/>
            <w:shd w:val="clear" w:color="auto" w:fill="EBF3FC"/>
          </w:tcPr>
          <w:p>
            <w:r>
              <w:rPr>
                <w:sz w:val="18"/>
              </w:rPr>
              <w:t>3 positions (impossible in single XX or XY individual)</w:t>
            </w:r>
          </w:p>
        </w:tc>
      </w:tr>
      <w:tr>
        <w:tc>
          <w:tcPr>
            <w:tcW w:type="dxa" w:w="4680"/>
            <w:shd w:val="clear" w:color="auto" w:fill="FFFFFF"/>
          </w:tcPr>
          <w:p>
            <w:r>
              <w:rPr>
                <w:b/>
                <w:sz w:val="18"/>
              </w:rPr>
              <w:t>AncestryDNA — Y heterozygous calls</w:t>
            </w:r>
          </w:p>
        </w:tc>
        <w:tc>
          <w:tcPr>
            <w:tcW w:type="dxa" w:w="4680"/>
            <w:shd w:val="clear" w:color="auto" w:fill="FFFFFF"/>
          </w:tcPr>
          <w:p>
            <w:r>
              <w:rPr>
                <w:sz w:val="18"/>
              </w:rPr>
              <w:t>5 positions (impossible in single XX or XY individual)</w:t>
            </w:r>
          </w:p>
        </w:tc>
      </w:tr>
      <w:tr>
        <w:tc>
          <w:tcPr>
            <w:tcW w:type="dxa" w:w="4680"/>
            <w:shd w:val="clear" w:color="auto" w:fill="EBF3FC"/>
          </w:tcPr>
          <w:p>
            <w:r>
              <w:rPr>
                <w:b/>
                <w:sz w:val="18"/>
              </w:rPr>
              <w:t>WGS — X chromosome variants</w:t>
            </w:r>
          </w:p>
        </w:tc>
        <w:tc>
          <w:tcPr>
            <w:tcW w:type="dxa" w:w="4680"/>
            <w:shd w:val="clear" w:color="auto" w:fill="EBF3FC"/>
          </w:tcPr>
          <w:p>
            <w:r>
              <w:rPr>
                <w:sz w:val="18"/>
              </w:rPr>
              <w:t>520 total</w:t>
            </w:r>
          </w:p>
        </w:tc>
      </w:tr>
      <w:tr>
        <w:tc>
          <w:tcPr>
            <w:tcW w:type="dxa" w:w="4680"/>
            <w:shd w:val="clear" w:color="auto" w:fill="FFFFFF"/>
          </w:tcPr>
          <w:p>
            <w:r>
              <w:rPr>
                <w:b/>
                <w:sz w:val="18"/>
              </w:rPr>
              <w:t>WGS — Y chromosome variants</w:t>
            </w:r>
          </w:p>
        </w:tc>
        <w:tc>
          <w:tcPr>
            <w:tcW w:type="dxa" w:w="4680"/>
            <w:shd w:val="clear" w:color="auto" w:fill="FFFFFF"/>
          </w:tcPr>
          <w:p>
            <w:r>
              <w:rPr>
                <w:sz w:val="18"/>
              </w:rPr>
              <w:t>179 total</w:t>
            </w:r>
          </w:p>
        </w:tc>
      </w:tr>
      <w:tr>
        <w:tc>
          <w:tcPr>
            <w:tcW w:type="dxa" w:w="4680"/>
            <w:shd w:val="clear" w:color="auto" w:fill="EBF3FC"/>
          </w:tcPr>
          <w:p>
            <w:r>
              <w:rPr>
                <w:b/>
                <w:sz w:val="18"/>
              </w:rPr>
              <w:t>Interpretation</w:t>
            </w:r>
          </w:p>
        </w:tc>
        <w:tc>
          <w:tcPr>
            <w:tcW w:type="dxa" w:w="4680"/>
            <w:shd w:val="clear" w:color="auto" w:fill="EBF3FC"/>
          </w:tcPr>
          <w:p>
            <w:r>
              <w:rPr>
                <w:sz w:val="18"/>
              </w:rPr>
              <w:t>Two distinct sex-chromosome cell populations (XX and XY) coexisting — consistent with XX/XY tetragametic chimerism</w:t>
            </w:r>
          </w:p>
        </w:tc>
      </w:tr>
      <w:tr>
        <w:tc>
          <w:tcPr>
            <w:tcW w:type="dxa" w:w="4680"/>
            <w:shd w:val="clear" w:color="auto" w:fill="FFFFFF"/>
          </w:tcPr>
          <w:p>
            <w:r>
              <w:rPr>
                <w:b/>
                <w:sz w:val="18"/>
              </w:rPr>
              <w:t>Clinical Context</w:t>
            </w:r>
          </w:p>
        </w:tc>
        <w:tc>
          <w:tcPr>
            <w:tcW w:type="dxa" w:w="4680"/>
            <w:shd w:val="clear" w:color="auto" w:fill="FFFFFF"/>
          </w:tcPr>
          <w:p>
            <w:r>
              <w:rPr>
                <w:sz w:val="18"/>
              </w:rPr>
              <w:t>Patient has a living twin brother; tetragametic chimerism arises from fusion of two zygotes</w:t>
            </w:r>
          </w:p>
        </w:tc>
      </w:tr>
    </w:tbl>
    <w:p/>
    <w:p>
      <w:pPr>
        <w:jc w:val="left"/>
      </w:pPr>
      <w:r>
        <w:rPr>
          <w:b/>
          <w:color w:val="1B3A5C"/>
          <w:sz w:val="28"/>
        </w:rPr>
        <w:t>4B — Androgen Pathway and Relevance to Imaging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E6DA4"/>
          </w:tcPr>
          <w:p>
            <w:r>
              <w:rPr>
                <w:b/>
                <w:color w:val="FFFFFF"/>
                <w:sz w:val="18"/>
              </w:rPr>
              <w:t>Gene</w:t>
            </w:r>
          </w:p>
        </w:tc>
        <w:tc>
          <w:tcPr>
            <w:tcW w:type="dxa" w:w="2340"/>
            <w:shd w:val="clear" w:color="auto" w:fill="2E6DA4"/>
          </w:tcPr>
          <w:p>
            <w:r>
              <w:rPr>
                <w:b/>
                <w:color w:val="FFFFFF"/>
                <w:sz w:val="18"/>
              </w:rPr>
              <w:t>Function</w:t>
            </w:r>
          </w:p>
        </w:tc>
        <w:tc>
          <w:tcPr>
            <w:tcW w:type="dxa" w:w="2340"/>
            <w:shd w:val="clear" w:color="auto" w:fill="2E6DA4"/>
          </w:tcPr>
          <w:p>
            <w:r>
              <w:rPr>
                <w:b/>
                <w:color w:val="FFFFFF"/>
                <w:sz w:val="18"/>
              </w:rPr>
              <w:t>Reported Status</w:t>
            </w:r>
          </w:p>
        </w:tc>
        <w:tc>
          <w:tcPr>
            <w:tcW w:type="dxa" w:w="2340"/>
            <w:shd w:val="clear" w:color="auto" w:fill="2E6DA4"/>
          </w:tcPr>
          <w:p>
            <w:r>
              <w:rPr>
                <w:b/>
                <w:color w:val="FFFFFF"/>
                <w:sz w:val="18"/>
              </w:rPr>
              <w:t>Imaging Relevance</w:t>
            </w:r>
          </w:p>
        </w:tc>
      </w:tr>
      <w:tr>
        <w:tc>
          <w:tcPr>
            <w:tcW w:type="dxa" w:w="2340"/>
            <w:shd w:val="clear" w:color="auto" w:fill="F0F7FF"/>
          </w:tcPr>
          <w:p>
            <w:r>
              <w:rPr>
                <w:sz w:val="18"/>
              </w:rPr>
              <w:t>SRD5A2</w:t>
            </w:r>
          </w:p>
        </w:tc>
        <w:tc>
          <w:tcPr>
            <w:tcW w:type="dxa" w:w="2340"/>
            <w:shd w:val="clear" w:color="auto" w:fill="F0F7FF"/>
          </w:tcPr>
          <w:p>
            <w:r>
              <w:rPr>
                <w:sz w:val="18"/>
              </w:rPr>
              <w:t>5α-reductase type 2 (T→DHT; prostate dev.)</w:t>
            </w:r>
          </w:p>
        </w:tc>
        <w:tc>
          <w:tcPr>
            <w:tcW w:type="dxa" w:w="2340"/>
            <w:shd w:val="clear" w:color="auto" w:fill="F0F7FF"/>
          </w:tcPr>
          <w:p>
            <w:r>
              <w:rPr>
                <w:sz w:val="18"/>
              </w:rPr>
              <w:t>All positions homozygous pathogenic</w:t>
            </w:r>
          </w:p>
        </w:tc>
        <w:tc>
          <w:tcPr>
            <w:tcW w:type="dxa" w:w="2340"/>
            <w:shd w:val="clear" w:color="auto" w:fill="F0F7FF"/>
          </w:tcPr>
          <w:p>
            <w:r>
              <w:rPr>
                <w:sz w:val="18"/>
              </w:rPr>
              <w:t>Finding 2: Absent discrete prostate</w:t>
            </w:r>
          </w:p>
        </w:tc>
      </w:tr>
      <w:tr>
        <w:tc>
          <w:tcPr>
            <w:tcW w:type="dxa" w:w="2340"/>
            <w:shd w:val="clear" w:color="auto" w:fill="FFFFFF"/>
          </w:tcPr>
          <w:p>
            <w:r>
              <w:rPr>
                <w:sz w:val="18"/>
              </w:rPr>
              <w:t>HSD11B2</w:t>
            </w:r>
          </w:p>
        </w:tc>
        <w:tc>
          <w:tcPr>
            <w:tcW w:type="dxa" w:w="2340"/>
            <w:shd w:val="clear" w:color="auto" w:fill="FFFFFF"/>
          </w:tcPr>
          <w:p>
            <w:r>
              <w:rPr>
                <w:sz w:val="18"/>
              </w:rPr>
              <w:t>11β-hydroxysteroid dehydrogenase 2 (11-KT pathway)</w:t>
            </w:r>
          </w:p>
        </w:tc>
        <w:tc>
          <w:tcPr>
            <w:tcW w:type="dxa" w:w="2340"/>
            <w:shd w:val="clear" w:color="auto" w:fill="FFFFFF"/>
          </w:tcPr>
          <w:p>
            <w:r>
              <w:rPr>
                <w:sz w:val="18"/>
              </w:rPr>
              <w:t>Pathogenic structural deletion</w:t>
            </w:r>
          </w:p>
        </w:tc>
        <w:tc>
          <w:tcPr>
            <w:tcW w:type="dxa" w:w="2340"/>
            <w:shd w:val="clear" w:color="auto" w:fill="FFFFFF"/>
          </w:tcPr>
          <w:p>
            <w:r>
              <w:rPr>
                <w:sz w:val="18"/>
              </w:rPr>
              <w:t>Finding 1: Elevated adrenal HU (increased synthesis)</w:t>
            </w:r>
          </w:p>
        </w:tc>
      </w:tr>
      <w:tr>
        <w:tc>
          <w:tcPr>
            <w:tcW w:type="dxa" w:w="2340"/>
            <w:shd w:val="clear" w:color="auto" w:fill="F0F7FF"/>
          </w:tcPr>
          <w:p>
            <w:r>
              <w:rPr>
                <w:sz w:val="18"/>
              </w:rPr>
              <w:t>HSD3B1/2</w:t>
            </w:r>
          </w:p>
        </w:tc>
        <w:tc>
          <w:tcPr>
            <w:tcW w:type="dxa" w:w="2340"/>
            <w:shd w:val="clear" w:color="auto" w:fill="F0F7FF"/>
          </w:tcPr>
          <w:p>
            <w:r>
              <w:rPr>
                <w:sz w:val="18"/>
              </w:rPr>
              <w:t>Hydroxysteroid dehydrogenase (adrenal steroid)</w:t>
            </w:r>
          </w:p>
        </w:tc>
        <w:tc>
          <w:tcPr>
            <w:tcW w:type="dxa" w:w="2340"/>
            <w:shd w:val="clear" w:color="auto" w:fill="F0F7FF"/>
          </w:tcPr>
          <w:p>
            <w:r>
              <w:rPr>
                <w:sz w:val="18"/>
              </w:rPr>
              <w:t>Modified</w:t>
            </w:r>
          </w:p>
        </w:tc>
        <w:tc>
          <w:tcPr>
            <w:tcW w:type="dxa" w:w="2340"/>
            <w:shd w:val="clear" w:color="auto" w:fill="F0F7FF"/>
          </w:tcPr>
          <w:p>
            <w:r>
              <w:rPr>
                <w:sz w:val="18"/>
              </w:rPr>
              <w:t>Finding 1: Adrenal hypertrophy</w:t>
            </w:r>
          </w:p>
        </w:tc>
      </w:tr>
      <w:tr>
        <w:tc>
          <w:tcPr>
            <w:tcW w:type="dxa" w:w="2340"/>
            <w:shd w:val="clear" w:color="auto" w:fill="FFFFFF"/>
          </w:tcPr>
          <w:p>
            <w:r>
              <w:rPr>
                <w:sz w:val="18"/>
              </w:rPr>
              <w:t>CYP19A1</w:t>
            </w:r>
          </w:p>
        </w:tc>
        <w:tc>
          <w:tcPr>
            <w:tcW w:type="dxa" w:w="2340"/>
            <w:shd w:val="clear" w:color="auto" w:fill="FFFFFF"/>
          </w:tcPr>
          <w:p>
            <w:r>
              <w:rPr>
                <w:sz w:val="18"/>
              </w:rPr>
              <w:t>Aromatase (T→E₂; ovarian function)</w:t>
            </w:r>
          </w:p>
        </w:tc>
        <w:tc>
          <w:tcPr>
            <w:tcW w:type="dxa" w:w="2340"/>
            <w:shd w:val="clear" w:color="auto" w:fill="FFFFFF"/>
          </w:tcPr>
          <w:p>
            <w:r>
              <w:rPr>
                <w:sz w:val="18"/>
              </w:rPr>
              <w:t>14 structural variants (NOT_IN_ANY_DB)</w:t>
            </w:r>
          </w:p>
        </w:tc>
        <w:tc>
          <w:tcPr>
            <w:tcW w:type="dxa" w:w="2340"/>
            <w:shd w:val="clear" w:color="auto" w:fill="FFFFFF"/>
          </w:tcPr>
          <w:p>
            <w:r>
              <w:rPr>
                <w:sz w:val="18"/>
              </w:rPr>
              <w:t>Finding 4: Lateral gonadal remnants</w:t>
            </w:r>
          </w:p>
        </w:tc>
      </w:tr>
      <w:tr>
        <w:tc>
          <w:tcPr>
            <w:tcW w:type="dxa" w:w="2340"/>
            <w:shd w:val="clear" w:color="auto" w:fill="F0F7FF"/>
          </w:tcPr>
          <w:p>
            <w:r>
              <w:rPr>
                <w:sz w:val="18"/>
              </w:rPr>
              <w:t>AR</w:t>
            </w:r>
          </w:p>
        </w:tc>
        <w:tc>
          <w:tcPr>
            <w:tcW w:type="dxa" w:w="2340"/>
            <w:shd w:val="clear" w:color="auto" w:fill="F0F7FF"/>
          </w:tcPr>
          <w:p>
            <w:r>
              <w:rPr>
                <w:sz w:val="18"/>
              </w:rPr>
              <w:t>Androgen receptor (CAG repeat expansions)</w:t>
            </w:r>
          </w:p>
        </w:tc>
        <w:tc>
          <w:tcPr>
            <w:tcW w:type="dxa" w:w="2340"/>
            <w:shd w:val="clear" w:color="auto" w:fill="F0F7FF"/>
          </w:tcPr>
          <w:p>
            <w:r>
              <w:rPr>
                <w:sz w:val="18"/>
              </w:rPr>
              <w:t>Expanded repeats = reduced sensitivity</w:t>
            </w:r>
          </w:p>
        </w:tc>
        <w:tc>
          <w:tcPr>
            <w:tcW w:type="dxa" w:w="2340"/>
            <w:shd w:val="clear" w:color="auto" w:fill="F0F7FF"/>
          </w:tcPr>
          <w:p>
            <w:r>
              <w:rPr>
                <w:sz w:val="18"/>
              </w:rPr>
              <w:t>Reduced androgenic end-organ response</w:t>
            </w:r>
          </w:p>
        </w:tc>
      </w:tr>
      <w:tr>
        <w:tc>
          <w:tcPr>
            <w:tcW w:type="dxa" w:w="2340"/>
            <w:shd w:val="clear" w:color="auto" w:fill="FFFFFF"/>
          </w:tcPr>
          <w:p>
            <w:r>
              <w:rPr>
                <w:sz w:val="18"/>
              </w:rPr>
              <w:t>AMH / AMHR2</w:t>
            </w:r>
          </w:p>
        </w:tc>
        <w:tc>
          <w:tcPr>
            <w:tcW w:type="dxa" w:w="2340"/>
            <w:shd w:val="clear" w:color="auto" w:fill="FFFFFF"/>
          </w:tcPr>
          <w:p>
            <w:r>
              <w:rPr>
                <w:sz w:val="18"/>
              </w:rPr>
              <w:t>Anti-Müllerian hormone / receptor</w:t>
            </w:r>
          </w:p>
        </w:tc>
        <w:tc>
          <w:tcPr>
            <w:tcW w:type="dxa" w:w="2340"/>
            <w:shd w:val="clear" w:color="auto" w:fill="FFFFFF"/>
          </w:tcPr>
          <w:p>
            <w:r>
              <w:rPr>
                <w:sz w:val="18"/>
              </w:rPr>
              <w:t>Not listed as fully functional</w:t>
            </w:r>
          </w:p>
        </w:tc>
        <w:tc>
          <w:tcPr>
            <w:tcW w:type="dxa" w:w="2340"/>
            <w:shd w:val="clear" w:color="auto" w:fill="FFFFFF"/>
          </w:tcPr>
          <w:p>
            <w:r>
              <w:rPr>
                <w:sz w:val="18"/>
              </w:rPr>
              <w:t>Findings 3 &amp; 5: Müllerian structure persistence</w:t>
            </w:r>
          </w:p>
        </w:tc>
      </w:tr>
    </w:tbl>
    <w:p/>
    <w:p>
      <w:pPr>
        <w:jc w:val="left"/>
      </w:pPr>
      <w:r>
        <w:rPr>
          <w:b/>
          <w:color w:val="1B3A5C"/>
          <w:sz w:val="28"/>
        </w:rPr>
        <w:t>4C — DNA Repair and Cancer Risk Genes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E6DA4"/>
          </w:tcPr>
          <w:p>
            <w:r>
              <w:rPr>
                <w:b/>
                <w:color w:val="FFFFFF"/>
                <w:sz w:val="18"/>
              </w:rPr>
              <w:t>Gene</w:t>
            </w:r>
          </w:p>
        </w:tc>
        <w:tc>
          <w:tcPr>
            <w:tcW w:type="dxa" w:w="2340"/>
            <w:shd w:val="clear" w:color="auto" w:fill="2E6DA4"/>
          </w:tcPr>
          <w:p>
            <w:r>
              <w:rPr>
                <w:b/>
                <w:color w:val="FFFFFF"/>
                <w:sz w:val="18"/>
              </w:rPr>
              <w:t>Function</w:t>
            </w:r>
          </w:p>
        </w:tc>
        <w:tc>
          <w:tcPr>
            <w:tcW w:type="dxa" w:w="2340"/>
            <w:shd w:val="clear" w:color="auto" w:fill="2E6DA4"/>
          </w:tcPr>
          <w:p>
            <w:r>
              <w:rPr>
                <w:b/>
                <w:color w:val="FFFFFF"/>
                <w:sz w:val="18"/>
              </w:rPr>
              <w:t>Variants (Total / Hom)</w:t>
            </w:r>
          </w:p>
        </w:tc>
        <w:tc>
          <w:tcPr>
            <w:tcW w:type="dxa" w:w="2340"/>
            <w:shd w:val="clear" w:color="auto" w:fill="2E6DA4"/>
          </w:tcPr>
          <w:p>
            <w:r>
              <w:rPr>
                <w:b/>
                <w:color w:val="FFFFFF"/>
                <w:sz w:val="18"/>
              </w:rPr>
              <w:t>Clinical Note</w:t>
            </w:r>
          </w:p>
        </w:tc>
      </w:tr>
      <w:tr>
        <w:tc>
          <w:tcPr>
            <w:tcW w:type="dxa" w:w="2340"/>
            <w:shd w:val="clear" w:color="auto" w:fill="F0F7FF"/>
          </w:tcPr>
          <w:p>
            <w:r>
              <w:rPr>
                <w:sz w:val="18"/>
              </w:rPr>
              <w:t>TP53</w:t>
            </w:r>
          </w:p>
        </w:tc>
        <w:tc>
          <w:tcPr>
            <w:tcW w:type="dxa" w:w="2340"/>
            <w:shd w:val="clear" w:color="auto" w:fill="F0F7FF"/>
          </w:tcPr>
          <w:p>
            <w:r>
              <w:rPr>
                <w:sz w:val="18"/>
              </w:rPr>
              <w:t>Tumor suppressor / guardian of genome</w:t>
            </w:r>
          </w:p>
        </w:tc>
        <w:tc>
          <w:tcPr>
            <w:tcW w:type="dxa" w:w="2340"/>
            <w:shd w:val="clear" w:color="auto" w:fill="F0F7FF"/>
          </w:tcPr>
          <w:p>
            <w:r>
              <w:rPr>
                <w:sz w:val="18"/>
              </w:rPr>
              <w:t>20 / 11</w:t>
            </w:r>
          </w:p>
        </w:tc>
        <w:tc>
          <w:tcPr>
            <w:tcW w:type="dxa" w:w="2340"/>
            <w:shd w:val="clear" w:color="auto" w:fill="F0F7FF"/>
          </w:tcPr>
          <w:p>
            <w:r>
              <w:rPr>
                <w:sz w:val="18"/>
              </w:rPr>
              <w:t>WGS-only finding; not on standard array panels</w:t>
            </w:r>
          </w:p>
        </w:tc>
      </w:tr>
      <w:tr>
        <w:tc>
          <w:tcPr>
            <w:tcW w:type="dxa" w:w="2340"/>
            <w:shd w:val="clear" w:color="auto" w:fill="FFFFFF"/>
          </w:tcPr>
          <w:p>
            <w:r>
              <w:rPr>
                <w:sz w:val="18"/>
              </w:rPr>
              <w:t>MLH1</w:t>
            </w:r>
          </w:p>
        </w:tc>
        <w:tc>
          <w:tcPr>
            <w:tcW w:type="dxa" w:w="2340"/>
            <w:shd w:val="clear" w:color="auto" w:fill="FFFFFF"/>
          </w:tcPr>
          <w:p>
            <w:r>
              <w:rPr>
                <w:sz w:val="18"/>
              </w:rPr>
              <w:t>Mismatch repair (Lynch syndrome)</w:t>
            </w:r>
          </w:p>
        </w:tc>
        <w:tc>
          <w:tcPr>
            <w:tcW w:type="dxa" w:w="2340"/>
            <w:shd w:val="clear" w:color="auto" w:fill="FFFFFF"/>
          </w:tcPr>
          <w:p>
            <w:r>
              <w:rPr>
                <w:sz w:val="18"/>
              </w:rPr>
              <w:t>9 / 9 (all homozygous)</w:t>
            </w:r>
          </w:p>
        </w:tc>
        <w:tc>
          <w:tcPr>
            <w:tcW w:type="dxa" w:w="2340"/>
            <w:shd w:val="clear" w:color="auto" w:fill="FFFFFF"/>
          </w:tcPr>
          <w:p>
            <w:r>
              <w:rPr>
                <w:sz w:val="18"/>
              </w:rPr>
              <w:t>Highly elevated MMR deficiency risk</w:t>
            </w:r>
          </w:p>
        </w:tc>
      </w:tr>
      <w:tr>
        <w:tc>
          <w:tcPr>
            <w:tcW w:type="dxa" w:w="2340"/>
            <w:shd w:val="clear" w:color="auto" w:fill="F0F7FF"/>
          </w:tcPr>
          <w:p>
            <w:r>
              <w:rPr>
                <w:sz w:val="18"/>
              </w:rPr>
              <w:t>MSH2</w:t>
            </w:r>
          </w:p>
        </w:tc>
        <w:tc>
          <w:tcPr>
            <w:tcW w:type="dxa" w:w="2340"/>
            <w:shd w:val="clear" w:color="auto" w:fill="F0F7FF"/>
          </w:tcPr>
          <w:p>
            <w:r>
              <w:rPr>
                <w:sz w:val="18"/>
              </w:rPr>
              <w:t>Mismatch repair (Lynch syndrome)</w:t>
            </w:r>
          </w:p>
        </w:tc>
        <w:tc>
          <w:tcPr>
            <w:tcW w:type="dxa" w:w="2340"/>
            <w:shd w:val="clear" w:color="auto" w:fill="F0F7FF"/>
          </w:tcPr>
          <w:p>
            <w:r>
              <w:rPr>
                <w:sz w:val="18"/>
              </w:rPr>
              <w:t>7 / 7 (all homozygous)</w:t>
            </w:r>
          </w:p>
        </w:tc>
        <w:tc>
          <w:tcPr>
            <w:tcW w:type="dxa" w:w="2340"/>
            <w:shd w:val="clear" w:color="auto" w:fill="F0F7FF"/>
          </w:tcPr>
          <w:p>
            <w:r>
              <w:rPr>
                <w:sz w:val="18"/>
              </w:rPr>
              <w:t>Highly elevated MMR deficiency risk</w:t>
            </w:r>
          </w:p>
        </w:tc>
      </w:tr>
      <w:tr>
        <w:tc>
          <w:tcPr>
            <w:tcW w:type="dxa" w:w="2340"/>
            <w:shd w:val="clear" w:color="auto" w:fill="FFFFFF"/>
          </w:tcPr>
          <w:p>
            <w:r>
              <w:rPr>
                <w:sz w:val="18"/>
              </w:rPr>
              <w:t>RYR2</w:t>
            </w:r>
          </w:p>
        </w:tc>
        <w:tc>
          <w:tcPr>
            <w:tcW w:type="dxa" w:w="2340"/>
            <w:shd w:val="clear" w:color="auto" w:fill="FFFFFF"/>
          </w:tcPr>
          <w:p>
            <w:r>
              <w:rPr>
                <w:sz w:val="18"/>
              </w:rPr>
              <w:t>Ryanodine receptor 2 (most modified gene)</w:t>
            </w:r>
          </w:p>
        </w:tc>
        <w:tc>
          <w:tcPr>
            <w:tcW w:type="dxa" w:w="2340"/>
            <w:shd w:val="clear" w:color="auto" w:fill="FFFFFF"/>
          </w:tcPr>
          <w:p>
            <w:r>
              <w:rPr>
                <w:sz w:val="18"/>
              </w:rPr>
              <w:t>133 / 78</w:t>
            </w:r>
          </w:p>
        </w:tc>
        <w:tc>
          <w:tcPr>
            <w:tcW w:type="dxa" w:w="2340"/>
            <w:shd w:val="clear" w:color="auto" w:fill="FFFFFF"/>
          </w:tcPr>
          <w:p>
            <w:r>
              <w:rPr>
                <w:sz w:val="18"/>
              </w:rPr>
              <w:t>Cardiac and cellular calcium handling</w:t>
            </w:r>
          </w:p>
        </w:tc>
      </w:tr>
      <w:tr>
        <w:tc>
          <w:tcPr>
            <w:tcW w:type="dxa" w:w="2340"/>
            <w:shd w:val="clear" w:color="auto" w:fill="F0F7FF"/>
          </w:tcPr>
          <w:p>
            <w:r>
              <w:rPr>
                <w:sz w:val="18"/>
              </w:rPr>
              <w:t>CNTNAP2</w:t>
            </w:r>
          </w:p>
        </w:tc>
        <w:tc>
          <w:tcPr>
            <w:tcW w:type="dxa" w:w="2340"/>
            <w:shd w:val="clear" w:color="auto" w:fill="F0F7FF"/>
          </w:tcPr>
          <w:p>
            <w:r>
              <w:rPr>
                <w:sz w:val="18"/>
              </w:rPr>
              <w:t>Neurexin superfamily</w:t>
            </w:r>
          </w:p>
        </w:tc>
        <w:tc>
          <w:tcPr>
            <w:tcW w:type="dxa" w:w="2340"/>
            <w:shd w:val="clear" w:color="auto" w:fill="F0F7FF"/>
          </w:tcPr>
          <w:p>
            <w:r>
              <w:rPr>
                <w:sz w:val="18"/>
              </w:rPr>
              <w:t>94 / 58</w:t>
            </w:r>
          </w:p>
        </w:tc>
        <w:tc>
          <w:tcPr>
            <w:tcW w:type="dxa" w:w="2340"/>
            <w:shd w:val="clear" w:color="auto" w:fill="F0F7FF"/>
          </w:tcPr>
          <w:p>
            <w:r>
              <w:rPr>
                <w:sz w:val="18"/>
              </w:rPr>
              <w:t>Neural development; extensive modification</w:t>
            </w:r>
          </w:p>
        </w:tc>
      </w:tr>
      <w:tr>
        <w:tc>
          <w:tcPr>
            <w:tcW w:type="dxa" w:w="2340"/>
            <w:shd w:val="clear" w:color="auto" w:fill="FFFFFF"/>
          </w:tcPr>
          <w:p>
            <w:r>
              <w:rPr>
                <w:sz w:val="18"/>
              </w:rPr>
              <w:t>F5 / F13A1 / PROS1</w:t>
            </w:r>
          </w:p>
        </w:tc>
        <w:tc>
          <w:tcPr>
            <w:tcW w:type="dxa" w:w="2340"/>
            <w:shd w:val="clear" w:color="auto" w:fill="FFFFFF"/>
          </w:tcPr>
          <w:p>
            <w:r>
              <w:rPr>
                <w:sz w:val="18"/>
              </w:rPr>
              <w:t>Coagulation factors</w:t>
            </w:r>
          </w:p>
        </w:tc>
        <w:tc>
          <w:tcPr>
            <w:tcW w:type="dxa" w:w="2340"/>
            <w:shd w:val="clear" w:color="auto" w:fill="FFFFFF"/>
          </w:tcPr>
          <w:p>
            <w:r>
              <w:rPr>
                <w:sz w:val="18"/>
              </w:rPr>
              <w:t>F5: 9 hom; F13A1: 17 total; PROS1: 6 hom</w:t>
            </w:r>
          </w:p>
        </w:tc>
        <w:tc>
          <w:tcPr>
            <w:tcW w:type="dxa" w:w="2340"/>
            <w:shd w:val="clear" w:color="auto" w:fill="FFFFFF"/>
          </w:tcPr>
          <w:p>
            <w:r>
              <w:rPr>
                <w:sz w:val="18"/>
              </w:rPr>
              <w:t>Elevated coagulopathy risk</w:t>
            </w:r>
          </w:p>
        </w:tc>
      </w:tr>
    </w:tbl>
    <w:p/>
    <w:p>
      <w:pPr>
        <w:jc w:val="left"/>
      </w:pPr>
      <w:r>
        <w:rPr>
          <w:b/>
          <w:color w:val="1B3A5C"/>
          <w:sz w:val="28"/>
        </w:rPr>
        <w:t>4D — Pharmacogenomics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B3A5C"/>
          </w:tcPr>
          <w:p>
            <w:r>
              <w:rPr>
                <w:b/>
                <w:color w:val="FFFFFF"/>
                <w:sz w:val="20"/>
              </w:rPr>
              <w:t>Parameter</w:t>
            </w:r>
          </w:p>
        </w:tc>
        <w:tc>
          <w:tcPr>
            <w:tcW w:type="dxa" w:w="4680"/>
            <w:shd w:val="clear" w:color="auto" w:fill="1B3A5C"/>
          </w:tcPr>
          <w:p>
            <w:r>
              <w:rPr>
                <w:b/>
                <w:color w:val="FFFFFF"/>
                <w:sz w:val="20"/>
              </w:rPr>
              <w:t>Value</w:t>
            </w:r>
          </w:p>
        </w:tc>
      </w:tr>
      <w:tr>
        <w:tc>
          <w:tcPr>
            <w:tcW w:type="dxa" w:w="4680"/>
            <w:shd w:val="clear" w:color="auto" w:fill="EBF3FC"/>
          </w:tcPr>
          <w:p>
            <w:r>
              <w:rPr>
                <w:b/>
                <w:sz w:val="18"/>
              </w:rPr>
              <w:t>CYP2D6</w:t>
            </w:r>
          </w:p>
        </w:tc>
        <w:tc>
          <w:tcPr>
            <w:tcW w:type="dxa" w:w="4680"/>
            <w:shd w:val="clear" w:color="auto" w:fill="EBF3FC"/>
          </w:tcPr>
          <w:p>
            <w:r>
              <w:rPr>
                <w:sz w:val="18"/>
              </w:rPr>
              <w:t>Poor metabolizer — 24 variants, 14 homozygous</w:t>
            </w:r>
          </w:p>
        </w:tc>
      </w:tr>
      <w:tr>
        <w:tc>
          <w:tcPr>
            <w:tcW w:type="dxa" w:w="4680"/>
            <w:shd w:val="clear" w:color="auto" w:fill="FFFFFF"/>
          </w:tcPr>
          <w:p>
            <w:r>
              <w:rPr>
                <w:b/>
                <w:sz w:val="18"/>
              </w:rPr>
              <w:t>Clinical implication</w:t>
            </w:r>
          </w:p>
        </w:tc>
        <w:tc>
          <w:tcPr>
            <w:tcW w:type="dxa" w:w="4680"/>
            <w:shd w:val="clear" w:color="auto" w:fill="FFFFFF"/>
          </w:tcPr>
          <w:p>
            <w:r>
              <w:rPr>
                <w:sz w:val="18"/>
              </w:rPr>
              <w:t>Altered metabolism of &gt;25% of commonly prescribed drugs; dosing of opioids, antidepressants, antipsychotics requires adjustment</w:t>
            </w:r>
          </w:p>
        </w:tc>
      </w:tr>
      <w:tr>
        <w:tc>
          <w:tcPr>
            <w:tcW w:type="dxa" w:w="4680"/>
            <w:shd w:val="clear" w:color="auto" w:fill="EBF3FC"/>
          </w:tcPr>
          <w:p>
            <w:r>
              <w:rPr>
                <w:b/>
                <w:sz w:val="18"/>
              </w:rPr>
              <w:t>FUT2</w:t>
            </w:r>
          </w:p>
        </w:tc>
        <w:tc>
          <w:tcPr>
            <w:tcW w:type="dxa" w:w="4680"/>
            <w:shd w:val="clear" w:color="auto" w:fill="EBF3FC"/>
          </w:tcPr>
          <w:p>
            <w:r>
              <w:rPr>
                <w:sz w:val="18"/>
              </w:rPr>
              <w:t>Stop-gained variant (score 305) — Bombay phenotype blood group risk</w:t>
            </w:r>
          </w:p>
        </w:tc>
      </w:tr>
    </w:tbl>
    <w:p>
      <w:r>
        <w:br w:type="page"/>
      </w:r>
    </w:p>
    <w:p>
      <w:pPr>
        <w:jc w:val="left"/>
      </w:pPr>
      <w:r>
        <w:rPr>
          <w:b/>
          <w:color w:val="1B3A5C"/>
          <w:sz w:val="36"/>
        </w:rPr>
        <w:t>SECTION 5 — INTEGRATED ASSESSMENT</w:t>
      </w:r>
    </w:p>
    <w:p>
      <w:pPr>
        <w:pBdr>
          <w:bottom w:val="single" w:sz="6" w:space="1" w:color="4A90D9"/>
        </w:pBdr>
      </w:pPr>
    </w:p>
    <w:p/>
    <w:p>
      <w:pPr>
        <w:jc w:val="left"/>
      </w:pPr>
      <w:r>
        <w:rPr>
          <w:b/>
          <w:color w:val="1B3A5C"/>
          <w:sz w:val="24"/>
        </w:rPr>
        <w:t>Adrenal Glands (Finding 1) ↔ 11-KT Pathway (Genomics 4B)</w:t>
      </w:r>
    </w:p>
    <w:p>
      <w:r>
        <w:rPr>
          <w:sz w:val="20"/>
        </w:rPr>
        <w:t>Both adrenal glands are present, symmetric, and show HU values ~7–10 units above published reference. The genomic report documents modification of the complete 11-KT synthesis pathway (10 genes), with HSD11B2 structural deletion and HSD3B1/2 variants. Post-orchiectomy, adrenal glands are the sole androgen source. Elevated adrenal attenuation and cross-sectional area are consistent with compensatory adrenocortical hypertrophy in support of 11-KT production.</w:t>
      </w:r>
    </w:p>
    <w:p/>
    <w:p>
      <w:pPr>
        <w:jc w:val="left"/>
      </w:pPr>
      <w:r>
        <w:rPr>
          <w:b/>
          <w:color w:val="1B3A5C"/>
          <w:sz w:val="24"/>
        </w:rPr>
        <w:t>Absent Discrete Prostate (Finding 2) ↔ SRD5A2 Pathogenic (Genomics 4B)</w:t>
      </w:r>
    </w:p>
    <w:p>
      <w:r>
        <w:rPr>
          <w:sz w:val="20"/>
        </w:rPr>
        <w:t>No focal prostate-equivalent structure was identified in the retrovesical zone. SRD5A2 (5α-reductase type 2) is reported as homozygous pathogenic. 5α-reductase converts testosterone to DHT, which is required for prostate embryogenesis. Homozygous loss of SRD5A2 function is a recognized mechanism for absent prostate in 46,XY individuals and is the primary enzymatic pathway for prostate organogenesis.</w:t>
      </w:r>
    </w:p>
    <w:p/>
    <w:p>
      <w:pPr>
        <w:jc w:val="left"/>
      </w:pPr>
      <w:r>
        <w:rPr>
          <w:b/>
          <w:color w:val="1B3A5C"/>
          <w:sz w:val="24"/>
        </w:rPr>
        <w:t>Posterior Midline Müllerian Zone (Finding 3) ↔ AMH / Chimerism (Genomics 4A)</w:t>
      </w:r>
    </w:p>
    <w:p>
      <w:r>
        <w:rPr>
          <w:sz w:val="20"/>
        </w:rPr>
        <w:t>Persistent posterior midline pelvic soft tissue with fluid component spanning 70 mm was quantified. In XX/XY tetragametic chimerism, the XX cell population does not produce AMH, and the XY population's AMH acts locally. If XX cells predominate in Müllerian duct mesenchyme during critical developmental windows, AMH receptor signaling is insufficient for complete regression. This is documented in PMC1050410 and the OBM Genetics chimerism review (lidsen.com). The 70 mm z-extent and fluid component are consistent with a rudimentary uterine structure.</w:t>
      </w:r>
    </w:p>
    <w:p/>
    <w:p>
      <w:pPr>
        <w:jc w:val="left"/>
      </w:pPr>
      <w:r>
        <w:rPr>
          <w:b/>
          <w:color w:val="1B3A5C"/>
          <w:sz w:val="24"/>
        </w:rPr>
        <w:t>Bilateral Lateral Clusters (Finding 4) ↔ Orchiectomy + CYP19A1 (Genomics 4B)</w:t>
      </w:r>
    </w:p>
    <w:p>
      <w:r>
        <w:rPr>
          <w:sz w:val="20"/>
        </w:rPr>
        <w:t>Bilateral symmetric soft-tissue masses at adnexal position, 110 mm z-extent, 50–54 HU. Post-bilateral orchiectomy, residual organized bilateral soft tissue at the anatomical gonadal position requires explanation. CYP19A1 (aromatase) shows 14 structural variants listed as NOT_IN_ANY_DB, indicating novel structural rearrangement. Ovarian stroma does not require aromatase to be histologically present — aromatase dysfunction would impair estrogen production from ovarian tissue without precluding the tissue itself. Bilateral gonadoblastoma risk in OT-DSD is documented in the Iranian Journal of Radiology reference (iranjradiol-56259).</w:t>
      </w:r>
    </w:p>
    <w:p/>
    <w:p>
      <w:pPr>
        <w:jc w:val="left"/>
      </w:pPr>
      <w:r>
        <w:rPr>
          <w:b/>
          <w:color w:val="1B3A5C"/>
          <w:sz w:val="24"/>
        </w:rPr>
        <w:t>Anterior Midline Mass (Finding 5) ↔ Müllerian Persistence (Genomics 4B + Literature)</w:t>
      </w:r>
    </w:p>
    <w:p>
      <w:r>
        <w:rPr>
          <w:sz w:val="20"/>
        </w:rPr>
        <w:t>No male abdominal organ corresponds to the anterior midline 144 mm structure with stable centroid and 250–640 mm² fluid component per slice. PMC11364497 (PMDS) documents anterior displacement of Müllerian remnants with CT soft-tissue appearance. In XX/XY chimeric anatomy with documented Müllerian zone signal (Finding 3) and absent prostate (Finding 2), a second anterior Müllerian-derived structure is anatomically plausible. MRI with gadolinium is the appropriate next investigation.</w:t>
      </w:r>
    </w:p>
    <w:p/>
    <w:p>
      <w:pPr>
        <w:jc w:val="left"/>
      </w:pPr>
      <w:r>
        <w:rPr>
          <w:b/>
          <w:color w:val="1B3A5C"/>
          <w:sz w:val="24"/>
        </w:rPr>
        <w:t>Cancer and Surveillance (MLH1, MSH2, TP53)</w:t>
      </w:r>
    </w:p>
    <w:p>
      <w:r>
        <w:rPr>
          <w:sz w:val="20"/>
        </w:rPr>
        <w:t>Homozygous variants across all MLH1 and MSH2 positions, combined with 11 homozygous TP53 variants, represent markedly elevated mismatch repair deficiency and tumor suppression loss. If the bilateral lateral structures (Finding 4) represent gonadal remnants, the risk of gonadoblastoma in undifferentiated gonadal tissue in intersex anatomy is well-documented. The genomics report also documents peritoneal carcinomatosis in OT-DSD (PMC11466586 reference). Imaging surveillance is clinically indicated.</w:t>
      </w:r>
    </w:p>
    <w:p/>
    <w:p>
      <w:r>
        <w:br w:type="page"/>
      </w:r>
    </w:p>
    <w:p>
      <w:pPr>
        <w:jc w:val="left"/>
      </w:pPr>
      <w:r>
        <w:rPr>
          <w:b/>
          <w:color w:val="1B3A5C"/>
          <w:sz w:val="36"/>
        </w:rPr>
        <w:t>SECTION 6 — REFERENCED LITERATURE</w:t>
      </w:r>
    </w:p>
    <w:p>
      <w:pPr>
        <w:pBdr>
          <w:bottom w:val="single" w:sz="6" w:space="1" w:color="4A90D9"/>
        </w:pBdr>
      </w:pPr>
    </w:p>
    <w:p>
      <w:r>
        <w:rPr>
          <w:sz w:val="20"/>
        </w:rPr>
        <w:t>All references below were identified through source document review or confirmed web search. No citation has been fabricated. PDFs for references 1–5 are archived in the External Links/ folder of the project repository.</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6DA4"/>
          </w:tcPr>
          <w:p>
            <w:r>
              <w:rPr>
                <w:b/>
                <w:color w:val="FFFFFF"/>
                <w:sz w:val="18"/>
              </w:rPr>
              <w:t>#</w:t>
            </w:r>
          </w:p>
        </w:tc>
        <w:tc>
          <w:tcPr>
            <w:tcW w:type="dxa" w:w="1872"/>
            <w:shd w:val="clear" w:color="auto" w:fill="2E6DA4"/>
          </w:tcPr>
          <w:p>
            <w:r>
              <w:rPr>
                <w:b/>
                <w:color w:val="FFFFFF"/>
                <w:sz w:val="18"/>
              </w:rPr>
              <w:t>Title</w:t>
            </w:r>
          </w:p>
        </w:tc>
        <w:tc>
          <w:tcPr>
            <w:tcW w:type="dxa" w:w="1872"/>
            <w:shd w:val="clear" w:color="auto" w:fill="2E6DA4"/>
          </w:tcPr>
          <w:p>
            <w:r>
              <w:rPr>
                <w:b/>
                <w:color w:val="FFFFFF"/>
                <w:sz w:val="18"/>
              </w:rPr>
              <w:t>Source</w:t>
            </w:r>
          </w:p>
        </w:tc>
        <w:tc>
          <w:tcPr>
            <w:tcW w:type="dxa" w:w="1872"/>
            <w:shd w:val="clear" w:color="auto" w:fill="2E6DA4"/>
          </w:tcPr>
          <w:p>
            <w:r>
              <w:rPr>
                <w:b/>
                <w:color w:val="FFFFFF"/>
                <w:sz w:val="18"/>
              </w:rPr>
              <w:t>URL</w:t>
            </w:r>
          </w:p>
        </w:tc>
        <w:tc>
          <w:tcPr>
            <w:tcW w:type="dxa" w:w="1872"/>
            <w:shd w:val="clear" w:color="auto" w:fill="2E6DA4"/>
          </w:tcPr>
          <w:p>
            <w:r>
              <w:rPr>
                <w:b/>
                <w:color w:val="FFFFFF"/>
                <w:sz w:val="18"/>
              </w:rPr>
              <w:t>Imaging Relevance</w:t>
            </w:r>
          </w:p>
        </w:tc>
      </w:tr>
      <w:tr>
        <w:tc>
          <w:tcPr>
            <w:tcW w:type="dxa" w:w="1872"/>
            <w:shd w:val="clear" w:color="auto" w:fill="F0F7FF"/>
          </w:tcPr>
          <w:p>
            <w:r>
              <w:rPr>
                <w:sz w:val="18"/>
              </w:rPr>
              <w:t>1</w:t>
            </w:r>
          </w:p>
        </w:tc>
        <w:tc>
          <w:tcPr>
            <w:tcW w:type="dxa" w:w="1872"/>
            <w:shd w:val="clear" w:color="auto" w:fill="F0F7FF"/>
          </w:tcPr>
          <w:p>
            <w:r>
              <w:rPr>
                <w:sz w:val="18"/>
              </w:rPr>
              <w:t>Unilateral true hermaphrodite with 46,XX/46,XY dispermic chimerism</w:t>
            </w:r>
          </w:p>
        </w:tc>
        <w:tc>
          <w:tcPr>
            <w:tcW w:type="dxa" w:w="1872"/>
            <w:shd w:val="clear" w:color="auto" w:fill="F0F7FF"/>
          </w:tcPr>
          <w:p>
            <w:r>
              <w:rPr>
                <w:sz w:val="18"/>
              </w:rPr>
              <w:t>PMC1050410</w:t>
            </w:r>
          </w:p>
        </w:tc>
        <w:tc>
          <w:tcPr>
            <w:tcW w:type="dxa" w:w="1872"/>
            <w:shd w:val="clear" w:color="auto" w:fill="F0F7FF"/>
          </w:tcPr>
          <w:p>
            <w:r>
              <w:rPr>
                <w:sz w:val="18"/>
              </w:rPr>
              <w:t>pmc.ncbi.nlm.nih.gov/articles/PMC1050410/</w:t>
            </w:r>
          </w:p>
        </w:tc>
        <w:tc>
          <w:tcPr>
            <w:tcW w:type="dxa" w:w="1872"/>
            <w:shd w:val="clear" w:color="auto" w:fill="F0F7FF"/>
          </w:tcPr>
          <w:p>
            <w:r>
              <w:rPr>
                <w:sz w:val="18"/>
              </w:rPr>
              <w:t>Documents clinical anatomy of XX/XY dispermic chimera: rudimentary uterus, right fallopian tube and ovary, functioning testis on contralateral side. Cross-reference: Findings 3 and 4.</w:t>
            </w:r>
          </w:p>
        </w:tc>
      </w:tr>
      <w:tr>
        <w:tc>
          <w:tcPr>
            <w:tcW w:type="dxa" w:w="1872"/>
            <w:shd w:val="clear" w:color="auto" w:fill="FFFFFF"/>
          </w:tcPr>
          <w:p>
            <w:r>
              <w:rPr>
                <w:sz w:val="18"/>
              </w:rPr>
              <w:t>2</w:t>
            </w:r>
          </w:p>
        </w:tc>
        <w:tc>
          <w:tcPr>
            <w:tcW w:type="dxa" w:w="1872"/>
            <w:shd w:val="clear" w:color="auto" w:fill="FFFFFF"/>
          </w:tcPr>
          <w:p>
            <w:r>
              <w:rPr>
                <w:sz w:val="18"/>
              </w:rPr>
              <w:t>MRI Findings of Ovotesticular DSD with Bilateral Gonadoblastoma</w:t>
            </w:r>
          </w:p>
        </w:tc>
        <w:tc>
          <w:tcPr>
            <w:tcW w:type="dxa" w:w="1872"/>
            <w:shd w:val="clear" w:color="auto" w:fill="FFFFFF"/>
          </w:tcPr>
          <w:p>
            <w:r>
              <w:rPr>
                <w:sz w:val="18"/>
              </w:rPr>
              <w:t>Iranian J Radiology; iranjradiol-56259</w:t>
            </w:r>
          </w:p>
        </w:tc>
        <w:tc>
          <w:tcPr>
            <w:tcW w:type="dxa" w:w="1872"/>
            <w:shd w:val="clear" w:color="auto" w:fill="FFFFFF"/>
          </w:tcPr>
          <w:p>
            <w:r>
              <w:rPr>
                <w:sz w:val="18"/>
              </w:rPr>
              <w:t>brieflands.com/articles/iranjradiol-56259.html</w:t>
            </w:r>
          </w:p>
        </w:tc>
        <w:tc>
          <w:tcPr>
            <w:tcW w:type="dxa" w:w="1872"/>
            <w:shd w:val="clear" w:color="auto" w:fill="FFFFFF"/>
          </w:tcPr>
          <w:p>
            <w:r>
              <w:rPr>
                <w:sz w:val="18"/>
              </w:rPr>
              <w:t>MRI findings in OT-DSD: Müllerian remnants, gonadal position, mixed gonadal tissue. Cross-reference: Finding 4.</w:t>
            </w:r>
          </w:p>
        </w:tc>
      </w:tr>
      <w:tr>
        <w:tc>
          <w:tcPr>
            <w:tcW w:type="dxa" w:w="1872"/>
            <w:shd w:val="clear" w:color="auto" w:fill="F0F7FF"/>
          </w:tcPr>
          <w:p>
            <w:r>
              <w:rPr>
                <w:sz w:val="18"/>
              </w:rPr>
              <w:t>3</w:t>
            </w:r>
          </w:p>
        </w:tc>
        <w:tc>
          <w:tcPr>
            <w:tcW w:type="dxa" w:w="1872"/>
            <w:shd w:val="clear" w:color="auto" w:fill="F0F7FF"/>
          </w:tcPr>
          <w:p>
            <w:r>
              <w:rPr>
                <w:sz w:val="18"/>
              </w:rPr>
              <w:t>Normal Adrenal Gland Thickness on CT — Asian Indian Adult Population</w:t>
            </w:r>
          </w:p>
        </w:tc>
        <w:tc>
          <w:tcPr>
            <w:tcW w:type="dxa" w:w="1872"/>
            <w:shd w:val="clear" w:color="auto" w:fill="F0F7FF"/>
          </w:tcPr>
          <w:p>
            <w:r>
              <w:rPr>
                <w:sz w:val="18"/>
              </w:rPr>
              <w:t>PMC6319091</w:t>
            </w:r>
          </w:p>
        </w:tc>
        <w:tc>
          <w:tcPr>
            <w:tcW w:type="dxa" w:w="1872"/>
            <w:shd w:val="clear" w:color="auto" w:fill="F0F7FF"/>
          </w:tcPr>
          <w:p>
            <w:r>
              <w:rPr>
                <w:sz w:val="18"/>
              </w:rPr>
              <w:t>pmc.ncbi.nlm.nih.gov/articles/PMC6319091/</w:t>
            </w:r>
          </w:p>
        </w:tc>
        <w:tc>
          <w:tcPr>
            <w:tcW w:type="dxa" w:w="1872"/>
            <w:shd w:val="clear" w:color="auto" w:fill="F0F7FF"/>
          </w:tcPr>
          <w:p>
            <w:r>
              <w:rPr>
                <w:sz w:val="18"/>
              </w:rPr>
              <w:t>Reference values: mean limb thickness 4.1–4.9 mm, mean HU ~32.66, Vol R: 3.62 cm³, L: 4.84 cm³. Cross-reference: Finding 1.</w:t>
            </w:r>
          </w:p>
        </w:tc>
      </w:tr>
      <w:tr>
        <w:tc>
          <w:tcPr>
            <w:tcW w:type="dxa" w:w="1872"/>
            <w:shd w:val="clear" w:color="auto" w:fill="FFFFFF"/>
          </w:tcPr>
          <w:p>
            <w:r>
              <w:rPr>
                <w:sz w:val="18"/>
              </w:rPr>
              <w:t>4</w:t>
            </w:r>
          </w:p>
        </w:tc>
        <w:tc>
          <w:tcPr>
            <w:tcW w:type="dxa" w:w="1872"/>
            <w:shd w:val="clear" w:color="auto" w:fill="FFFFFF"/>
          </w:tcPr>
          <w:p>
            <w:r>
              <w:rPr>
                <w:sz w:val="18"/>
              </w:rPr>
              <w:t>Imaging Aspects in Persistent Müllerian Duct Syndrome (PMDS)</w:t>
            </w:r>
          </w:p>
        </w:tc>
        <w:tc>
          <w:tcPr>
            <w:tcW w:type="dxa" w:w="1872"/>
            <w:shd w:val="clear" w:color="auto" w:fill="FFFFFF"/>
          </w:tcPr>
          <w:p>
            <w:r>
              <w:rPr>
                <w:sz w:val="18"/>
              </w:rPr>
              <w:t>PMC11364497</w:t>
            </w:r>
          </w:p>
        </w:tc>
        <w:tc>
          <w:tcPr>
            <w:tcW w:type="dxa" w:w="1872"/>
            <w:shd w:val="clear" w:color="auto" w:fill="FFFFFF"/>
          </w:tcPr>
          <w:p>
            <w:r>
              <w:rPr>
                <w:sz w:val="18"/>
              </w:rPr>
              <w:t>ncbi.nlm.nih.gov/pmc/articles/PMC11364497/</w:t>
            </w:r>
          </w:p>
        </w:tc>
        <w:tc>
          <w:tcPr>
            <w:tcW w:type="dxa" w:w="1872"/>
            <w:shd w:val="clear" w:color="auto" w:fill="FFFFFF"/>
          </w:tcPr>
          <w:p>
            <w:r>
              <w:rPr>
                <w:sz w:val="18"/>
              </w:rPr>
              <w:t>CT and MRI of Müllerian duct remnants in patient with male external genitalia. Cross-reference: Findings 3 and 5.</w:t>
            </w:r>
          </w:p>
        </w:tc>
      </w:tr>
      <w:tr>
        <w:tc>
          <w:tcPr>
            <w:tcW w:type="dxa" w:w="1872"/>
            <w:shd w:val="clear" w:color="auto" w:fill="F0F7FF"/>
          </w:tcPr>
          <w:p>
            <w:r>
              <w:rPr>
                <w:sz w:val="18"/>
              </w:rPr>
              <w:t>5</w:t>
            </w:r>
          </w:p>
        </w:tc>
        <w:tc>
          <w:tcPr>
            <w:tcW w:type="dxa" w:w="1872"/>
            <w:shd w:val="clear" w:color="auto" w:fill="F0F7FF"/>
          </w:tcPr>
          <w:p>
            <w:r>
              <w:rPr>
                <w:sz w:val="18"/>
              </w:rPr>
              <w:t>46,XX/46,XY Chimerism and Human Sexual Development</w:t>
            </w:r>
          </w:p>
        </w:tc>
        <w:tc>
          <w:tcPr>
            <w:tcW w:type="dxa" w:w="1872"/>
            <w:shd w:val="clear" w:color="auto" w:fill="F0F7FF"/>
          </w:tcPr>
          <w:p>
            <w:r>
              <w:rPr>
                <w:sz w:val="18"/>
              </w:rPr>
              <w:t>OBM Genetics; lidsen.com</w:t>
            </w:r>
          </w:p>
        </w:tc>
        <w:tc>
          <w:tcPr>
            <w:tcW w:type="dxa" w:w="1872"/>
            <w:shd w:val="clear" w:color="auto" w:fill="F0F7FF"/>
          </w:tcPr>
          <w:p>
            <w:r>
              <w:rPr>
                <w:sz w:val="18"/>
              </w:rPr>
              <w:t>lidsen.com/journals/genetics/genetics-06-02-156/obm.genet.2202156.pdf</w:t>
            </w:r>
          </w:p>
        </w:tc>
        <w:tc>
          <w:tcPr>
            <w:tcW w:type="dxa" w:w="1872"/>
            <w:shd w:val="clear" w:color="auto" w:fill="F0F7FF"/>
          </w:tcPr>
          <w:p>
            <w:r>
              <w:rPr>
                <w:sz w:val="18"/>
              </w:rPr>
              <w:t>Comprehensive review of XX/XY chimerism: internal anatomy, Müllerian prevalence, gonadal composition. Cross-reference: All findings.</w:t>
            </w:r>
          </w:p>
        </w:tc>
      </w:tr>
      <w:tr>
        <w:tc>
          <w:tcPr>
            <w:tcW w:type="dxa" w:w="1872"/>
            <w:shd w:val="clear" w:color="auto" w:fill="FFFFFF"/>
          </w:tcPr>
          <w:p>
            <w:r>
              <w:rPr>
                <w:sz w:val="18"/>
              </w:rPr>
              <w:t>6</w:t>
            </w:r>
          </w:p>
        </w:tc>
        <w:tc>
          <w:tcPr>
            <w:tcW w:type="dxa" w:w="1872"/>
            <w:shd w:val="clear" w:color="auto" w:fill="FFFFFF"/>
          </w:tcPr>
          <w:p>
            <w:r>
              <w:rPr>
                <w:sz w:val="18"/>
              </w:rPr>
              <w:t>Ovotesticular DSD: Peritoneal Carcinomatosis case</w:t>
            </w:r>
          </w:p>
        </w:tc>
        <w:tc>
          <w:tcPr>
            <w:tcW w:type="dxa" w:w="1872"/>
            <w:shd w:val="clear" w:color="auto" w:fill="FFFFFF"/>
          </w:tcPr>
          <w:p>
            <w:r>
              <w:rPr>
                <w:sz w:val="18"/>
              </w:rPr>
              <w:t>PMC11466586</w:t>
            </w:r>
          </w:p>
        </w:tc>
        <w:tc>
          <w:tcPr>
            <w:tcW w:type="dxa" w:w="1872"/>
            <w:shd w:val="clear" w:color="auto" w:fill="FFFFFF"/>
          </w:tcPr>
          <w:p>
            <w:r>
              <w:rPr>
                <w:sz w:val="18"/>
              </w:rPr>
              <w:t>pmc.ncbi.nlm.nih.gov/articles/PMC11466586/</w:t>
            </w:r>
          </w:p>
        </w:tc>
        <w:tc>
          <w:tcPr>
            <w:tcW w:type="dxa" w:w="1872"/>
            <w:shd w:val="clear" w:color="auto" w:fill="FFFFFF"/>
          </w:tcPr>
          <w:p>
            <w:r>
              <w:rPr>
                <w:sz w:val="18"/>
              </w:rPr>
              <w:t>Cross-reference: Section 5 cancer risk assessment.</w:t>
            </w:r>
          </w:p>
        </w:tc>
      </w:tr>
      <w:tr>
        <w:tc>
          <w:tcPr>
            <w:tcW w:type="dxa" w:w="1872"/>
            <w:shd w:val="clear" w:color="auto" w:fill="F0F7FF"/>
          </w:tcPr>
          <w:p>
            <w:r>
              <w:rPr>
                <w:sz w:val="18"/>
              </w:rPr>
              <w:t>7</w:t>
            </w:r>
          </w:p>
        </w:tc>
        <w:tc>
          <w:tcPr>
            <w:tcW w:type="dxa" w:w="1872"/>
            <w:shd w:val="clear" w:color="auto" w:fill="F0F7FF"/>
          </w:tcPr>
          <w:p>
            <w:r>
              <w:rPr>
                <w:sz w:val="18"/>
              </w:rPr>
              <w:t>46,XX/47,XXY Mosaicism with OT-DSD</w:t>
            </w:r>
          </w:p>
        </w:tc>
        <w:tc>
          <w:tcPr>
            <w:tcW w:type="dxa" w:w="1872"/>
            <w:shd w:val="clear" w:color="auto" w:fill="F0F7FF"/>
          </w:tcPr>
          <w:p>
            <w:r>
              <w:rPr>
                <w:sz w:val="18"/>
              </w:rPr>
              <w:t>PMC11364154</w:t>
            </w:r>
          </w:p>
        </w:tc>
        <w:tc>
          <w:tcPr>
            <w:tcW w:type="dxa" w:w="1872"/>
            <w:shd w:val="clear" w:color="auto" w:fill="F0F7FF"/>
          </w:tcPr>
          <w:p>
            <w:r>
              <w:rPr>
                <w:sz w:val="18"/>
              </w:rPr>
              <w:t>ncbi.nlm.nih.gov/pmc/articles/PMC11364154/</w:t>
            </w:r>
          </w:p>
        </w:tc>
        <w:tc>
          <w:tcPr>
            <w:tcW w:type="dxa" w:w="1872"/>
            <w:shd w:val="clear" w:color="auto" w:fill="F0F7FF"/>
          </w:tcPr>
          <w:p>
            <w:r>
              <w:rPr>
                <w:sz w:val="18"/>
              </w:rPr>
              <w:t>"MRI showed no prostate." Cross-reference: Finding 2.</w:t>
            </w:r>
          </w:p>
        </w:tc>
      </w:tr>
      <w:tr>
        <w:tc>
          <w:tcPr>
            <w:tcW w:type="dxa" w:w="1872"/>
            <w:shd w:val="clear" w:color="auto" w:fill="FFFFFF"/>
          </w:tcPr>
          <w:p>
            <w:r>
              <w:rPr>
                <w:sz w:val="18"/>
              </w:rPr>
              <w:t>8</w:t>
            </w:r>
          </w:p>
        </w:tc>
        <w:tc>
          <w:tcPr>
            <w:tcW w:type="dxa" w:w="1872"/>
            <w:shd w:val="clear" w:color="auto" w:fill="FFFFFF"/>
          </w:tcPr>
          <w:p>
            <w:r>
              <w:rPr>
                <w:sz w:val="18"/>
              </w:rPr>
              <w:t>True hermaphroditism — ultrasonic assessment (Pires 2005)</w:t>
            </w:r>
          </w:p>
        </w:tc>
        <w:tc>
          <w:tcPr>
            <w:tcW w:type="dxa" w:w="1872"/>
            <w:shd w:val="clear" w:color="auto" w:fill="FFFFFF"/>
          </w:tcPr>
          <w:p>
            <w:r>
              <w:rPr>
                <w:sz w:val="18"/>
              </w:rPr>
              <w:t>Ultrasound Obstet Gynecol</w:t>
            </w:r>
          </w:p>
        </w:tc>
        <w:tc>
          <w:tcPr>
            <w:tcW w:type="dxa" w:w="1872"/>
            <w:shd w:val="clear" w:color="auto" w:fill="FFFFFF"/>
          </w:tcPr>
          <w:p>
            <w:r>
              <w:rPr>
                <w:sz w:val="18"/>
              </w:rPr>
              <w:t>obgyn.onlinelibrary.wiley.com/doi/full/10.1002/uog.1928</w:t>
            </w:r>
          </w:p>
        </w:tc>
        <w:tc>
          <w:tcPr>
            <w:tcW w:type="dxa" w:w="1872"/>
            <w:shd w:val="clear" w:color="auto" w:fill="FFFFFF"/>
          </w:tcPr>
          <w:p>
            <w:r>
              <w:rPr>
                <w:sz w:val="18"/>
              </w:rPr>
              <w:t>"Virtually all patients with true hermaphroditism have a uterus." Cross-reference: Finding 3.</w:t>
            </w:r>
          </w:p>
        </w:tc>
      </w:tr>
      <w:tr>
        <w:tc>
          <w:tcPr>
            <w:tcW w:type="dxa" w:w="1872"/>
            <w:shd w:val="clear" w:color="auto" w:fill="F0F7FF"/>
          </w:tcPr>
          <w:p>
            <w:r>
              <w:rPr>
                <w:sz w:val="18"/>
              </w:rPr>
              <w:t>9</w:t>
            </w:r>
          </w:p>
        </w:tc>
        <w:tc>
          <w:tcPr>
            <w:tcW w:type="dxa" w:w="1872"/>
            <w:shd w:val="clear" w:color="auto" w:fill="F0F7FF"/>
          </w:tcPr>
          <w:p>
            <w:r>
              <w:rPr>
                <w:sz w:val="18"/>
              </w:rPr>
              <w:t>Differentiation of Adrenal Adenoma in Unenhanced CT</w:t>
            </w:r>
          </w:p>
        </w:tc>
        <w:tc>
          <w:tcPr>
            <w:tcW w:type="dxa" w:w="1872"/>
            <w:shd w:val="clear" w:color="auto" w:fill="F0F7FF"/>
          </w:tcPr>
          <w:p>
            <w:r>
              <w:rPr>
                <w:sz w:val="18"/>
              </w:rPr>
              <w:t>PMC2627166</w:t>
            </w:r>
          </w:p>
        </w:tc>
        <w:tc>
          <w:tcPr>
            <w:tcW w:type="dxa" w:w="1872"/>
            <w:shd w:val="clear" w:color="auto" w:fill="F0F7FF"/>
          </w:tcPr>
          <w:p>
            <w:r>
              <w:rPr>
                <w:sz w:val="18"/>
              </w:rPr>
              <w:t>pmc.ncbi.nlm.nih.gov/articles/PMC2627166/</w:t>
            </w:r>
          </w:p>
        </w:tc>
        <w:tc>
          <w:tcPr>
            <w:tcW w:type="dxa" w:w="1872"/>
            <w:shd w:val="clear" w:color="auto" w:fill="F0F7FF"/>
          </w:tcPr>
          <w:p>
            <w:r>
              <w:rPr>
                <w:sz w:val="18"/>
              </w:rPr>
              <w:t>HU characteristics of adrenal lesions on non-contrast CT. Cross-reference: Finding 1.</w:t>
            </w:r>
          </w:p>
        </w:tc>
      </w:tr>
      <w:tr>
        <w:tc>
          <w:tcPr>
            <w:tcW w:type="dxa" w:w="1872"/>
            <w:shd w:val="clear" w:color="auto" w:fill="FFFFFF"/>
          </w:tcPr>
          <w:p>
            <w:r>
              <w:rPr>
                <w:sz w:val="18"/>
              </w:rPr>
              <w:t>10</w:t>
            </w:r>
          </w:p>
        </w:tc>
        <w:tc>
          <w:tcPr>
            <w:tcW w:type="dxa" w:w="1872"/>
            <w:shd w:val="clear" w:color="auto" w:fill="FFFFFF"/>
          </w:tcPr>
          <w:p>
            <w:r>
              <w:rPr>
                <w:sz w:val="18"/>
              </w:rPr>
              <w:t>Complete Androgen Insensitivity with Müllerian Duct Remnants</w:t>
            </w:r>
          </w:p>
        </w:tc>
        <w:tc>
          <w:tcPr>
            <w:tcW w:type="dxa" w:w="1872"/>
            <w:shd w:val="clear" w:color="auto" w:fill="FFFFFF"/>
          </w:tcPr>
          <w:p>
            <w:r>
              <w:rPr>
                <w:sz w:val="18"/>
              </w:rPr>
              <w:t>PMC11183786</w:t>
            </w:r>
          </w:p>
        </w:tc>
        <w:tc>
          <w:tcPr>
            <w:tcW w:type="dxa" w:w="1872"/>
            <w:shd w:val="clear" w:color="auto" w:fill="FFFFFF"/>
          </w:tcPr>
          <w:p>
            <w:r>
              <w:rPr>
                <w:sz w:val="18"/>
              </w:rPr>
              <w:t>ncbi.nlm.nih.gov/pmc/articles/PMC11183786/</w:t>
            </w:r>
          </w:p>
        </w:tc>
        <w:tc>
          <w:tcPr>
            <w:tcW w:type="dxa" w:w="1872"/>
            <w:shd w:val="clear" w:color="auto" w:fill="FFFFFF"/>
          </w:tcPr>
          <w:p>
            <w:r>
              <w:rPr>
                <w:sz w:val="18"/>
              </w:rPr>
              <w:t>Cross-reference: Findings 3, 5; AR pathway.</w:t>
            </w:r>
          </w:p>
        </w:tc>
      </w:tr>
    </w:tbl>
    <w:p>
      <w:r>
        <w:br w:type="page"/>
      </w:r>
    </w:p>
    <w:p>
      <w:pPr>
        <w:jc w:val="left"/>
      </w:pPr>
      <w:r>
        <w:rPr>
          <w:b/>
          <w:color w:val="1B3A5C"/>
          <w:sz w:val="36"/>
        </w:rPr>
        <w:t>SECTION 7 — FULL IMAGE INDEX</w:t>
      </w:r>
    </w:p>
    <w:p>
      <w:pPr>
        <w:pBdr>
          <w:bottom w:val="single" w:sz="6" w:space="1" w:color="4A90D9"/>
        </w:pBdr>
      </w:pPr>
    </w:p>
    <w:p>
      <w:r>
        <w:rPr>
          <w:sz w:val="20"/>
        </w:rPr>
        <w:t>All source images are archived in the anatomy_findings/ directory of the project repository. Key annotated images are embedded throughout this report. Additional images available in repository:</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E6DA4"/>
          </w:tcPr>
          <w:p>
            <w:r>
              <w:rPr>
                <w:b/>
                <w:color w:val="FFFFFF"/>
                <w:sz w:val="18"/>
              </w:rPr>
              <w:t>File</w:t>
            </w:r>
          </w:p>
        </w:tc>
        <w:tc>
          <w:tcPr>
            <w:tcW w:type="dxa" w:w="4680"/>
            <w:shd w:val="clear" w:color="auto" w:fill="2E6DA4"/>
          </w:tcPr>
          <w:p>
            <w:r>
              <w:rPr>
                <w:b/>
                <w:color w:val="FFFFFF"/>
                <w:sz w:val="18"/>
              </w:rPr>
              <w:t>Description</w:t>
            </w:r>
          </w:p>
        </w:tc>
      </w:tr>
      <w:tr>
        <w:tc>
          <w:tcPr>
            <w:tcW w:type="dxa" w:w="4680"/>
            <w:shd w:val="clear" w:color="auto" w:fill="F0F7FF"/>
          </w:tcPr>
          <w:p>
            <w:r>
              <w:rPr>
                <w:sz w:val="18"/>
              </w:rPr>
              <w:t>REPORT_A_adrenals.png</w:t>
            </w:r>
          </w:p>
        </w:tc>
        <w:tc>
          <w:tcPr>
            <w:tcW w:type="dxa" w:w="4680"/>
            <w:shd w:val="clear" w:color="auto" w:fill="F0F7FF"/>
          </w:tcPr>
          <w:p>
            <w:r>
              <w:rPr>
                <w:sz w:val="18"/>
              </w:rPr>
              <w:t>Bilateral adrenal measurement zones — annotated CT axial slices</w:t>
            </w:r>
          </w:p>
        </w:tc>
      </w:tr>
      <w:tr>
        <w:tc>
          <w:tcPr>
            <w:tcW w:type="dxa" w:w="4680"/>
            <w:shd w:val="clear" w:color="auto" w:fill="FFFFFF"/>
          </w:tcPr>
          <w:p>
            <w:r>
              <w:rPr>
                <w:sz w:val="18"/>
              </w:rPr>
              <w:t>REPORT_B_prostate_zone.png</w:t>
            </w:r>
          </w:p>
        </w:tc>
        <w:tc>
          <w:tcPr>
            <w:tcW w:type="dxa" w:w="4680"/>
            <w:shd w:val="clear" w:color="auto" w:fill="FFFFFF"/>
          </w:tcPr>
          <w:p>
            <w:r>
              <w:rPr>
                <w:sz w:val="18"/>
              </w:rPr>
              <w:t>Prostate zone z=−345 to −410 with yellow annotation boxes</w:t>
            </w:r>
          </w:p>
        </w:tc>
      </w:tr>
      <w:tr>
        <w:tc>
          <w:tcPr>
            <w:tcW w:type="dxa" w:w="4680"/>
            <w:shd w:val="clear" w:color="auto" w:fill="F0F7FF"/>
          </w:tcPr>
          <w:p>
            <w:r>
              <w:rPr>
                <w:sz w:val="18"/>
              </w:rPr>
              <w:t>REPORT_C_uterine_zone.png</w:t>
            </w:r>
          </w:p>
        </w:tc>
        <w:tc>
          <w:tcPr>
            <w:tcW w:type="dxa" w:w="4680"/>
            <w:shd w:val="clear" w:color="auto" w:fill="F0F7FF"/>
          </w:tcPr>
          <w:p>
            <w:r>
              <w:rPr>
                <w:sz w:val="18"/>
              </w:rPr>
              <w:t>Posterior midline z=−290 to −360; cyan=bladder, magenta=Müllerian zone</w:t>
            </w:r>
          </w:p>
        </w:tc>
      </w:tr>
      <w:tr>
        <w:tc>
          <w:tcPr>
            <w:tcW w:type="dxa" w:w="4680"/>
            <w:shd w:val="clear" w:color="auto" w:fill="FFFFFF"/>
          </w:tcPr>
          <w:p>
            <w:r>
              <w:rPr>
                <w:sz w:val="18"/>
              </w:rPr>
              <w:t>REPORT_D_periumbilical_mass.png</w:t>
            </w:r>
          </w:p>
        </w:tc>
        <w:tc>
          <w:tcPr>
            <w:tcW w:type="dxa" w:w="4680"/>
            <w:shd w:val="clear" w:color="auto" w:fill="FFFFFF"/>
          </w:tcPr>
          <w:p>
            <w:r>
              <w:rPr>
                <w:sz w:val="18"/>
              </w:rPr>
              <w:t>Anterior midline mass tracking z=−20 to −164; green annotation boxes</w:t>
            </w:r>
          </w:p>
        </w:tc>
      </w:tr>
      <w:tr>
        <w:tc>
          <w:tcPr>
            <w:tcW w:type="dxa" w:w="4680"/>
            <w:shd w:val="clear" w:color="auto" w:fill="F0F7FF"/>
          </w:tcPr>
          <w:p>
            <w:r>
              <w:rPr>
                <w:sz w:val="18"/>
              </w:rPr>
              <w:t>REPORT_E_bilateral_adnexal.png</w:t>
            </w:r>
          </w:p>
        </w:tc>
        <w:tc>
          <w:tcPr>
            <w:tcW w:type="dxa" w:w="4680"/>
            <w:shd w:val="clear" w:color="auto" w:fill="F0F7FF"/>
          </w:tcPr>
          <w:p>
            <w:r>
              <w:rPr>
                <w:sz w:val="18"/>
              </w:rPr>
              <w:t>Post-orchiectomy bilateral adnexal structures with measurements</w:t>
            </w:r>
          </w:p>
        </w:tc>
      </w:tr>
      <w:tr>
        <w:tc>
          <w:tcPr>
            <w:tcW w:type="dxa" w:w="4680"/>
            <w:shd w:val="clear" w:color="auto" w:fill="FFFFFF"/>
          </w:tcPr>
          <w:p>
            <w:r>
              <w:rPr>
                <w:sz w:val="18"/>
              </w:rPr>
              <w:t>FINDING_07_bilateral_lateral_structures.png</w:t>
            </w:r>
          </w:p>
        </w:tc>
        <w:tc>
          <w:tcPr>
            <w:tcW w:type="dxa" w:w="4680"/>
            <w:shd w:val="clear" w:color="auto" w:fill="FFFFFF"/>
          </w:tcPr>
          <w:p>
            <w:r>
              <w:rPr>
                <w:sz w:val="18"/>
              </w:rPr>
              <w:t>Bilateral lateral structures with magenta box overlays</w:t>
            </w:r>
          </w:p>
        </w:tc>
      </w:tr>
      <w:tr>
        <w:tc>
          <w:tcPr>
            <w:tcW w:type="dxa" w:w="4680"/>
            <w:shd w:val="clear" w:color="auto" w:fill="F0F7FF"/>
          </w:tcPr>
          <w:p>
            <w:r>
              <w:rPr>
                <w:sz w:val="18"/>
              </w:rPr>
              <w:t>FINDING_08_zoomed_lateral_structures.png</w:t>
            </w:r>
          </w:p>
        </w:tc>
        <w:tc>
          <w:tcPr>
            <w:tcW w:type="dxa" w:w="4680"/>
            <w:shd w:val="clear" w:color="auto" w:fill="F0F7FF"/>
          </w:tcPr>
          <w:p>
            <w:r>
              <w:rPr>
                <w:sz w:val="18"/>
              </w:rPr>
              <w:t>Zoomed lateral zone crops</w:t>
            </w:r>
          </w:p>
        </w:tc>
      </w:tr>
      <w:tr>
        <w:tc>
          <w:tcPr>
            <w:tcW w:type="dxa" w:w="4680"/>
            <w:shd w:val="clear" w:color="auto" w:fill="FFFFFF"/>
          </w:tcPr>
          <w:p>
            <w:r>
              <w:rPr>
                <w:sz w:val="18"/>
              </w:rPr>
              <w:t>FINDING_09_quantified_bilateral.png</w:t>
            </w:r>
          </w:p>
        </w:tc>
        <w:tc>
          <w:tcPr>
            <w:tcW w:type="dxa" w:w="4680"/>
            <w:shd w:val="clear" w:color="auto" w:fill="FFFFFF"/>
          </w:tcPr>
          <w:p>
            <w:r>
              <w:rPr>
                <w:sz w:val="18"/>
              </w:rPr>
              <w:t>Circles at centroid positions with area/HU measurements</w:t>
            </w:r>
          </w:p>
        </w:tc>
      </w:tr>
      <w:tr>
        <w:tc>
          <w:tcPr>
            <w:tcW w:type="dxa" w:w="4680"/>
            <w:shd w:val="clear" w:color="auto" w:fill="F0F7FF"/>
          </w:tcPr>
          <w:p>
            <w:r>
              <w:rPr>
                <w:sz w:val="18"/>
              </w:rPr>
              <w:t>FINDING_09b_component_overlay.png</w:t>
            </w:r>
          </w:p>
        </w:tc>
        <w:tc>
          <w:tcPr>
            <w:tcW w:type="dxa" w:w="4680"/>
            <w:shd w:val="clear" w:color="auto" w:fill="F0F7FF"/>
          </w:tcPr>
          <w:p>
            <w:r>
              <w:rPr>
                <w:sz w:val="18"/>
              </w:rPr>
              <w:t>Connected-component outlines on CT background</w:t>
            </w:r>
          </w:p>
        </w:tc>
      </w:tr>
      <w:tr>
        <w:tc>
          <w:tcPr>
            <w:tcW w:type="dxa" w:w="4680"/>
            <w:shd w:val="clear" w:color="auto" w:fill="FFFFFF"/>
          </w:tcPr>
          <w:p>
            <w:r>
              <w:rPr>
                <w:sz w:val="18"/>
              </w:rPr>
              <w:t>FINDING_06_ultrasound_key.png</w:t>
            </w:r>
          </w:p>
        </w:tc>
        <w:tc>
          <w:tcPr>
            <w:tcW w:type="dxa" w:w="4680"/>
            <w:shd w:val="clear" w:color="auto" w:fill="FFFFFF"/>
          </w:tcPr>
          <w:p>
            <w:r>
              <w:rPr>
                <w:sz w:val="18"/>
              </w:rPr>
              <w:t>Key ultrasound frames from 82-frame series</w:t>
            </w:r>
          </w:p>
        </w:tc>
      </w:tr>
      <w:tr>
        <w:tc>
          <w:tcPr>
            <w:tcW w:type="dxa" w:w="4680"/>
            <w:shd w:val="clear" w:color="auto" w:fill="F0F7FF"/>
          </w:tcPr>
          <w:p>
            <w:r>
              <w:rPr>
                <w:sz w:val="18"/>
              </w:rPr>
              <w:t>CT_pelvic_slices/</w:t>
            </w:r>
          </w:p>
        </w:tc>
        <w:tc>
          <w:tcPr>
            <w:tcW w:type="dxa" w:w="4680"/>
            <w:shd w:val="clear" w:color="auto" w:fill="F0F7FF"/>
          </w:tcPr>
          <w:p>
            <w:r>
              <w:rPr>
                <w:sz w:val="18"/>
              </w:rPr>
              <w:t>Every pelvic CT slice saved individually (both windows)</w:t>
            </w:r>
          </w:p>
        </w:tc>
      </w:tr>
      <w:tr>
        <w:tc>
          <w:tcPr>
            <w:tcW w:type="dxa" w:w="4680"/>
            <w:shd w:val="clear" w:color="auto" w:fill="FFFFFF"/>
          </w:tcPr>
          <w:p>
            <w:r>
              <w:rPr>
                <w:sz w:val="18"/>
              </w:rPr>
              <w:t>US_individual/</w:t>
            </w:r>
          </w:p>
        </w:tc>
        <w:tc>
          <w:tcPr>
            <w:tcW w:type="dxa" w:w="4680"/>
            <w:shd w:val="clear" w:color="auto" w:fill="FFFFFF"/>
          </w:tcPr>
          <w:p>
            <w:r>
              <w:rPr>
                <w:sz w:val="18"/>
              </w:rPr>
              <w:t>All 82 ultrasound frames individually (US_frame_001–082.png)</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