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1440E"/>
          <w:sz w:val="56"/>
          <w:szCs w:val="56"/>
        </w:rPr>
        <w:t xml:space="preserve">FireGuard</w:t>
      </w:r>
    </w:p>
    <w:p>
      <w:pPr>
        <w:spacing w:after="40"/>
      </w:pPr>
      <w:r>
        <w:rPr>
          <w:b/>
          <w:bCs/>
          <w:color w:val="1F1F1F"/>
          <w:sz w:val="30"/>
          <w:szCs w:val="30"/>
        </w:rPr>
        <w:t xml:space="preserve">AI-Powered Early Fire Risk Prediction System</w:t>
      </w:r>
    </w:p>
    <w:p>
      <w:pPr>
        <w:spacing w:after="300"/>
      </w:pPr>
      <w:r>
        <w:rPr>
          <w:i/>
          <w:iCs/>
          <w:color w:val="555555"/>
          <w:sz w:val="22"/>
          <w:szCs w:val="22"/>
        </w:rPr>
        <w:t xml:space="preserve">Project Overview Document — Aim, Introduction &amp; Scope</w:t>
      </w:r>
    </w:p>
    <w:p>
      <w:pPr>
        <w:spacing w:after="40"/>
      </w:pPr>
      <w:r>
        <w:rPr>
          <w:color w:val="555555"/>
          <w:sz w:val="20"/>
          <w:szCs w:val="20"/>
        </w:rPr>
        <w:t xml:space="preserve">Created by Ashley Mwaramba</w:t>
      </w:r>
    </w:p>
    <w:p>
      <w:pPr>
        <w:pBdr>
          <w:bottom w:val="single" w:color="CCCCCC" w:sz="4" w:space="4"/>
        </w:pBdr>
        <w:spacing w:after="500"/>
      </w:pPr>
      <w:r>
        <w:rPr>
          <w:color w:val="555555"/>
          <w:sz w:val="20"/>
          <w:szCs w:val="20"/>
        </w:rPr>
        <w:t xml:space="preserve">August 2026</w:t>
      </w:r>
    </w:p>
    <w:p>
      <w:pPr>
        <w:pStyle w:val="Heading1"/>
        <w:pBdr>
          <w:bottom w:val="single" w:color="C1440E" w:sz="6" w:space="4"/>
        </w:pBdr>
        <w:spacing w:after="200" w:before="400"/>
      </w:pPr>
      <w:r>
        <w:rPr>
          <w:b/>
          <w:bCs/>
          <w:color w:val="C1440E"/>
          <w:sz w:val="30"/>
          <w:szCs w:val="30"/>
        </w:rPr>
        <w:t xml:space="preserve">1. Introduction</w:t>
      </w:r>
    </w:p>
    <w:p>
      <w:pPr>
        <w:spacing w:after="160" w:line="300"/>
        <w:jc w:val="both"/>
      </w:pPr>
      <w:r>
        <w:rPr>
          <w:color w:val="1F1F1F"/>
          <w:sz w:val="22"/>
          <w:szCs w:val="22"/>
        </w:rPr>
        <w:t xml:space="preserve">South Africa's rural areas and informal settlements face a disproportionately high risk of fire compared to formal urban housing. Dense clustering of structures, widespread use of flammable building materials such as corrugated iron, timber, and cardboard, reliance on open-flame cooking, and the continued use of paraffin stoves and candles for lighting all contribute to conditions in which fires can ignite easily and spread rapidly between neighbouring dwellings. In many of these communities, formal fire-safety infrastructure — hydrants, smoke detectors, fire alarm networks, and fast-response fire services — is limited or entirely absent, and emergency response times are frequently extended by poor road access and the distances between settlements and the nearest fire station.</w:t>
      </w:r>
    </w:p>
    <w:p>
      <w:pPr>
        <w:spacing w:after="160" w:line="300"/>
        <w:jc w:val="both"/>
      </w:pPr>
      <w:r>
        <w:rPr>
          <w:color w:val="1F1F1F"/>
          <w:sz w:val="22"/>
          <w:szCs w:val="22"/>
        </w:rPr>
        <w:t xml:space="preserve">Commercial smoke detectors and conventional fire alarm systems are not a realistic solution in this context. They generally assume stable grid electricity, existing Wi-Fi or wired network infrastructure, and a per-household cost that is unaffordable at scale in low-income communities. This leaves a significant portion of South Africa's population without any form of early warning when a fire begins to develop, often finding out only once a fire is already well established and difficult to contain.</w:t>
      </w:r>
    </w:p>
    <w:p>
      <w:pPr>
        <w:spacing w:after="160" w:line="300"/>
        <w:jc w:val="both"/>
      </w:pPr>
      <w:r>
        <w:rPr>
          <w:color w:val="1F1F1F"/>
          <w:sz w:val="22"/>
          <w:szCs w:val="22"/>
        </w:rPr>
        <w:t xml:space="preserve">FireGuard is being developed to close this gap. It is a low-cost, early fire detection and community alert system, purpose-built for rural and informal settlement conditions. Rather than depending on existing internet or cellular data infrastructure, FireGuard uses a network of low-power sensor nodes that monitor conditions inside and around dwellings in real time, apply on-device inference to identify developing fire risk, and communicate over a self-contained wireless mesh network to a central gateway. The gateway is responsible for consolidating status information, surfacing it through a locally hosted dashboard, and issuing alerts — including via SMS over a GSM connection — so that a warning can still reach residents and community stakeholders in areas where data connectivity is unreliable or unavailable.</w:t>
      </w:r>
    </w:p>
    <w:p>
      <w:pPr>
        <w:spacing w:after="160" w:line="300"/>
        <w:jc w:val="both"/>
      </w:pPr>
      <w:r>
        <w:rPr>
          <w:color w:val="1F1F1F"/>
          <w:sz w:val="22"/>
          <w:szCs w:val="22"/>
        </w:rPr>
        <w:t xml:space="preserve">This document sets out the aim of the FireGuard project and defines the scope of the system as currently being developed, to provide a clear, shared reference point for the project going forward.</w:t>
      </w:r>
    </w:p>
    <w:p>
      <w:pPr>
        <w:pStyle w:val="Heading1"/>
        <w:pBdr>
          <w:bottom w:val="single" w:color="C1440E" w:sz="6" w:space="4"/>
        </w:pBdr>
        <w:spacing w:after="200" w:before="400"/>
      </w:pPr>
      <w:r>
        <w:rPr>
          <w:b/>
          <w:bCs/>
          <w:color w:val="C1440E"/>
          <w:sz w:val="30"/>
          <w:szCs w:val="30"/>
        </w:rPr>
        <w:t xml:space="preserve">2. Aim</w:t>
      </w:r>
    </w:p>
    <w:p>
      <w:pPr>
        <w:spacing w:after="160" w:line="300"/>
        <w:jc w:val="both"/>
      </w:pPr>
      <w:r>
        <w:rPr>
          <w:b/>
          <w:bCs/>
          <w:color w:val="1F1F1F"/>
          <w:sz w:val="22"/>
          <w:szCs w:val="22"/>
        </w:rPr>
        <w:t xml:space="preserve">Primary aim: </w:t>
      </w:r>
      <w:r>
        <w:rPr>
          <w:color w:val="1F1F1F"/>
          <w:sz w:val="22"/>
          <w:szCs w:val="22"/>
        </w:rPr>
        <w:t xml:space="preserve">To design and build a low-cost, reliable, early fire risk detection and community alert system that can be realistically deployed in rural and informal settlement contexts in South Africa — giving residents advance warning of developing fire risk with enough lead time to intervene safely or evacuate.</w:t>
      </w:r>
    </w:p>
    <w:p>
      <w:pPr>
        <w:spacing w:after="160" w:line="300"/>
        <w:jc w:val="both"/>
      </w:pPr>
      <w:r>
        <w:rPr>
          <w:color w:val="1F1F1F"/>
          <w:sz w:val="22"/>
          <w:szCs w:val="22"/>
        </w:rPr>
        <w:t xml:space="preserve">This primary aim is supported by the following objectives:</w:t>
      </w:r>
    </w:p>
    <w:p>
      <w:pPr>
        <w:pStyle w:val="ListParagraph"/>
        <w:numPr>
          <w:ilvl w:val="0"/>
          <w:numId w:val="2"/>
        </w:numPr>
        <w:spacing w:after="90" w:line="280"/>
      </w:pPr>
      <w:r>
        <w:rPr>
          <w:color w:val="1F1F1F"/>
          <w:sz w:val="22"/>
          <w:szCs w:val="22"/>
        </w:rPr>
        <w:t xml:space="preserve">Detect early indicators of fire risk — including flame presence and abnormal temperature patterns — using low-cost sensors and on-device AI inference at each sensor node.</w:t>
      </w:r>
    </w:p>
    <w:p>
      <w:pPr>
        <w:pStyle w:val="ListParagraph"/>
        <w:numPr>
          <w:ilvl w:val="0"/>
          <w:numId w:val="2"/>
        </w:numPr>
        <w:spacing w:after="90" w:line="280"/>
      </w:pPr>
      <w:r>
        <w:rPr>
          <w:color w:val="1F1F1F"/>
          <w:sz w:val="22"/>
          <w:szCs w:val="22"/>
        </w:rPr>
        <w:t xml:space="preserve">Distinguish genuine fire risk from routine household activity, such as cooking, to minimise false alarms and preserve trust in the system among the people relying on it.</w:t>
      </w:r>
    </w:p>
    <w:p>
      <w:pPr>
        <w:pStyle w:val="ListParagraph"/>
        <w:numPr>
          <w:ilvl w:val="0"/>
          <w:numId w:val="2"/>
        </w:numPr>
        <w:spacing w:after="90" w:line="280"/>
      </w:pPr>
      <w:r>
        <w:rPr>
          <w:color w:val="1F1F1F"/>
          <w:sz w:val="22"/>
          <w:szCs w:val="22"/>
        </w:rPr>
        <w:t xml:space="preserve">Establish a resilient, low-power wireless mesh network between nodes that operates independently of existing Wi-Fi or internet infrastructure.</w:t>
      </w:r>
    </w:p>
    <w:p>
      <w:pPr>
        <w:pStyle w:val="ListParagraph"/>
        <w:numPr>
          <w:ilvl w:val="0"/>
          <w:numId w:val="2"/>
        </w:numPr>
        <w:spacing w:after="90" w:line="280"/>
      </w:pPr>
      <w:r>
        <w:rPr>
          <w:color w:val="1F1F1F"/>
          <w:sz w:val="22"/>
          <w:szCs w:val="22"/>
        </w:rPr>
        <w:t xml:space="preserve">Relay alerts from the mesh network to a central gateway capable of notifying residents and relevant stakeholders via GSM/SMS in areas without reliable data connectivity.</w:t>
      </w:r>
    </w:p>
    <w:p>
      <w:pPr>
        <w:pStyle w:val="ListParagraph"/>
        <w:numPr>
          <w:ilvl w:val="0"/>
          <w:numId w:val="2"/>
        </w:numPr>
        <w:spacing w:after="90" w:line="280"/>
      </w:pPr>
      <w:r>
        <w:rPr>
          <w:color w:val="1F1F1F"/>
          <w:sz w:val="22"/>
          <w:szCs w:val="22"/>
        </w:rPr>
        <w:t xml:space="preserve">Provide accessible, real-time visibility of system and risk status through a lightweight, locally hosted web dashboard that does not depend on an external internet connection.</w:t>
      </w:r>
    </w:p>
    <w:p>
      <w:pPr>
        <w:pStyle w:val="ListParagraph"/>
        <w:numPr>
          <w:ilvl w:val="0"/>
          <w:numId w:val="2"/>
        </w:numPr>
        <w:spacing w:after="90" w:line="280"/>
      </w:pPr>
      <w:r>
        <w:rPr>
          <w:color w:val="1F1F1F"/>
          <w:sz w:val="22"/>
          <w:szCs w:val="22"/>
        </w:rPr>
        <w:t xml:space="preserve">Keep the hardware bill of materials low-cost and the assembly process accessible — favouring no-soldering components where possible — so that the system is realistic to build, deploy, and maintain in resource-constrained settings.</w:t>
      </w:r>
    </w:p>
    <w:p>
      <w:pPr>
        <w:pStyle w:val="ListParagraph"/>
        <w:numPr>
          <w:ilvl w:val="0"/>
          <w:numId w:val="2"/>
        </w:numPr>
        <w:spacing w:after="90" w:line="280"/>
      </w:pPr>
      <w:r>
        <w:rPr>
          <w:color w:val="1F1F1F"/>
          <w:sz w:val="22"/>
          <w:szCs w:val="22"/>
        </w:rPr>
        <w:t xml:space="preserve">Validate the system's core detection and alerting logic through firmware simulation and prototype testing, ahead of future public demonstration opportunities.</w:t>
      </w:r>
    </w:p>
    <w:p>
      <w:pPr>
        <w:pStyle w:val="Heading1"/>
        <w:pBdr>
          <w:bottom w:val="single" w:color="C1440E" w:sz="6" w:space="4"/>
        </w:pBdr>
        <w:spacing w:after="200" w:before="400"/>
      </w:pPr>
      <w:r>
        <w:rPr>
          <w:b/>
          <w:bCs/>
          <w:color w:val="C1440E"/>
          <w:sz w:val="30"/>
          <w:szCs w:val="30"/>
        </w:rPr>
        <w:t xml:space="preserve">3. Scope of the Project</w:t>
      </w:r>
    </w:p>
    <w:p>
      <w:pPr>
        <w:spacing w:after="160" w:line="300"/>
        <w:jc w:val="both"/>
      </w:pPr>
      <w:r>
        <w:rPr>
          <w:color w:val="1F1F1F"/>
          <w:sz w:val="22"/>
          <w:szCs w:val="22"/>
        </w:rPr>
        <w:t xml:space="preserve">This section defines the boundaries of the FireGuard project as it currently stands, distinguishing between what is included in the current build and what has been deliberately excluded from the present phase.</w:t>
      </w:r>
    </w:p>
    <w:p>
      <w:pPr>
        <w:pStyle w:val="Heading2"/>
        <w:spacing w:after="120" w:before="300"/>
      </w:pPr>
      <w:r>
        <w:rPr>
          <w:b/>
          <w:bCs/>
          <w:color w:val="1F1F1F"/>
          <w:sz w:val="24"/>
          <w:szCs w:val="24"/>
        </w:rPr>
        <w:t xml:space="preserve">3.1 Target Deployment Context</w:t>
      </w:r>
    </w:p>
    <w:p>
      <w:pPr>
        <w:spacing w:after="160" w:line="300"/>
        <w:jc w:val="both"/>
      </w:pPr>
      <w:r>
        <w:rPr>
          <w:color w:val="1F1F1F"/>
          <w:sz w:val="22"/>
          <w:szCs w:val="22"/>
        </w:rPr>
        <w:t xml:space="preserve">FireGuard is being designed specifically for rural households and informal settlement dwellings in South Africa, where structures are closely spaced, formal fire-safety infrastructure is limited, and reliable grid power, Wi-Fi, or mobile data cannot be assumed. The intended end users are residents of these dwellings, together with community-level stakeholders — such as a designated household member, neighbour, or local point of contact — who can act on an alert.</w:t>
      </w:r>
    </w:p>
    <w:p>
      <w:pPr>
        <w:pStyle w:val="Heading2"/>
        <w:spacing w:after="120" w:before="300"/>
      </w:pPr>
      <w:r>
        <w:rPr>
          <w:b/>
          <w:bCs/>
          <w:color w:val="1F1F1F"/>
          <w:sz w:val="24"/>
          <w:szCs w:val="24"/>
        </w:rPr>
        <w:t xml:space="preserve">3.2 In Scope</w:t>
      </w:r>
    </w:p>
    <w:p>
      <w:pPr>
        <w:pStyle w:val="ListParagraph"/>
        <w:numPr>
          <w:ilvl w:val="0"/>
          <w:numId w:val="3"/>
        </w:numPr>
        <w:spacing w:after="90" w:line="280"/>
      </w:pPr>
      <w:r>
        <w:rPr>
          <w:color w:val="1F1F1F"/>
          <w:sz w:val="22"/>
          <w:szCs w:val="22"/>
        </w:rPr>
        <w:t xml:space="preserve">Node-level hardware: ESP32-C3 microcontroller-based sensor nodes performing local AI inference at the edge.</w:t>
      </w:r>
    </w:p>
    <w:p>
      <w:pPr>
        <w:pStyle w:val="ListParagraph"/>
        <w:numPr>
          <w:ilvl w:val="0"/>
          <w:numId w:val="3"/>
        </w:numPr>
        <w:spacing w:after="90" w:line="280"/>
      </w:pPr>
      <w:r>
        <w:rPr>
          <w:color w:val="1F1F1F"/>
          <w:sz w:val="22"/>
          <w:szCs w:val="22"/>
        </w:rPr>
        <w:t xml:space="preserve">Sensing: flame detection, precision temperature monitoring via the MCP9808 sensor, and room occupancy detection via the HLK-LD2420 mmWave radar sensor.</w:t>
      </w:r>
    </w:p>
    <w:p>
      <w:pPr>
        <w:pStyle w:val="ListParagraph"/>
        <w:numPr>
          <w:ilvl w:val="0"/>
          <w:numId w:val="3"/>
        </w:numPr>
        <w:spacing w:after="90" w:line="280"/>
      </w:pPr>
      <w:r>
        <w:rPr>
          <w:color w:val="1F1F1F"/>
          <w:sz w:val="22"/>
          <w:szCs w:val="22"/>
        </w:rPr>
        <w:t xml:space="preserve">Networking: an ESP-NOW based wireless mesh network enabling node-to-node and node-to-gateway communication without reliance on existing network infrastructure.</w:t>
      </w:r>
    </w:p>
    <w:p>
      <w:pPr>
        <w:pStyle w:val="ListParagraph"/>
        <w:numPr>
          <w:ilvl w:val="0"/>
          <w:numId w:val="3"/>
        </w:numPr>
        <w:spacing w:after="90" w:line="280"/>
      </w:pPr>
      <w:r>
        <w:rPr>
          <w:color w:val="1F1F1F"/>
          <w:sz w:val="22"/>
          <w:szCs w:val="22"/>
        </w:rPr>
        <w:t xml:space="preserve">Gateway: a central ESP32-based gateway integrating a SIM800L GSM module, enabling SMS-based alerting in areas without Wi-Fi or mobile data coverage.</w:t>
      </w:r>
    </w:p>
    <w:p>
      <w:pPr>
        <w:pStyle w:val="ListParagraph"/>
        <w:numPr>
          <w:ilvl w:val="0"/>
          <w:numId w:val="3"/>
        </w:numPr>
        <w:spacing w:after="90" w:line="280"/>
      </w:pPr>
      <w:r>
        <w:rPr>
          <w:color w:val="1F1F1F"/>
          <w:sz w:val="22"/>
          <w:szCs w:val="22"/>
        </w:rPr>
        <w:t xml:space="preserve">User interface: a Progressive Web App (PWA) dashboard hosted locally on the gateway, displaying real-time node status, environmental readings, and current alert state.</w:t>
      </w:r>
    </w:p>
    <w:p>
      <w:pPr>
        <w:pStyle w:val="ListParagraph"/>
        <w:numPr>
          <w:ilvl w:val="0"/>
          <w:numId w:val="3"/>
        </w:numPr>
        <w:spacing w:after="90" w:line="280"/>
      </w:pPr>
      <w:r>
        <w:rPr>
          <w:color w:val="1F1F1F"/>
          <w:sz w:val="22"/>
          <w:szCs w:val="22"/>
        </w:rPr>
        <w:t xml:space="preserve">Alert logic: a multi-state risk classification model (e.g. Normal / Monitoring / Critical), including flame-triggered critical states and logic to gate against false positives caused by cooking-related heat and humidity changes.</w:t>
      </w:r>
    </w:p>
    <w:p>
      <w:pPr>
        <w:pStyle w:val="ListParagraph"/>
        <w:numPr>
          <w:ilvl w:val="0"/>
          <w:numId w:val="3"/>
        </w:numPr>
        <w:spacing w:after="90" w:line="280"/>
      </w:pPr>
      <w:r>
        <w:rPr>
          <w:color w:val="1F1F1F"/>
          <w:sz w:val="22"/>
          <w:szCs w:val="22"/>
        </w:rPr>
        <w:t xml:space="preserve">Verification and validation: firmware simulation and prototype-level testing to confirm that detection and alerting logic behaves as intended before further development.</w:t>
      </w:r>
    </w:p>
    <w:p>
      <w:pPr>
        <w:pStyle w:val="ListParagraph"/>
        <w:numPr>
          <w:ilvl w:val="0"/>
          <w:numId w:val="3"/>
        </w:numPr>
        <w:spacing w:after="90" w:line="280"/>
      </w:pPr>
      <w:r>
        <w:rPr>
          <w:color w:val="1F1F1F"/>
          <w:sz w:val="22"/>
          <w:szCs w:val="22"/>
        </w:rPr>
        <w:t xml:space="preserve">Demonstration: preparation of a working prototype suitable for public demonstration.</w:t>
      </w:r>
    </w:p>
    <w:p>
      <w:pPr>
        <w:pStyle w:val="Heading2"/>
        <w:spacing w:after="120" w:before="300"/>
      </w:pPr>
      <w:r>
        <w:rPr>
          <w:b/>
          <w:bCs/>
          <w:color w:val="1F1F1F"/>
          <w:sz w:val="24"/>
          <w:szCs w:val="24"/>
        </w:rPr>
        <w:t xml:space="preserve">3.3 Out of Scope (Current Phase)</w:t>
      </w:r>
    </w:p>
    <w:p>
      <w:pPr>
        <w:spacing w:after="160" w:line="300"/>
        <w:jc w:val="both"/>
      </w:pPr>
      <w:r>
        <w:rPr>
          <w:color w:val="1F1F1F"/>
          <w:sz w:val="22"/>
          <w:szCs w:val="22"/>
        </w:rPr>
        <w:t xml:space="preserve">The following items were considered during the design process but have been deliberately excluded from the current minimum viable product (MVP) to keep the build achievable, cost-effective, and testable within the current timeline. They are acknowledged as limitations of the present scope, and may be revisited in future iterations of the project:</w:t>
      </w:r>
    </w:p>
    <w:p>
      <w:pPr>
        <w:pStyle w:val="ListParagraph"/>
        <w:numPr>
          <w:ilvl w:val="0"/>
          <w:numId w:val="3"/>
        </w:numPr>
        <w:spacing w:after="90" w:line="280"/>
      </w:pPr>
      <w:r>
        <w:rPr>
          <w:color w:val="1F1F1F"/>
          <w:sz w:val="22"/>
          <w:szCs w:val="22"/>
        </w:rPr>
        <w:t xml:space="preserve">Gas sensing (MQ-2 and SGP41 sensors) — evaluated during the design phase but excluded from the current MVP due to added cost and complexity.</w:t>
      </w:r>
    </w:p>
    <w:p>
      <w:pPr>
        <w:pStyle w:val="ListParagraph"/>
        <w:numPr>
          <w:ilvl w:val="0"/>
          <w:numId w:val="3"/>
        </w:numPr>
        <w:spacing w:after="90" w:line="280"/>
      </w:pPr>
      <w:r>
        <w:rPr>
          <w:color w:val="1F1F1F"/>
          <w:sz w:val="22"/>
          <w:szCs w:val="22"/>
        </w:rPr>
        <w:t xml:space="preserve">Full-scale, multi-community or citywide deployment and the supporting infrastructure this would require.</w:t>
      </w:r>
    </w:p>
    <w:p>
      <w:pPr>
        <w:pStyle w:val="ListParagraph"/>
        <w:numPr>
          <w:ilvl w:val="0"/>
          <w:numId w:val="3"/>
        </w:numPr>
        <w:spacing w:after="90" w:line="280"/>
      </w:pPr>
      <w:r>
        <w:rPr>
          <w:color w:val="1F1F1F"/>
          <w:sz w:val="22"/>
          <w:szCs w:val="22"/>
        </w:rPr>
        <w:t xml:space="preserve">Direct integration with official municipal or national emergency services dispatch systems.</w:t>
      </w:r>
    </w:p>
    <w:p>
      <w:pPr>
        <w:pStyle w:val="ListParagraph"/>
        <w:numPr>
          <w:ilvl w:val="0"/>
          <w:numId w:val="3"/>
        </w:numPr>
        <w:spacing w:after="90" w:line="280"/>
      </w:pPr>
      <w:r>
        <w:rPr>
          <w:color w:val="1F1F1F"/>
          <w:sz w:val="22"/>
          <w:szCs w:val="22"/>
        </w:rPr>
        <w:t xml:space="preserve">Long-term structural and environmental durability certification (e.g. commercial-grade weatherproof housing) beyond prototype-level protection.</w:t>
      </w:r>
    </w:p>
    <w:p>
      <w:pPr>
        <w:pStyle w:val="ListParagraph"/>
        <w:numPr>
          <w:ilvl w:val="0"/>
          <w:numId w:val="3"/>
        </w:numPr>
        <w:spacing w:after="90" w:line="280"/>
      </w:pPr>
      <w:r>
        <w:rPr>
          <w:color w:val="1F1F1F"/>
          <w:sz w:val="22"/>
          <w:szCs w:val="22"/>
        </w:rPr>
        <w:t xml:space="preserve">Commercial-scale manufacturing and supply chain setup.</w:t>
      </w:r>
    </w:p>
    <w:p>
      <w:pPr>
        <w:pStyle w:val="ListParagraph"/>
        <w:numPr>
          <w:ilvl w:val="0"/>
          <w:numId w:val="3"/>
        </w:numPr>
        <w:spacing w:after="90" w:line="280"/>
      </w:pPr>
      <w:r>
        <w:rPr>
          <w:color w:val="1F1F1F"/>
          <w:sz w:val="22"/>
          <w:szCs w:val="22"/>
        </w:rPr>
        <w:t xml:space="preserve">A dedicated native mobile application — in the current phase, alerts and status information are delivered via the local PWA dashboard and GSM/SMS rather than a standalone app.</w:t>
      </w:r>
    </w:p>
    <w:p>
      <w:pPr>
        <w:pStyle w:val="ListParagraph"/>
        <w:numPr>
          <w:ilvl w:val="0"/>
          <w:numId w:val="3"/>
        </w:numPr>
        <w:spacing w:after="90" w:line="280"/>
      </w:pPr>
      <w:r>
        <w:rPr>
          <w:color w:val="1F1F1F"/>
          <w:sz w:val="22"/>
          <w:szCs w:val="22"/>
        </w:rPr>
        <w:t xml:space="preserve">Any component or subsystem that would require soldering skills beyond what a community-level maintainer could reasonably be expected to perform, in keeping with the project's no-soldering preference for core components.</w:t>
      </w:r>
    </w:p>
    <w:p>
      <w:pPr>
        <w:pStyle w:val="Heading2"/>
        <w:spacing w:after="120" w:before="300"/>
      </w:pPr>
      <w:r>
        <w:rPr>
          <w:b/>
          <w:bCs/>
          <w:color w:val="1F1F1F"/>
          <w:sz w:val="24"/>
          <w:szCs w:val="24"/>
        </w:rPr>
        <w:t xml:space="preserve">3.4 Boundaries of Responsibility</w:t>
      </w:r>
    </w:p>
    <w:p>
      <w:pPr>
        <w:spacing w:after="160" w:line="300"/>
        <w:jc w:val="both"/>
      </w:pPr>
      <w:r>
        <w:rPr>
          <w:color w:val="1F1F1F"/>
          <w:sz w:val="22"/>
          <w:szCs w:val="22"/>
        </w:rPr>
        <w:t xml:space="preserve">Within its defined scope, FireGuard is intended to detect and communicate early indicators of fire risk, and to make that information available to residents and stakeholders as quickly as possible. It is not intended, in its current form, to replace professional fire suppression equipment, structural fire-safety upgrades, or the role of formal emergency services — it is designed to extend the window of time available for residents to respond safely before a fire becomes unmanageable.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2026-08-04T15:46:18.783Z</dcterms:created>
  <dcterms:modified xsi:type="dcterms:W3CDTF">2026-08-04T15:46:18.795Z</dcterms:modified>
</cp:coreProperties>
</file>

<file path=docProps/custom.xml><?xml version="1.0" encoding="utf-8"?>
<Properties xmlns="http://schemas.openxmlformats.org/officeDocument/2006/custom-properties" xmlns:vt="http://schemas.openxmlformats.org/officeDocument/2006/docPropsVTypes"/>
</file>