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>
        <w:rPr>
          <w:rFonts w:ascii="Oswald" w:eastAsia="Times New Roman" w:hAnsi="Oswald"/>
          <w:caps/>
          <w:color w:val="111111"/>
          <w:spacing w:val="15"/>
          <w:szCs w:val="24"/>
        </w:rPr>
        <w:t>(para usar en la section lmsgi / ARTICULO 1)</w:t>
      </w:r>
    </w:p>
    <w:p w:rsidR="00846402" w:rsidRPr="00F3408A" w:rsidRDefault="00F3408A" w:rsidP="00F3408A">
      <w:pPr>
        <w:rPr>
          <w:b/>
          <w:color w:val="002060"/>
        </w:rPr>
      </w:pPr>
      <w:bookmarkStart w:id="0" w:name="_GoBack"/>
      <w:r w:rsidRPr="00F3408A">
        <w:rPr>
          <w:b/>
          <w:color w:val="002060"/>
        </w:rPr>
        <w:t>objetivos, contenidos y tecnologías (cabecera)</w:t>
      </w:r>
    </w:p>
    <w:bookmarkEnd w:id="0"/>
    <w:p w:rsidR="00846402" w:rsidRDefault="00F3408A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>
        <w:rPr>
          <w:rFonts w:ascii="Open Sans" w:hAnsi="Open Sans" w:cs="Open Sans"/>
          <w:color w:val="111111"/>
          <w:sz w:val="23"/>
          <w:szCs w:val="23"/>
          <w:shd w:val="clear" w:color="auto" w:fill="F7F8FA"/>
        </w:rPr>
        <w:t>Este módulo profesional contiene la formación necesaria para desempeñar la función de gestión y explotación de sistemas de información.</w:t>
      </w:r>
    </w:p>
    <w:p w:rsidR="00846402" w:rsidRP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 w:rsidRPr="00846402">
        <w:rPr>
          <w:rFonts w:ascii="Oswald" w:eastAsia="Times New Roman" w:hAnsi="Oswald"/>
          <w:caps/>
          <w:color w:val="111111"/>
          <w:spacing w:val="15"/>
          <w:szCs w:val="24"/>
        </w:rPr>
        <w:t>OBJETIVOS:</w:t>
      </w:r>
    </w:p>
    <w:p w:rsidR="00846402" w:rsidRPr="00846402" w:rsidRDefault="00846402" w:rsidP="00846402">
      <w:pPr>
        <w:shd w:val="clear" w:color="auto" w:fill="F7F8FA"/>
        <w:spacing w:after="210"/>
        <w:jc w:val="left"/>
        <w:textAlignment w:val="baseline"/>
        <w:rPr>
          <w:rFonts w:ascii="Open Sans" w:eastAsia="Times New Roman" w:hAnsi="Open Sans" w:cs="Open Sans"/>
          <w:color w:val="111111"/>
          <w:sz w:val="23"/>
          <w:szCs w:val="23"/>
        </w:rPr>
      </w:pPr>
      <w:r w:rsidRPr="00846402">
        <w:rPr>
          <w:rFonts w:ascii="Open Sans" w:eastAsia="Times New Roman" w:hAnsi="Open Sans" w:cs="Open Sans"/>
          <w:color w:val="111111"/>
          <w:sz w:val="23"/>
          <w:szCs w:val="23"/>
        </w:rPr>
        <w:t>La gestión y explotación de sistemas de información incluye aspectos como: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La utilización de lenguajes de marcado en el tratamiento y transmisión de la información.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La publicación y difusión de información mediante tecnologías de sindicación de contenidos.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La caracterización de la información transmitida y almacenada.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La adaptación de la información a las tecnologías utilizadas en su presentación, transmisión y almacenamiento.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El almacenamiento y recuperación de la información.</w:t>
      </w:r>
    </w:p>
    <w:p w:rsidR="00846402" w:rsidRPr="00846402" w:rsidRDefault="00846402" w:rsidP="00846402">
      <w:pPr>
        <w:numPr>
          <w:ilvl w:val="0"/>
          <w:numId w:val="1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La implantación y adaptación de sistemas de gestión empresarial.</w:t>
      </w:r>
    </w:p>
    <w:p w:rsid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</w:p>
    <w:p w:rsidR="00846402" w:rsidRP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 w:rsidRPr="00846402">
        <w:rPr>
          <w:rFonts w:ascii="Oswald" w:eastAsia="Times New Roman" w:hAnsi="Oswald"/>
          <w:caps/>
          <w:color w:val="111111"/>
          <w:spacing w:val="15"/>
          <w:szCs w:val="24"/>
        </w:rPr>
        <w:t>CONTENIDOS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Reconocimiento de las características de los lenguajes de marcas.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Utilización de lenguajes de marcas en entornos web.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Aplicación de los lenguajes de marcas a la sindicación de contenidos.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Definición de esquemas y vocabularios en XML.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Conversión y adaptación de documentos XML.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Almacenamiento de información.</w:t>
      </w:r>
    </w:p>
    <w:p w:rsidR="00846402" w:rsidRPr="00846402" w:rsidRDefault="00846402" w:rsidP="00846402">
      <w:pPr>
        <w:numPr>
          <w:ilvl w:val="0"/>
          <w:numId w:val="2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Sistemas de gestión empresarial.</w:t>
      </w:r>
    </w:p>
    <w:p w:rsid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</w:p>
    <w:p w:rsidR="00846402" w:rsidRP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 w:rsidRPr="00846402">
        <w:rPr>
          <w:rFonts w:ascii="Oswald" w:eastAsia="Times New Roman" w:hAnsi="Oswald"/>
          <w:caps/>
          <w:color w:val="111111"/>
          <w:spacing w:val="15"/>
          <w:szCs w:val="24"/>
        </w:rPr>
        <w:t>TECNOLOGÍAS</w:t>
      </w:r>
    </w:p>
    <w:p w:rsidR="00846402" w:rsidRPr="00846402" w:rsidRDefault="00846402" w:rsidP="00846402">
      <w:pPr>
        <w:numPr>
          <w:ilvl w:val="0"/>
          <w:numId w:val="3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XML</w:t>
      </w:r>
    </w:p>
    <w:p w:rsidR="00846402" w:rsidRPr="00846402" w:rsidRDefault="00846402" w:rsidP="00846402">
      <w:pPr>
        <w:numPr>
          <w:ilvl w:val="0"/>
          <w:numId w:val="3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HTML</w:t>
      </w:r>
    </w:p>
    <w:p w:rsidR="00846402" w:rsidRPr="00846402" w:rsidRDefault="00846402" w:rsidP="00846402">
      <w:pPr>
        <w:numPr>
          <w:ilvl w:val="0"/>
          <w:numId w:val="3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RSS</w:t>
      </w:r>
    </w:p>
    <w:p w:rsidR="00846402" w:rsidRPr="00846402" w:rsidRDefault="00846402" w:rsidP="00846402">
      <w:pPr>
        <w:numPr>
          <w:ilvl w:val="0"/>
          <w:numId w:val="3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CSS</w:t>
      </w:r>
    </w:p>
    <w:p w:rsidR="00846402" w:rsidRPr="00846402" w:rsidRDefault="00846402" w:rsidP="00846402">
      <w:pPr>
        <w:numPr>
          <w:ilvl w:val="0"/>
          <w:numId w:val="3"/>
        </w:numPr>
        <w:shd w:val="clear" w:color="auto" w:fill="F7F8FA"/>
        <w:ind w:left="600"/>
        <w:jc w:val="left"/>
        <w:textAlignment w:val="baseline"/>
        <w:rPr>
          <w:rFonts w:ascii="inherit" w:eastAsia="Times New Roman" w:hAnsi="inherit" w:cs="Open Sans"/>
          <w:color w:val="111111"/>
          <w:sz w:val="23"/>
          <w:szCs w:val="23"/>
        </w:rPr>
      </w:pPr>
      <w:r w:rsidRPr="00846402">
        <w:rPr>
          <w:rFonts w:ascii="inherit" w:eastAsia="Times New Roman" w:hAnsi="inherit" w:cs="Open Sans"/>
          <w:color w:val="111111"/>
          <w:sz w:val="23"/>
          <w:szCs w:val="23"/>
        </w:rPr>
        <w:t>Microsoft Dynamics NAV</w:t>
      </w:r>
    </w:p>
    <w:p w:rsidR="00310A18" w:rsidRDefault="00F3408A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Default="00846402"/>
    <w:p w:rsidR="00846402" w:rsidRPr="00846402" w:rsidRDefault="00846402" w:rsidP="00846402">
      <w:pPr>
        <w:shd w:val="clear" w:color="auto" w:fill="F7F8FA"/>
        <w:spacing w:before="210" w:after="120"/>
        <w:jc w:val="left"/>
        <w:textAlignment w:val="baseline"/>
        <w:outlineLvl w:val="4"/>
        <w:rPr>
          <w:rFonts w:ascii="Oswald" w:eastAsia="Times New Roman" w:hAnsi="Oswald"/>
          <w:caps/>
          <w:color w:val="111111"/>
          <w:spacing w:val="15"/>
          <w:szCs w:val="24"/>
        </w:rPr>
      </w:pPr>
      <w:r w:rsidRPr="00846402">
        <w:rPr>
          <w:rFonts w:ascii="Oswald" w:eastAsia="Times New Roman" w:hAnsi="Oswald"/>
          <w:caps/>
          <w:color w:val="111111"/>
          <w:spacing w:val="15"/>
          <w:szCs w:val="24"/>
        </w:rPr>
        <w:lastRenderedPageBreak/>
        <w:t xml:space="preserve">Usar </w:t>
      </w:r>
      <w:r w:rsidR="00F3408A">
        <w:rPr>
          <w:rFonts w:ascii="Oswald" w:eastAsia="Times New Roman" w:hAnsi="Oswald"/>
          <w:caps/>
          <w:color w:val="111111"/>
          <w:spacing w:val="15"/>
          <w:szCs w:val="24"/>
        </w:rPr>
        <w:t xml:space="preserve">en </w:t>
      </w:r>
      <w:proofErr w:type="spellStart"/>
      <w:r w:rsidR="00F3408A">
        <w:rPr>
          <w:rFonts w:ascii="Oswald" w:eastAsia="Times New Roman" w:hAnsi="Oswald"/>
          <w:caps/>
          <w:color w:val="111111"/>
          <w:spacing w:val="15"/>
          <w:szCs w:val="24"/>
        </w:rPr>
        <w:t>section</w:t>
      </w:r>
      <w:proofErr w:type="spellEnd"/>
      <w:r w:rsidR="00F3408A">
        <w:rPr>
          <w:rFonts w:ascii="Oswald" w:eastAsia="Times New Roman" w:hAnsi="Oswald"/>
          <w:caps/>
          <w:color w:val="111111"/>
          <w:spacing w:val="15"/>
          <w:szCs w:val="24"/>
        </w:rPr>
        <w:t xml:space="preserve"> LGMSI / ARTÍCULO 2</w:t>
      </w:r>
    </w:p>
    <w:p w:rsidR="00846402" w:rsidRDefault="00846402"/>
    <w:p w:rsidR="00846402" w:rsidRDefault="00846402"/>
    <w:p w:rsidR="00846402" w:rsidRDefault="00846402"/>
    <w:p w:rsidR="00846402" w:rsidRPr="00846402" w:rsidRDefault="00846402" w:rsidP="00846402">
      <w:pPr>
        <w:rPr>
          <w:b/>
          <w:color w:val="002060"/>
        </w:rPr>
      </w:pPr>
      <w:r w:rsidRPr="00846402">
        <w:rPr>
          <w:b/>
          <w:color w:val="002060"/>
        </w:rPr>
        <w:t>¿Qué voy a aprender y hacer?</w:t>
      </w:r>
      <w:r>
        <w:rPr>
          <w:b/>
          <w:color w:val="002060"/>
        </w:rPr>
        <w:t xml:space="preserve"> (CABECERA)</w:t>
      </w:r>
    </w:p>
    <w:p w:rsidR="00846402" w:rsidRDefault="00846402" w:rsidP="00846402">
      <w:r>
        <w:t xml:space="preserve"> </w:t>
      </w:r>
    </w:p>
    <w:p w:rsidR="00846402" w:rsidRDefault="00846402" w:rsidP="00846402">
      <w:r>
        <w:t>Desarrollar, implantar, y mantener aplicaciones web, con independencia del modelo empleado y utilizando tecnologías específicas, garantizando el acceso a los datos de forma segura y cumpliendo los criterios de accesibilidad, usabilidad y calidad exigidas en los estándares establecidos.</w:t>
      </w:r>
    </w:p>
    <w:p w:rsidR="00846402" w:rsidRDefault="00846402" w:rsidP="00846402"/>
    <w:p w:rsidR="00846402" w:rsidRDefault="00846402" w:rsidP="00846402">
      <w:r>
        <w:t>Este profesional será capaz de:</w:t>
      </w:r>
    </w:p>
    <w:p w:rsidR="00846402" w:rsidRDefault="00846402" w:rsidP="00846402"/>
    <w:p w:rsidR="00846402" w:rsidRDefault="00846402" w:rsidP="00846402">
      <w:pPr>
        <w:pStyle w:val="Prrafodelista"/>
        <w:numPr>
          <w:ilvl w:val="0"/>
          <w:numId w:val="4"/>
        </w:numPr>
      </w:pPr>
      <w:r>
        <w:t>Configurar y explotar sistemas informáticos, adaptando la configuración lógica del sistema según las necesidades de uso y los criterios establecidos.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Aplicar técnicas y procedimientos relacionados con la seguridad en sistemas, servicios y aplicaciones, cumpliendo el plan de seguridad.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Gestionar servidores de aplicaciones adaptando su configuración en cada caso para permitir el despliegue de aplicaciones web.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Gestionar bases de datos, interpretando su diseño lógico y verificando integridad, consistencia, seguridad y accesibilidad de los datos.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Desarrollar aplicaciones web con acceso a bases de datos utilizando lenguajes, objetos de acceso y herramientas de mapeo adecuados a las especificaciones.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Integrar contenidos en la lógica de una aplicación web, desarrollando componentes de acceso a datos adecuados a las especificaciones.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Desarrollar interfaces en aplicaciones web de acuerdo con un manual de estilo, utilizando lenguajes de marcas y estándares web.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Desarrollar componentes multimedia para su integración en aplicaciones web, empleando herramientas específicas y siguiendo las especificaciones establecidas.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Integrar componentes multimedia en el interface de una aplicación web, realizando el análisis de interactividad, accesibilidad y usabilidad de la aplicación.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Desarrollar e integrar componentes software en el entorno del servidor web, empleando herramientas y lenguajes específicos, para cumplir las especificaciones de la aplicación.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Desarrollar servicios para integrar sus funciones en otras aplicaciones web, asegurando su funcionalidad.</w:t>
      </w:r>
    </w:p>
    <w:p w:rsidR="00846402" w:rsidRDefault="00846402" w:rsidP="00846402">
      <w:pPr>
        <w:pStyle w:val="Prrafodelista"/>
        <w:numPr>
          <w:ilvl w:val="0"/>
          <w:numId w:val="4"/>
        </w:numPr>
      </w:pPr>
      <w:r>
        <w:t>Integrar servicios y contenidos distribuidos en aplicaciones web, asegurando su funcionalidad.</w:t>
      </w:r>
    </w:p>
    <w:sectPr w:rsidR="0084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074CB"/>
    <w:multiLevelType w:val="multilevel"/>
    <w:tmpl w:val="AC2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E85594"/>
    <w:multiLevelType w:val="multilevel"/>
    <w:tmpl w:val="895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8E2F66"/>
    <w:multiLevelType w:val="hybridMultilevel"/>
    <w:tmpl w:val="1D72E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132F3"/>
    <w:multiLevelType w:val="multilevel"/>
    <w:tmpl w:val="834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02"/>
    <w:rsid w:val="000166C2"/>
    <w:rsid w:val="00057568"/>
    <w:rsid w:val="00092121"/>
    <w:rsid w:val="001251BF"/>
    <w:rsid w:val="00280FC1"/>
    <w:rsid w:val="002C6E38"/>
    <w:rsid w:val="00300D86"/>
    <w:rsid w:val="00331ED6"/>
    <w:rsid w:val="003C35FA"/>
    <w:rsid w:val="004A20BC"/>
    <w:rsid w:val="004D0483"/>
    <w:rsid w:val="0052517A"/>
    <w:rsid w:val="00575815"/>
    <w:rsid w:val="0057637C"/>
    <w:rsid w:val="00631C1B"/>
    <w:rsid w:val="00686CD0"/>
    <w:rsid w:val="006C0065"/>
    <w:rsid w:val="006F3CE4"/>
    <w:rsid w:val="007045EF"/>
    <w:rsid w:val="007558F8"/>
    <w:rsid w:val="007E3F4A"/>
    <w:rsid w:val="008437DC"/>
    <w:rsid w:val="00846402"/>
    <w:rsid w:val="00847FF0"/>
    <w:rsid w:val="0087014B"/>
    <w:rsid w:val="00941DD7"/>
    <w:rsid w:val="00960AA5"/>
    <w:rsid w:val="009F48BF"/>
    <w:rsid w:val="00A075B0"/>
    <w:rsid w:val="00A5667B"/>
    <w:rsid w:val="00B01C73"/>
    <w:rsid w:val="00BB1416"/>
    <w:rsid w:val="00BC0022"/>
    <w:rsid w:val="00C07DE3"/>
    <w:rsid w:val="00C13046"/>
    <w:rsid w:val="00C3038B"/>
    <w:rsid w:val="00C32C2F"/>
    <w:rsid w:val="00C426EC"/>
    <w:rsid w:val="00C46339"/>
    <w:rsid w:val="00C565BB"/>
    <w:rsid w:val="00D15855"/>
    <w:rsid w:val="00D405E3"/>
    <w:rsid w:val="00DB7490"/>
    <w:rsid w:val="00DE3672"/>
    <w:rsid w:val="00E00175"/>
    <w:rsid w:val="00E5683C"/>
    <w:rsid w:val="00EA672A"/>
    <w:rsid w:val="00F219BD"/>
    <w:rsid w:val="00F3408A"/>
    <w:rsid w:val="00F6698B"/>
    <w:rsid w:val="00FB45D2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46402"/>
    <w:pPr>
      <w:spacing w:before="100" w:beforeAutospacing="1" w:after="100" w:afterAutospacing="1"/>
      <w:jc w:val="left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4640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46402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846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46402"/>
    <w:pPr>
      <w:spacing w:before="100" w:beforeAutospacing="1" w:after="100" w:afterAutospacing="1"/>
      <w:jc w:val="left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4640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46402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84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2021-10-11T18:26:00Z</dcterms:created>
  <dcterms:modified xsi:type="dcterms:W3CDTF">2021-10-11T18:39:00Z</dcterms:modified>
</cp:coreProperties>
</file>