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both"/>
        <w:rPr>
          <w:rFonts w:ascii="Helvetica Neue" w:cs="Helvetica Neue" w:eastAsia="Helvetica Neue" w:hAnsi="Helvetica Neue"/>
          <w:b w:val="1"/>
          <w:color w:val="44444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4"/>
          <w:szCs w:val="24"/>
          <w:rtl w:val="0"/>
        </w:rPr>
        <w:t xml:space="preserve">Úloha 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V priečinku s Vašim priezviskom vytvorte ďalšie štyri adresáre s názvami: Domáce úlohy, Referáty, Ťaháky, Písomky. V priečinku Domáce úlohy vytvorte dva súbory MS Word s názvami: matematika.doc,  francuzstina.doc.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V adresári Referáty vytvorte ďalšie adresáre: Slovenský jazyk, Technika administratívy, Prax, Anglický jazyk, Informatika.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V adresári Slovenský jazyk bude uložený súbor Ján_Botto.doc, v ktorom bude napísane meno spisovateľa, rok a miesto narodenia a úmrtia a 5 diel, ktoré napísal.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V adresári Technika administratívy bude priečinok Cvičenia, v ktorom budú uložené tri súbory cvičenie1.doc, cvičenie2.txt a cvičenie3.xls.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V adresári Prax bude priečinok Cvičenia z praxe, v ktorom budú vytvorené odkazy (zástupcovia) na všetky tri súbory z priečinka Cvičenia.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V adresári Anglický jazyk bude uložený súbor s názvom Headway.jpg, čo je vlastne obrázok knihy Headway, ktorý nájdete na internete.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1"/>
          <w:szCs w:val="21"/>
          <w:rtl w:val="0"/>
        </w:rPr>
        <w:t xml:space="preserve">Adresár Informatika bude obsahovať dva súbory: vstupné_zariadenia.doc, výstupné_zariadenia.doc. Do každého súboru vymenujte po 5 zariadení, ktoré patria medzi vstupné a ktoré medzi výstupné zariadenia.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444444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8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