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Antigona v skratke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Autor: </w:t>
      </w:r>
      <w:r w:rsidDel="00000000" w:rsidR="00000000" w:rsidRPr="00000000">
        <w:rPr>
          <w:rtl w:val="0"/>
        </w:rPr>
        <w:t xml:space="preserve">Sofokles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Dej: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Hlavná hrdinka – Antigona mala dvoch bratov Polyneikes, Eteokles, ktorý zomreli v boji proti sebe kráľ kreón zakázal pochovať Palyneika ale Eteokla povolil pochovať a tak sa Antigona kôli neísanému božiemu zákonu rozhodla pochovať sama zato však bola odsúdená na smrť a zatvorená v skalnej hrobke. Do vývoja udalosti zasiahla postava veštca, ktorá prehovorila kráľa aby odvolal svoje nariadenia. Kreón síce ustúpil ale neskoro, pretože Antigona sa zo zúfalstva v hrobke obesila.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Haimón, syn kráľa a Antigonin sľúbenec sa pri hrobke zo žiaľu pri hrobke prebodol mečom a napokan sa zabila aj jeho matka Eurydika. Kreón sa nakoniec z toho všetkého zbláznil.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Postavy: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Antigona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Kreón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Isména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Polyneikes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Eteokles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Haimón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Teiresias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Eurydika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Prostredie, kde sa dej odohráva: </w:t>
      </w:r>
      <w:r w:rsidDel="00000000" w:rsidR="00000000" w:rsidRPr="00000000">
        <w:rPr>
          <w:rtl w:val="0"/>
        </w:rPr>
        <w:t xml:space="preserve">pred kráľovským palácom v Tébach v mystickej dobe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Hlavný konflikt: </w:t>
      </w:r>
      <w:r w:rsidDel="00000000" w:rsidR="00000000" w:rsidRPr="00000000">
        <w:rPr>
          <w:rtl w:val="0"/>
        </w:rPr>
        <w:t xml:space="preserve">rozpor medzi ľudskými a božskými zákonmi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Počet strán: </w:t>
      </w: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