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TRÓPY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výrazové prostriedky, ktoré označujú predmety alebo javy a na základe podobnosti ____________ pomenovania z jedného javu na druhý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vzniká prenesením významu zo slova na slovo na základe vonkajšej podobnosti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 – básnický prívlastok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zradné vody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 –  druh metafory,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neživým predmetom sa prisudzujú vlastnosti a schopnosti ľudí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 – inotaj,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druh metafory, ktorou sa nepriamo pomenuje obraz alebo dej, pretože sa nesmie alebo nemôže vyjadriť priamo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 - zveličenie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– druh metonymie,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založený na prenášaní pomenovania javov na základe kvalitatívnych vzťahov (časť za celok/celok sa časť)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Stoj noho!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obrazné pomenovanie založené na prenášaní pomenovania javov na základe vnútornej súvislosti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Antonomázia – premenovanie, druh metonymie,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namiesto mena známej osoby použijeme opis alebo charakteristickú vlastnosť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učiteľ národov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Komenský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vzniká na základe zaužívaného označenia; znak, ktorý zastupuje niečo iné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srdce – láska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 – druh metafory,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slová sú tu použité v priamom význame (prirovnávam)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Perifráza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nepomenujeme predmet alebo človeka priamo, ale zvýraznime jeho najtypickejšiu vlastnosť alebo použijeme opis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krásavica na Dunaji – Bratislava, krajina pod Tatrami - Slovensko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kladné hodnotenie má negatívny význam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Musíš tu utierať, keď pozerám telku? – Joj, chudáčik!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uštipačný, bezohľadný výsmech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(vyšší stupeň irónie)   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Ďalšie: antitéza, parabola 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FIGÚRY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slová a slovné spojenia, ktoré sú odchýlkou od bežného vyjadrovania a v umeleckom texte plnia estetickú funkciu (oživiť text, dodržať rým, rytmus, vyvolať napätie)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vznikajú opakovaním rovnakých alebo zvukovo podobných hlások, slabík, slov, hrou so slovami, používaním slov s rovnakým slovným základom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Aliterácia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zakladá sa na opakovaní rovnakej hlásky alebo skupiny hlások (slabík) na začiatku dvoch alebo viacerých po sebe idúcich slov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highlight w:val="white"/>
          <w:rtl w:val="0"/>
        </w:rPr>
        <w:t xml:space="preserve">Lízal jeden lilipután lilavkasté lízatko...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Paronomázia –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tvorí sa spojením slov s rovnakým slovným základom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highlight w:val="white"/>
          <w:rtl w:val="0"/>
        </w:rPr>
        <w:t xml:space="preserve">Slavme slavně slávu Slavů slavných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opakovanie slov alebo skupiny slov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na začiatku veršov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 -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opakovanie slov alebo skupiny slov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na konci veršov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opakovanie toho istého slova alebo skupiny slov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za sebou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 básni, v próze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horí, horí, všetko horí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opakovanie toho istého slova alebo skupiny slov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na konci jedného a na začiatku nasledujúceho verša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Kalambúr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zakladá sa na zvukovej podobnosti významovo rozdielnych  slov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(asi miluje – asimiluje)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Elipsa – výpustka,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 vynechávanie slov, častí vety, ktoré si možno domyslieť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Aká matka, taká Katka.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Zeugma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 vety sa vypustia slová, kt. by sa mali kvôli väzbe uviesť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Vidieť a hovoriť s niekým (správne: vidieť niekoho a hovoriť s ním)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Apoziopéza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neukončená výpoveď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Nuž, neprišli sme...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Inverzia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prehodený slovosled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jeho cit zvláštny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Parentéza – vsuvka,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samostatný, do vety vsunutý výraz alebo veta; prináša doplnkovú informáciu, ktorá vysvetľuje, zdôrazňuje predchádzajúcu časť; je oddelená čiarkou, pomlčkou, zátvorkou  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highlight w:val="white"/>
          <w:rtl w:val="0"/>
        </w:rPr>
        <w:t xml:space="preserve">Remeslo,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5e00"/>
          <w:highlight w:val="white"/>
          <w:rtl w:val="0"/>
        </w:rPr>
        <w:t xml:space="preserve">ako hovorievala naša starká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highlight w:val="white"/>
          <w:rtl w:val="0"/>
        </w:rPr>
        <w:t xml:space="preserve">, má zlaté dno.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Klimax  a ___________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stupňovanie významu za sebou idúcich slov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      a rastie tam deň, dva, tri, týždeň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Antiklimax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postupne znižuje, zoslabuje význam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Nebol tam ani mesiac, ani týždeň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spojenie 2 výrazov, ktoré sa významovo popierajú alebo vylučujú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sladká soľ/ O láske neláskavej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Paradox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neočakávaný a prekvapujúci, zdanlivo nezmyslený a protikladný výrok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43131"/>
          <w:rtl w:val="0"/>
        </w:rPr>
        <w:t xml:space="preserve">Muž a žena sa nikdy nemôžu dohodnúť. Lebo každý chce niečo iné. Muž ženu a žena muža. (F. Karinthy)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Paralelizmus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vzniká opakovaním rovnakých alebo podobných konštrukcií nasledujúcich za sebou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 -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 na ňu nečaká odpoveď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Byť či nebyť?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vyjadruje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citový vzťah autor k obsahu výpovede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 ho!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Apostrofa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rečnícke oslovenie neprítomnej osoby alebo neživého predmetu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Ó poézia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_______________– 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Nemožno mi ťa neľúbiť. 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kladný význam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