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37044C"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5707042" w:history="1">
                <w:r w:rsidR="0037044C" w:rsidRPr="00602FCA">
                  <w:rPr>
                    <w:rStyle w:val="Hypertextovodkaz"/>
                    <w:rFonts w:ascii="Times New Roman" w:hAnsi="Times New Roman" w:cs="Times New Roman"/>
                    <w:noProof/>
                  </w:rPr>
                  <w:t>1</w:t>
                </w:r>
                <w:r w:rsidR="0037044C">
                  <w:rPr>
                    <w:noProof/>
                    <w:lang w:val="cs-CZ"/>
                  </w:rPr>
                  <w:tab/>
                </w:r>
                <w:r w:rsidR="0037044C" w:rsidRPr="00602FCA">
                  <w:rPr>
                    <w:rStyle w:val="Hypertextovodkaz"/>
                    <w:rFonts w:ascii="Times New Roman" w:hAnsi="Times New Roman" w:cs="Times New Roman"/>
                    <w:noProof/>
                  </w:rPr>
                  <w:t>Introduction</w:t>
                </w:r>
                <w:r w:rsidR="0037044C">
                  <w:rPr>
                    <w:noProof/>
                    <w:webHidden/>
                  </w:rPr>
                  <w:tab/>
                </w:r>
                <w:r w:rsidR="0037044C">
                  <w:rPr>
                    <w:noProof/>
                    <w:webHidden/>
                  </w:rPr>
                  <w:fldChar w:fldCharType="begin"/>
                </w:r>
                <w:r w:rsidR="0037044C">
                  <w:rPr>
                    <w:noProof/>
                    <w:webHidden/>
                  </w:rPr>
                  <w:instrText xml:space="preserve"> PAGEREF _Toc415707042 \h </w:instrText>
                </w:r>
                <w:r w:rsidR="0037044C">
                  <w:rPr>
                    <w:noProof/>
                    <w:webHidden/>
                  </w:rPr>
                </w:r>
                <w:r w:rsidR="0037044C">
                  <w:rPr>
                    <w:noProof/>
                    <w:webHidden/>
                  </w:rPr>
                  <w:fldChar w:fldCharType="separate"/>
                </w:r>
                <w:r w:rsidR="0037044C">
                  <w:rPr>
                    <w:noProof/>
                    <w:webHidden/>
                  </w:rPr>
                  <w:t>5</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43" w:history="1">
                <w:r w:rsidR="0037044C" w:rsidRPr="00602FCA">
                  <w:rPr>
                    <w:rStyle w:val="Hypertextovodkaz"/>
                    <w:rFonts w:ascii="Times New Roman" w:hAnsi="Times New Roman" w:cs="Times New Roman"/>
                    <w:noProof/>
                  </w:rPr>
                  <w:t>1.1</w:t>
                </w:r>
                <w:r w:rsidR="0037044C">
                  <w:rPr>
                    <w:noProof/>
                    <w:lang w:val="cs-CZ"/>
                  </w:rPr>
                  <w:tab/>
                </w:r>
                <w:r w:rsidR="0037044C" w:rsidRPr="00602FCA">
                  <w:rPr>
                    <w:rStyle w:val="Hypertextovodkaz"/>
                    <w:rFonts w:ascii="Times New Roman" w:hAnsi="Times New Roman" w:cs="Times New Roman"/>
                    <w:noProof/>
                  </w:rPr>
                  <w:t>State of the art</w:t>
                </w:r>
                <w:r w:rsidR="0037044C">
                  <w:rPr>
                    <w:noProof/>
                    <w:webHidden/>
                  </w:rPr>
                  <w:tab/>
                </w:r>
                <w:r w:rsidR="0037044C">
                  <w:rPr>
                    <w:noProof/>
                    <w:webHidden/>
                  </w:rPr>
                  <w:fldChar w:fldCharType="begin"/>
                </w:r>
                <w:r w:rsidR="0037044C">
                  <w:rPr>
                    <w:noProof/>
                    <w:webHidden/>
                  </w:rPr>
                  <w:instrText xml:space="preserve"> PAGEREF _Toc415707043 \h </w:instrText>
                </w:r>
                <w:r w:rsidR="0037044C">
                  <w:rPr>
                    <w:noProof/>
                    <w:webHidden/>
                  </w:rPr>
                </w:r>
                <w:r w:rsidR="0037044C">
                  <w:rPr>
                    <w:noProof/>
                    <w:webHidden/>
                  </w:rPr>
                  <w:fldChar w:fldCharType="separate"/>
                </w:r>
                <w:r w:rsidR="0037044C">
                  <w:rPr>
                    <w:noProof/>
                    <w:webHidden/>
                  </w:rPr>
                  <w:t>5</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44" w:history="1">
                <w:r w:rsidR="0037044C" w:rsidRPr="00602FCA">
                  <w:rPr>
                    <w:rStyle w:val="Hypertextovodkaz"/>
                    <w:rFonts w:ascii="Times New Roman" w:hAnsi="Times New Roman" w:cs="Times New Roman"/>
                    <w:noProof/>
                  </w:rPr>
                  <w:t>1.2</w:t>
                </w:r>
                <w:r w:rsidR="0037044C">
                  <w:rPr>
                    <w:noProof/>
                    <w:lang w:val="cs-CZ"/>
                  </w:rPr>
                  <w:tab/>
                </w:r>
                <w:r w:rsidR="0037044C" w:rsidRPr="00602FCA">
                  <w:rPr>
                    <w:rStyle w:val="Hypertextovodkaz"/>
                    <w:rFonts w:ascii="Times New Roman" w:hAnsi="Times New Roman" w:cs="Times New Roman"/>
                    <w:noProof/>
                  </w:rPr>
                  <w:t>The Message of Tom G. Coleman</w:t>
                </w:r>
                <w:r w:rsidR="0037044C">
                  <w:rPr>
                    <w:noProof/>
                    <w:webHidden/>
                  </w:rPr>
                  <w:tab/>
                </w:r>
                <w:r w:rsidR="0037044C">
                  <w:rPr>
                    <w:noProof/>
                    <w:webHidden/>
                  </w:rPr>
                  <w:fldChar w:fldCharType="begin"/>
                </w:r>
                <w:r w:rsidR="0037044C">
                  <w:rPr>
                    <w:noProof/>
                    <w:webHidden/>
                  </w:rPr>
                  <w:instrText xml:space="preserve"> PAGEREF _Toc415707044 \h </w:instrText>
                </w:r>
                <w:r w:rsidR="0037044C">
                  <w:rPr>
                    <w:noProof/>
                    <w:webHidden/>
                  </w:rPr>
                </w:r>
                <w:r w:rsidR="0037044C">
                  <w:rPr>
                    <w:noProof/>
                    <w:webHidden/>
                  </w:rPr>
                  <w:fldChar w:fldCharType="separate"/>
                </w:r>
                <w:r w:rsidR="0037044C">
                  <w:rPr>
                    <w:noProof/>
                    <w:webHidden/>
                  </w:rPr>
                  <w:t>6</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45" w:history="1">
                <w:r w:rsidR="0037044C" w:rsidRPr="00602FCA">
                  <w:rPr>
                    <w:rStyle w:val="Hypertextovodkaz"/>
                    <w:rFonts w:ascii="Times New Roman" w:hAnsi="Times New Roman" w:cs="Times New Roman"/>
                    <w:noProof/>
                  </w:rPr>
                  <w:t>1.3</w:t>
                </w:r>
                <w:r w:rsidR="0037044C">
                  <w:rPr>
                    <w:noProof/>
                    <w:lang w:val="cs-CZ"/>
                  </w:rPr>
                  <w:tab/>
                </w:r>
                <w:r w:rsidR="0037044C" w:rsidRPr="00602FCA">
                  <w:rPr>
                    <w:rStyle w:val="Hypertextovodkaz"/>
                    <w:rFonts w:ascii="Times New Roman" w:hAnsi="Times New Roman" w:cs="Times New Roman"/>
                    <w:noProof/>
                  </w:rPr>
                  <w:t>Goals of this work</w:t>
                </w:r>
                <w:r w:rsidR="0037044C">
                  <w:rPr>
                    <w:noProof/>
                    <w:webHidden/>
                  </w:rPr>
                  <w:tab/>
                </w:r>
                <w:r w:rsidR="0037044C">
                  <w:rPr>
                    <w:noProof/>
                    <w:webHidden/>
                  </w:rPr>
                  <w:fldChar w:fldCharType="begin"/>
                </w:r>
                <w:r w:rsidR="0037044C">
                  <w:rPr>
                    <w:noProof/>
                    <w:webHidden/>
                  </w:rPr>
                  <w:instrText xml:space="preserve"> PAGEREF _Toc415707045 \h </w:instrText>
                </w:r>
                <w:r w:rsidR="0037044C">
                  <w:rPr>
                    <w:noProof/>
                    <w:webHidden/>
                  </w:rPr>
                </w:r>
                <w:r w:rsidR="0037044C">
                  <w:rPr>
                    <w:noProof/>
                    <w:webHidden/>
                  </w:rPr>
                  <w:fldChar w:fldCharType="separate"/>
                </w:r>
                <w:r w:rsidR="0037044C">
                  <w:rPr>
                    <w:noProof/>
                    <w:webHidden/>
                  </w:rPr>
                  <w:t>6</w:t>
                </w:r>
                <w:r w:rsidR="0037044C">
                  <w:rPr>
                    <w:noProof/>
                    <w:webHidden/>
                  </w:rPr>
                  <w:fldChar w:fldCharType="end"/>
                </w:r>
              </w:hyperlink>
            </w:p>
            <w:p w:rsidR="0037044C" w:rsidRDefault="00CF5553">
              <w:pPr>
                <w:pStyle w:val="Obsah1"/>
                <w:tabs>
                  <w:tab w:val="right" w:leader="dot" w:pos="8395"/>
                </w:tabs>
                <w:rPr>
                  <w:noProof/>
                  <w:lang w:val="cs-CZ"/>
                </w:rPr>
              </w:pPr>
              <w:hyperlink w:anchor="_Toc415707046" w:history="1">
                <w:r w:rsidR="0037044C" w:rsidRPr="00602FCA">
                  <w:rPr>
                    <w:rStyle w:val="Hypertextovodkaz"/>
                    <w:rFonts w:ascii="Times New Roman" w:hAnsi="Times New Roman" w:cs="Times New Roman"/>
                    <w:noProof/>
                  </w:rPr>
                  <w:t>Hypothesis:</w:t>
                </w:r>
                <w:r w:rsidR="0037044C">
                  <w:rPr>
                    <w:noProof/>
                    <w:webHidden/>
                  </w:rPr>
                  <w:tab/>
                </w:r>
                <w:r w:rsidR="0037044C">
                  <w:rPr>
                    <w:noProof/>
                    <w:webHidden/>
                  </w:rPr>
                  <w:fldChar w:fldCharType="begin"/>
                </w:r>
                <w:r w:rsidR="0037044C">
                  <w:rPr>
                    <w:noProof/>
                    <w:webHidden/>
                  </w:rPr>
                  <w:instrText xml:space="preserve"> PAGEREF _Toc415707046 \h </w:instrText>
                </w:r>
                <w:r w:rsidR="0037044C">
                  <w:rPr>
                    <w:noProof/>
                    <w:webHidden/>
                  </w:rPr>
                </w:r>
                <w:r w:rsidR="0037044C">
                  <w:rPr>
                    <w:noProof/>
                    <w:webHidden/>
                  </w:rPr>
                  <w:fldChar w:fldCharType="separate"/>
                </w:r>
                <w:r w:rsidR="0037044C">
                  <w:rPr>
                    <w:noProof/>
                    <w:webHidden/>
                  </w:rPr>
                  <w:t>6</w:t>
                </w:r>
                <w:r w:rsidR="0037044C">
                  <w:rPr>
                    <w:noProof/>
                    <w:webHidden/>
                  </w:rPr>
                  <w:fldChar w:fldCharType="end"/>
                </w:r>
              </w:hyperlink>
            </w:p>
            <w:p w:rsidR="0037044C" w:rsidRDefault="00CF5553">
              <w:pPr>
                <w:pStyle w:val="Obsah1"/>
                <w:tabs>
                  <w:tab w:val="left" w:pos="400"/>
                  <w:tab w:val="right" w:leader="dot" w:pos="8395"/>
                </w:tabs>
                <w:rPr>
                  <w:noProof/>
                  <w:lang w:val="cs-CZ"/>
                </w:rPr>
              </w:pPr>
              <w:hyperlink w:anchor="_Toc415707047" w:history="1">
                <w:r w:rsidR="0037044C" w:rsidRPr="00602FCA">
                  <w:rPr>
                    <w:rStyle w:val="Hypertextovodkaz"/>
                    <w:rFonts w:ascii="Times New Roman" w:hAnsi="Times New Roman" w:cs="Times New Roman"/>
                    <w:noProof/>
                  </w:rPr>
                  <w:t>2</w:t>
                </w:r>
                <w:r w:rsidR="0037044C">
                  <w:rPr>
                    <w:noProof/>
                    <w:lang w:val="cs-CZ"/>
                  </w:rPr>
                  <w:tab/>
                </w:r>
                <w:r w:rsidR="0037044C" w:rsidRPr="00602FCA">
                  <w:rPr>
                    <w:rStyle w:val="Hypertextovodkaz"/>
                    <w:rFonts w:ascii="Times New Roman" w:hAnsi="Times New Roman" w:cs="Times New Roman"/>
                    <w:noProof/>
                  </w:rPr>
                  <w:t>Methods</w:t>
                </w:r>
                <w:r w:rsidR="0037044C">
                  <w:rPr>
                    <w:noProof/>
                    <w:webHidden/>
                  </w:rPr>
                  <w:tab/>
                </w:r>
                <w:r w:rsidR="0037044C">
                  <w:rPr>
                    <w:noProof/>
                    <w:webHidden/>
                  </w:rPr>
                  <w:fldChar w:fldCharType="begin"/>
                </w:r>
                <w:r w:rsidR="0037044C">
                  <w:rPr>
                    <w:noProof/>
                    <w:webHidden/>
                  </w:rPr>
                  <w:instrText xml:space="preserve"> PAGEREF _Toc415707047 \h </w:instrText>
                </w:r>
                <w:r w:rsidR="0037044C">
                  <w:rPr>
                    <w:noProof/>
                    <w:webHidden/>
                  </w:rPr>
                </w:r>
                <w:r w:rsidR="0037044C">
                  <w:rPr>
                    <w:noProof/>
                    <w:webHidden/>
                  </w:rPr>
                  <w:fldChar w:fldCharType="separate"/>
                </w:r>
                <w:r w:rsidR="0037044C">
                  <w:rPr>
                    <w:noProof/>
                    <w:webHidden/>
                  </w:rPr>
                  <w:t>8</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48" w:history="1">
                <w:r w:rsidR="0037044C" w:rsidRPr="00602FCA">
                  <w:rPr>
                    <w:rStyle w:val="Hypertextovodkaz"/>
                    <w:rFonts w:ascii="Times New Roman" w:hAnsi="Times New Roman" w:cs="Times New Roman"/>
                    <w:noProof/>
                  </w:rPr>
                  <w:t>2.1</w:t>
                </w:r>
                <w:r w:rsidR="0037044C">
                  <w:rPr>
                    <w:noProof/>
                    <w:lang w:val="cs-CZ"/>
                  </w:rPr>
                  <w:tab/>
                </w:r>
                <w:r w:rsidR="0037044C" w:rsidRPr="00602FCA">
                  <w:rPr>
                    <w:rStyle w:val="Hypertextovodkaz"/>
                    <w:rFonts w:ascii="Times New Roman" w:hAnsi="Times New Roman" w:cs="Times New Roman"/>
                    <w:noProof/>
                  </w:rPr>
                  <w:t>Physical principles</w:t>
                </w:r>
                <w:r w:rsidR="0037044C">
                  <w:rPr>
                    <w:noProof/>
                    <w:webHidden/>
                  </w:rPr>
                  <w:tab/>
                </w:r>
                <w:r w:rsidR="0037044C">
                  <w:rPr>
                    <w:noProof/>
                    <w:webHidden/>
                  </w:rPr>
                  <w:fldChar w:fldCharType="begin"/>
                </w:r>
                <w:r w:rsidR="0037044C">
                  <w:rPr>
                    <w:noProof/>
                    <w:webHidden/>
                  </w:rPr>
                  <w:instrText xml:space="preserve"> PAGEREF _Toc415707048 \h </w:instrText>
                </w:r>
                <w:r w:rsidR="0037044C">
                  <w:rPr>
                    <w:noProof/>
                    <w:webHidden/>
                  </w:rPr>
                </w:r>
                <w:r w:rsidR="0037044C">
                  <w:rPr>
                    <w:noProof/>
                    <w:webHidden/>
                  </w:rPr>
                  <w:fldChar w:fldCharType="separate"/>
                </w:r>
                <w:r w:rsidR="0037044C">
                  <w:rPr>
                    <w:noProof/>
                    <w:webHidden/>
                  </w:rPr>
                  <w:t>8</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49" w:history="1">
                <w:r w:rsidR="0037044C" w:rsidRPr="00602FCA">
                  <w:rPr>
                    <w:rStyle w:val="Hypertextovodkaz"/>
                    <w:rFonts w:ascii="Times New Roman" w:hAnsi="Times New Roman" w:cs="Times New Roman"/>
                    <w:noProof/>
                  </w:rPr>
                  <w:t>2.2</w:t>
                </w:r>
                <w:r w:rsidR="0037044C">
                  <w:rPr>
                    <w:noProof/>
                    <w:lang w:val="cs-CZ"/>
                  </w:rPr>
                  <w:tab/>
                </w:r>
                <w:r w:rsidR="0037044C" w:rsidRPr="00602FCA">
                  <w:rPr>
                    <w:rStyle w:val="Hypertextovodkaz"/>
                    <w:rFonts w:ascii="Times New Roman" w:hAnsi="Times New Roman" w:cs="Times New Roman"/>
                    <w:noProof/>
                  </w:rPr>
                  <w:t>Modelica Principles</w:t>
                </w:r>
                <w:r w:rsidR="0037044C">
                  <w:rPr>
                    <w:noProof/>
                    <w:webHidden/>
                  </w:rPr>
                  <w:tab/>
                </w:r>
                <w:r w:rsidR="0037044C">
                  <w:rPr>
                    <w:noProof/>
                    <w:webHidden/>
                  </w:rPr>
                  <w:fldChar w:fldCharType="begin"/>
                </w:r>
                <w:r w:rsidR="0037044C">
                  <w:rPr>
                    <w:noProof/>
                    <w:webHidden/>
                  </w:rPr>
                  <w:instrText xml:space="preserve"> PAGEREF _Toc415707049 \h </w:instrText>
                </w:r>
                <w:r w:rsidR="0037044C">
                  <w:rPr>
                    <w:noProof/>
                    <w:webHidden/>
                  </w:rPr>
                </w:r>
                <w:r w:rsidR="0037044C">
                  <w:rPr>
                    <w:noProof/>
                    <w:webHidden/>
                  </w:rPr>
                  <w:fldChar w:fldCharType="separate"/>
                </w:r>
                <w:r w:rsidR="0037044C">
                  <w:rPr>
                    <w:noProof/>
                    <w:webHidden/>
                  </w:rPr>
                  <w:t>10</w:t>
                </w:r>
                <w:r w:rsidR="0037044C">
                  <w:rPr>
                    <w:noProof/>
                    <w:webHidden/>
                  </w:rPr>
                  <w:fldChar w:fldCharType="end"/>
                </w:r>
              </w:hyperlink>
            </w:p>
            <w:p w:rsidR="0037044C" w:rsidRDefault="00CF5553">
              <w:pPr>
                <w:pStyle w:val="Obsah1"/>
                <w:tabs>
                  <w:tab w:val="left" w:pos="400"/>
                  <w:tab w:val="right" w:leader="dot" w:pos="8395"/>
                </w:tabs>
                <w:rPr>
                  <w:noProof/>
                  <w:lang w:val="cs-CZ"/>
                </w:rPr>
              </w:pPr>
              <w:hyperlink w:anchor="_Toc415707050" w:history="1">
                <w:r w:rsidR="0037044C" w:rsidRPr="00602FCA">
                  <w:rPr>
                    <w:rStyle w:val="Hypertextovodkaz"/>
                    <w:rFonts w:ascii="Times New Roman" w:hAnsi="Times New Roman" w:cs="Times New Roman"/>
                    <w:noProof/>
                  </w:rPr>
                  <w:t>3</w:t>
                </w:r>
                <w:r w:rsidR="0037044C">
                  <w:rPr>
                    <w:noProof/>
                    <w:lang w:val="cs-CZ"/>
                  </w:rPr>
                  <w:tab/>
                </w:r>
                <w:r w:rsidR="0037044C" w:rsidRPr="00602FCA">
                  <w:rPr>
                    <w:rStyle w:val="Hypertextovodkaz"/>
                    <w:rFonts w:ascii="Times New Roman" w:hAnsi="Times New Roman" w:cs="Times New Roman"/>
                    <w:noProof/>
                  </w:rPr>
                  <w:t>Physiolibrary</w:t>
                </w:r>
                <w:r w:rsidR="0037044C">
                  <w:rPr>
                    <w:noProof/>
                    <w:webHidden/>
                  </w:rPr>
                  <w:tab/>
                </w:r>
                <w:r w:rsidR="0037044C">
                  <w:rPr>
                    <w:noProof/>
                    <w:webHidden/>
                  </w:rPr>
                  <w:fldChar w:fldCharType="begin"/>
                </w:r>
                <w:r w:rsidR="0037044C">
                  <w:rPr>
                    <w:noProof/>
                    <w:webHidden/>
                  </w:rPr>
                  <w:instrText xml:space="preserve"> PAGEREF _Toc415707050 \h </w:instrText>
                </w:r>
                <w:r w:rsidR="0037044C">
                  <w:rPr>
                    <w:noProof/>
                    <w:webHidden/>
                  </w:rPr>
                </w:r>
                <w:r w:rsidR="0037044C">
                  <w:rPr>
                    <w:noProof/>
                    <w:webHidden/>
                  </w:rPr>
                  <w:fldChar w:fldCharType="separate"/>
                </w:r>
                <w:r w:rsidR="0037044C">
                  <w:rPr>
                    <w:noProof/>
                    <w:webHidden/>
                  </w:rPr>
                  <w:t>13</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1" w:history="1">
                <w:r w:rsidR="0037044C" w:rsidRPr="00602FCA">
                  <w:rPr>
                    <w:rStyle w:val="Hypertextovodkaz"/>
                    <w:rFonts w:ascii="Times New Roman" w:hAnsi="Times New Roman" w:cs="Times New Roman"/>
                    <w:noProof/>
                  </w:rPr>
                  <w:t>3.1</w:t>
                </w:r>
                <w:r w:rsidR="0037044C">
                  <w:rPr>
                    <w:noProof/>
                    <w:lang w:val="cs-CZ"/>
                  </w:rPr>
                  <w:tab/>
                </w:r>
                <w:r w:rsidR="0037044C" w:rsidRPr="00602FCA">
                  <w:rPr>
                    <w:rStyle w:val="Hypertextovodkaz"/>
                    <w:rFonts w:ascii="Times New Roman" w:hAnsi="Times New Roman" w:cs="Times New Roman"/>
                    <w:noProof/>
                  </w:rPr>
                  <w:t>Types</w:t>
                </w:r>
                <w:r w:rsidR="0037044C">
                  <w:rPr>
                    <w:noProof/>
                    <w:webHidden/>
                  </w:rPr>
                  <w:tab/>
                </w:r>
                <w:r w:rsidR="0037044C">
                  <w:rPr>
                    <w:noProof/>
                    <w:webHidden/>
                  </w:rPr>
                  <w:fldChar w:fldCharType="begin"/>
                </w:r>
                <w:r w:rsidR="0037044C">
                  <w:rPr>
                    <w:noProof/>
                    <w:webHidden/>
                  </w:rPr>
                  <w:instrText xml:space="preserve"> PAGEREF _Toc415707051 \h </w:instrText>
                </w:r>
                <w:r w:rsidR="0037044C">
                  <w:rPr>
                    <w:noProof/>
                    <w:webHidden/>
                  </w:rPr>
                </w:r>
                <w:r w:rsidR="0037044C">
                  <w:rPr>
                    <w:noProof/>
                    <w:webHidden/>
                  </w:rPr>
                  <w:fldChar w:fldCharType="separate"/>
                </w:r>
                <w:r w:rsidR="0037044C">
                  <w:rPr>
                    <w:noProof/>
                    <w:webHidden/>
                  </w:rPr>
                  <w:t>16</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2" w:history="1">
                <w:r w:rsidR="0037044C" w:rsidRPr="00602FCA">
                  <w:rPr>
                    <w:rStyle w:val="Hypertextovodkaz"/>
                    <w:rFonts w:ascii="Times New Roman" w:hAnsi="Times New Roman" w:cs="Times New Roman"/>
                    <w:noProof/>
                  </w:rPr>
                  <w:t>3.2</w:t>
                </w:r>
                <w:r w:rsidR="0037044C">
                  <w:rPr>
                    <w:noProof/>
                    <w:lang w:val="cs-CZ"/>
                  </w:rPr>
                  <w:tab/>
                </w:r>
                <w:r w:rsidR="0037044C" w:rsidRPr="00602FCA">
                  <w:rPr>
                    <w:rStyle w:val="Hypertextovodkaz"/>
                    <w:rFonts w:ascii="Times New Roman" w:hAnsi="Times New Roman" w:cs="Times New Roman"/>
                    <w:noProof/>
                  </w:rPr>
                  <w:t>Blocks</w:t>
                </w:r>
                <w:r w:rsidR="0037044C">
                  <w:rPr>
                    <w:noProof/>
                    <w:webHidden/>
                  </w:rPr>
                  <w:tab/>
                </w:r>
                <w:r w:rsidR="0037044C">
                  <w:rPr>
                    <w:noProof/>
                    <w:webHidden/>
                  </w:rPr>
                  <w:fldChar w:fldCharType="begin"/>
                </w:r>
                <w:r w:rsidR="0037044C">
                  <w:rPr>
                    <w:noProof/>
                    <w:webHidden/>
                  </w:rPr>
                  <w:instrText xml:space="preserve"> PAGEREF _Toc415707052 \h </w:instrText>
                </w:r>
                <w:r w:rsidR="0037044C">
                  <w:rPr>
                    <w:noProof/>
                    <w:webHidden/>
                  </w:rPr>
                </w:r>
                <w:r w:rsidR="0037044C">
                  <w:rPr>
                    <w:noProof/>
                    <w:webHidden/>
                  </w:rPr>
                  <w:fldChar w:fldCharType="separate"/>
                </w:r>
                <w:r w:rsidR="0037044C">
                  <w:rPr>
                    <w:noProof/>
                    <w:webHidden/>
                  </w:rPr>
                  <w:t>16</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3" w:history="1">
                <w:r w:rsidR="0037044C" w:rsidRPr="00602FCA">
                  <w:rPr>
                    <w:rStyle w:val="Hypertextovodkaz"/>
                    <w:rFonts w:ascii="Times New Roman" w:hAnsi="Times New Roman" w:cs="Times New Roman"/>
                    <w:noProof/>
                  </w:rPr>
                  <w:t>3.3</w:t>
                </w:r>
                <w:r w:rsidR="0037044C">
                  <w:rPr>
                    <w:noProof/>
                    <w:lang w:val="cs-CZ"/>
                  </w:rPr>
                  <w:tab/>
                </w:r>
                <w:r w:rsidR="0037044C" w:rsidRPr="00602FCA">
                  <w:rPr>
                    <w:rStyle w:val="Hypertextovodkaz"/>
                    <w:rFonts w:ascii="Times New Roman" w:hAnsi="Times New Roman" w:cs="Times New Roman"/>
                    <w:noProof/>
                  </w:rPr>
                  <w:t>Steady states</w:t>
                </w:r>
                <w:r w:rsidR="0037044C">
                  <w:rPr>
                    <w:noProof/>
                    <w:webHidden/>
                  </w:rPr>
                  <w:tab/>
                </w:r>
                <w:r w:rsidR="0037044C">
                  <w:rPr>
                    <w:noProof/>
                    <w:webHidden/>
                  </w:rPr>
                  <w:fldChar w:fldCharType="begin"/>
                </w:r>
                <w:r w:rsidR="0037044C">
                  <w:rPr>
                    <w:noProof/>
                    <w:webHidden/>
                  </w:rPr>
                  <w:instrText xml:space="preserve"> PAGEREF _Toc415707053 \h </w:instrText>
                </w:r>
                <w:r w:rsidR="0037044C">
                  <w:rPr>
                    <w:noProof/>
                    <w:webHidden/>
                  </w:rPr>
                </w:r>
                <w:r w:rsidR="0037044C">
                  <w:rPr>
                    <w:noProof/>
                    <w:webHidden/>
                  </w:rPr>
                  <w:fldChar w:fldCharType="separate"/>
                </w:r>
                <w:r w:rsidR="0037044C">
                  <w:rPr>
                    <w:noProof/>
                    <w:webHidden/>
                  </w:rPr>
                  <w:t>17</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4" w:history="1">
                <w:r w:rsidR="0037044C" w:rsidRPr="00602FCA">
                  <w:rPr>
                    <w:rStyle w:val="Hypertextovodkaz"/>
                    <w:rFonts w:ascii="Times New Roman" w:hAnsi="Times New Roman" w:cs="Times New Roman"/>
                    <w:noProof/>
                  </w:rPr>
                  <w:t>3.4</w:t>
                </w:r>
                <w:r w:rsidR="0037044C">
                  <w:rPr>
                    <w:noProof/>
                    <w:lang w:val="cs-CZ"/>
                  </w:rPr>
                  <w:tab/>
                </w:r>
                <w:r w:rsidR="0037044C" w:rsidRPr="00602FCA">
                  <w:rPr>
                    <w:rStyle w:val="Hypertextovodkaz"/>
                    <w:rFonts w:ascii="Times New Roman" w:hAnsi="Times New Roman" w:cs="Times New Roman"/>
                    <w:noProof/>
                  </w:rPr>
                  <w:t>Chemical domain</w:t>
                </w:r>
                <w:r w:rsidR="0037044C">
                  <w:rPr>
                    <w:noProof/>
                    <w:webHidden/>
                  </w:rPr>
                  <w:tab/>
                </w:r>
                <w:r w:rsidR="0037044C">
                  <w:rPr>
                    <w:noProof/>
                    <w:webHidden/>
                  </w:rPr>
                  <w:fldChar w:fldCharType="begin"/>
                </w:r>
                <w:r w:rsidR="0037044C">
                  <w:rPr>
                    <w:noProof/>
                    <w:webHidden/>
                  </w:rPr>
                  <w:instrText xml:space="preserve"> PAGEREF _Toc415707054 \h </w:instrText>
                </w:r>
                <w:r w:rsidR="0037044C">
                  <w:rPr>
                    <w:noProof/>
                    <w:webHidden/>
                  </w:rPr>
                </w:r>
                <w:r w:rsidR="0037044C">
                  <w:rPr>
                    <w:noProof/>
                    <w:webHidden/>
                  </w:rPr>
                  <w:fldChar w:fldCharType="separate"/>
                </w:r>
                <w:r w:rsidR="0037044C">
                  <w:rPr>
                    <w:noProof/>
                    <w:webHidden/>
                  </w:rPr>
                  <w:t>18</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5" w:history="1">
                <w:r w:rsidR="0037044C" w:rsidRPr="00602FCA">
                  <w:rPr>
                    <w:rStyle w:val="Hypertextovodkaz"/>
                    <w:rFonts w:ascii="Times New Roman" w:hAnsi="Times New Roman" w:cs="Times New Roman"/>
                    <w:noProof/>
                  </w:rPr>
                  <w:t>3.5</w:t>
                </w:r>
                <w:r w:rsidR="0037044C">
                  <w:rPr>
                    <w:noProof/>
                    <w:lang w:val="cs-CZ"/>
                  </w:rPr>
                  <w:tab/>
                </w:r>
                <w:r w:rsidR="0037044C" w:rsidRPr="00602FCA">
                  <w:rPr>
                    <w:rStyle w:val="Hypertextovodkaz"/>
                    <w:rFonts w:ascii="Times New Roman" w:hAnsi="Times New Roman" w:cs="Times New Roman"/>
                    <w:noProof/>
                  </w:rPr>
                  <w:t>Osmotic domain</w:t>
                </w:r>
                <w:r w:rsidR="0037044C">
                  <w:rPr>
                    <w:noProof/>
                    <w:webHidden/>
                  </w:rPr>
                  <w:tab/>
                </w:r>
                <w:r w:rsidR="0037044C">
                  <w:rPr>
                    <w:noProof/>
                    <w:webHidden/>
                  </w:rPr>
                  <w:fldChar w:fldCharType="begin"/>
                </w:r>
                <w:r w:rsidR="0037044C">
                  <w:rPr>
                    <w:noProof/>
                    <w:webHidden/>
                  </w:rPr>
                  <w:instrText xml:space="preserve"> PAGEREF _Toc415707055 \h </w:instrText>
                </w:r>
                <w:r w:rsidR="0037044C">
                  <w:rPr>
                    <w:noProof/>
                    <w:webHidden/>
                  </w:rPr>
                </w:r>
                <w:r w:rsidR="0037044C">
                  <w:rPr>
                    <w:noProof/>
                    <w:webHidden/>
                  </w:rPr>
                  <w:fldChar w:fldCharType="separate"/>
                </w:r>
                <w:r w:rsidR="0037044C">
                  <w:rPr>
                    <w:noProof/>
                    <w:webHidden/>
                  </w:rPr>
                  <w:t>23</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6" w:history="1">
                <w:r w:rsidR="0037044C" w:rsidRPr="00602FCA">
                  <w:rPr>
                    <w:rStyle w:val="Hypertextovodkaz"/>
                    <w:rFonts w:ascii="Times New Roman" w:hAnsi="Times New Roman" w:cs="Times New Roman"/>
                    <w:noProof/>
                  </w:rPr>
                  <w:t>3.6</w:t>
                </w:r>
                <w:r w:rsidR="0037044C">
                  <w:rPr>
                    <w:noProof/>
                    <w:lang w:val="cs-CZ"/>
                  </w:rPr>
                  <w:tab/>
                </w:r>
                <w:r w:rsidR="0037044C" w:rsidRPr="00602FCA">
                  <w:rPr>
                    <w:rStyle w:val="Hypertextovodkaz"/>
                    <w:rFonts w:ascii="Times New Roman" w:hAnsi="Times New Roman" w:cs="Times New Roman"/>
                    <w:noProof/>
                  </w:rPr>
                  <w:t>Thermal domain</w:t>
                </w:r>
                <w:r w:rsidR="0037044C">
                  <w:rPr>
                    <w:noProof/>
                    <w:webHidden/>
                  </w:rPr>
                  <w:tab/>
                </w:r>
                <w:r w:rsidR="0037044C">
                  <w:rPr>
                    <w:noProof/>
                    <w:webHidden/>
                  </w:rPr>
                  <w:fldChar w:fldCharType="begin"/>
                </w:r>
                <w:r w:rsidR="0037044C">
                  <w:rPr>
                    <w:noProof/>
                    <w:webHidden/>
                  </w:rPr>
                  <w:instrText xml:space="preserve"> PAGEREF _Toc415707056 \h </w:instrText>
                </w:r>
                <w:r w:rsidR="0037044C">
                  <w:rPr>
                    <w:noProof/>
                    <w:webHidden/>
                  </w:rPr>
                </w:r>
                <w:r w:rsidR="0037044C">
                  <w:rPr>
                    <w:noProof/>
                    <w:webHidden/>
                  </w:rPr>
                  <w:fldChar w:fldCharType="separate"/>
                </w:r>
                <w:r w:rsidR="0037044C">
                  <w:rPr>
                    <w:noProof/>
                    <w:webHidden/>
                  </w:rPr>
                  <w:t>25</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7" w:history="1">
                <w:r w:rsidR="0037044C" w:rsidRPr="00602FCA">
                  <w:rPr>
                    <w:rStyle w:val="Hypertextovodkaz"/>
                    <w:rFonts w:ascii="Times New Roman" w:hAnsi="Times New Roman" w:cs="Times New Roman"/>
                    <w:noProof/>
                  </w:rPr>
                  <w:t>3.7</w:t>
                </w:r>
                <w:r w:rsidR="0037044C">
                  <w:rPr>
                    <w:noProof/>
                    <w:lang w:val="cs-CZ"/>
                  </w:rPr>
                  <w:tab/>
                </w:r>
                <w:r w:rsidR="0037044C" w:rsidRPr="00602FCA">
                  <w:rPr>
                    <w:rStyle w:val="Hypertextovodkaz"/>
                    <w:rFonts w:ascii="Times New Roman" w:hAnsi="Times New Roman" w:cs="Times New Roman"/>
                    <w:noProof/>
                  </w:rPr>
                  <w:t>Hydraulic domain</w:t>
                </w:r>
                <w:r w:rsidR="0037044C">
                  <w:rPr>
                    <w:noProof/>
                    <w:webHidden/>
                  </w:rPr>
                  <w:tab/>
                </w:r>
                <w:r w:rsidR="0037044C">
                  <w:rPr>
                    <w:noProof/>
                    <w:webHidden/>
                  </w:rPr>
                  <w:fldChar w:fldCharType="begin"/>
                </w:r>
                <w:r w:rsidR="0037044C">
                  <w:rPr>
                    <w:noProof/>
                    <w:webHidden/>
                  </w:rPr>
                  <w:instrText xml:space="preserve"> PAGEREF _Toc415707057 \h </w:instrText>
                </w:r>
                <w:r w:rsidR="0037044C">
                  <w:rPr>
                    <w:noProof/>
                    <w:webHidden/>
                  </w:rPr>
                </w:r>
                <w:r w:rsidR="0037044C">
                  <w:rPr>
                    <w:noProof/>
                    <w:webHidden/>
                  </w:rPr>
                  <w:fldChar w:fldCharType="separate"/>
                </w:r>
                <w:r w:rsidR="0037044C">
                  <w:rPr>
                    <w:noProof/>
                    <w:webHidden/>
                  </w:rPr>
                  <w:t>27</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58" w:history="1">
                <w:r w:rsidR="0037044C" w:rsidRPr="00602FCA">
                  <w:rPr>
                    <w:rStyle w:val="Hypertextovodkaz"/>
                    <w:rFonts w:ascii="Times New Roman" w:hAnsi="Times New Roman" w:cs="Times New Roman"/>
                    <w:noProof/>
                  </w:rPr>
                  <w:t>3.8</w:t>
                </w:r>
                <w:r w:rsidR="0037044C">
                  <w:rPr>
                    <w:noProof/>
                    <w:lang w:val="cs-CZ"/>
                  </w:rPr>
                  <w:tab/>
                </w:r>
                <w:r w:rsidR="0037044C" w:rsidRPr="00602FCA">
                  <w:rPr>
                    <w:rStyle w:val="Hypertextovodkaz"/>
                    <w:rFonts w:ascii="Times New Roman" w:hAnsi="Times New Roman" w:cs="Times New Roman"/>
                    <w:noProof/>
                  </w:rPr>
                  <w:t>Population domain</w:t>
                </w:r>
                <w:r w:rsidR="0037044C">
                  <w:rPr>
                    <w:noProof/>
                    <w:webHidden/>
                  </w:rPr>
                  <w:tab/>
                </w:r>
                <w:r w:rsidR="0037044C">
                  <w:rPr>
                    <w:noProof/>
                    <w:webHidden/>
                  </w:rPr>
                  <w:fldChar w:fldCharType="begin"/>
                </w:r>
                <w:r w:rsidR="0037044C">
                  <w:rPr>
                    <w:noProof/>
                    <w:webHidden/>
                  </w:rPr>
                  <w:instrText xml:space="preserve"> PAGEREF _Toc415707058 \h </w:instrText>
                </w:r>
                <w:r w:rsidR="0037044C">
                  <w:rPr>
                    <w:noProof/>
                    <w:webHidden/>
                  </w:rPr>
                </w:r>
                <w:r w:rsidR="0037044C">
                  <w:rPr>
                    <w:noProof/>
                    <w:webHidden/>
                  </w:rPr>
                  <w:fldChar w:fldCharType="separate"/>
                </w:r>
                <w:r w:rsidR="0037044C">
                  <w:rPr>
                    <w:noProof/>
                    <w:webHidden/>
                  </w:rPr>
                  <w:t>28</w:t>
                </w:r>
                <w:r w:rsidR="0037044C">
                  <w:rPr>
                    <w:noProof/>
                    <w:webHidden/>
                  </w:rPr>
                  <w:fldChar w:fldCharType="end"/>
                </w:r>
              </w:hyperlink>
            </w:p>
            <w:p w:rsidR="0037044C" w:rsidRDefault="00CF5553">
              <w:pPr>
                <w:pStyle w:val="Obsah1"/>
                <w:tabs>
                  <w:tab w:val="left" w:pos="400"/>
                  <w:tab w:val="right" w:leader="dot" w:pos="8395"/>
                </w:tabs>
                <w:rPr>
                  <w:noProof/>
                  <w:lang w:val="cs-CZ"/>
                </w:rPr>
              </w:pPr>
              <w:hyperlink w:anchor="_Toc415707059" w:history="1">
                <w:r w:rsidR="0037044C" w:rsidRPr="00602FCA">
                  <w:rPr>
                    <w:rStyle w:val="Hypertextovodkaz"/>
                    <w:rFonts w:ascii="Times New Roman" w:hAnsi="Times New Roman" w:cs="Times New Roman"/>
                    <w:noProof/>
                  </w:rPr>
                  <w:t>4</w:t>
                </w:r>
                <w:r w:rsidR="0037044C">
                  <w:rPr>
                    <w:noProof/>
                    <w:lang w:val="cs-CZ"/>
                  </w:rPr>
                  <w:tab/>
                </w:r>
                <w:r w:rsidR="0037044C" w:rsidRPr="00602FCA">
                  <w:rPr>
                    <w:rStyle w:val="Hypertextovodkaz"/>
                    <w:rFonts w:ascii="Times New Roman" w:hAnsi="Times New Roman" w:cs="Times New Roman"/>
                    <w:noProof/>
                  </w:rPr>
                  <w:t>Physiomodel</w:t>
                </w:r>
                <w:r w:rsidR="0037044C">
                  <w:rPr>
                    <w:noProof/>
                    <w:webHidden/>
                  </w:rPr>
                  <w:tab/>
                </w:r>
                <w:r w:rsidR="0037044C">
                  <w:rPr>
                    <w:noProof/>
                    <w:webHidden/>
                  </w:rPr>
                  <w:fldChar w:fldCharType="begin"/>
                </w:r>
                <w:r w:rsidR="0037044C">
                  <w:rPr>
                    <w:noProof/>
                    <w:webHidden/>
                  </w:rPr>
                  <w:instrText xml:space="preserve"> PAGEREF _Toc415707059 \h </w:instrText>
                </w:r>
                <w:r w:rsidR="0037044C">
                  <w:rPr>
                    <w:noProof/>
                    <w:webHidden/>
                  </w:rPr>
                </w:r>
                <w:r w:rsidR="0037044C">
                  <w:rPr>
                    <w:noProof/>
                    <w:webHidden/>
                  </w:rPr>
                  <w:fldChar w:fldCharType="separate"/>
                </w:r>
                <w:r w:rsidR="0037044C">
                  <w:rPr>
                    <w:noProof/>
                    <w:webHidden/>
                  </w:rPr>
                  <w:t>30</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0" w:history="1">
                <w:r w:rsidR="0037044C" w:rsidRPr="00602FCA">
                  <w:rPr>
                    <w:rStyle w:val="Hypertextovodkaz"/>
                    <w:rFonts w:ascii="Times New Roman" w:hAnsi="Times New Roman" w:cs="Times New Roman"/>
                    <w:noProof/>
                  </w:rPr>
                  <w:t>4.1</w:t>
                </w:r>
                <w:r w:rsidR="0037044C">
                  <w:rPr>
                    <w:noProof/>
                    <w:lang w:val="cs-CZ"/>
                  </w:rPr>
                  <w:tab/>
                </w:r>
                <w:r w:rsidR="0037044C" w:rsidRPr="00602FCA">
                  <w:rPr>
                    <w:rStyle w:val="Hypertextovodkaz"/>
                    <w:rFonts w:ascii="Times New Roman" w:hAnsi="Times New Roman" w:cs="Times New Roman"/>
                    <w:noProof/>
                  </w:rPr>
                  <w:t>Cardiovascular system</w:t>
                </w:r>
                <w:r w:rsidR="0037044C">
                  <w:rPr>
                    <w:noProof/>
                    <w:webHidden/>
                  </w:rPr>
                  <w:tab/>
                </w:r>
                <w:r w:rsidR="0037044C">
                  <w:rPr>
                    <w:noProof/>
                    <w:webHidden/>
                  </w:rPr>
                  <w:fldChar w:fldCharType="begin"/>
                </w:r>
                <w:r w:rsidR="0037044C">
                  <w:rPr>
                    <w:noProof/>
                    <w:webHidden/>
                  </w:rPr>
                  <w:instrText xml:space="preserve"> PAGEREF _Toc415707060 \h </w:instrText>
                </w:r>
                <w:r w:rsidR="0037044C">
                  <w:rPr>
                    <w:noProof/>
                    <w:webHidden/>
                  </w:rPr>
                </w:r>
                <w:r w:rsidR="0037044C">
                  <w:rPr>
                    <w:noProof/>
                    <w:webHidden/>
                  </w:rPr>
                  <w:fldChar w:fldCharType="separate"/>
                </w:r>
                <w:r w:rsidR="0037044C">
                  <w:rPr>
                    <w:noProof/>
                    <w:webHidden/>
                  </w:rPr>
                  <w:t>30</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1" w:history="1">
                <w:r w:rsidR="0037044C" w:rsidRPr="00602FCA">
                  <w:rPr>
                    <w:rStyle w:val="Hypertextovodkaz"/>
                    <w:rFonts w:ascii="Times New Roman" w:hAnsi="Times New Roman" w:cs="Times New Roman"/>
                    <w:noProof/>
                  </w:rPr>
                  <w:t>4.2</w:t>
                </w:r>
                <w:r w:rsidR="0037044C">
                  <w:rPr>
                    <w:noProof/>
                    <w:lang w:val="cs-CZ"/>
                  </w:rPr>
                  <w:tab/>
                </w:r>
                <w:r w:rsidR="0037044C" w:rsidRPr="00602FCA">
                  <w:rPr>
                    <w:rStyle w:val="Hypertextovodkaz"/>
                    <w:rFonts w:ascii="Times New Roman" w:hAnsi="Times New Roman" w:cs="Times New Roman"/>
                    <w:noProof/>
                  </w:rPr>
                  <w:t>Body Water</w:t>
                </w:r>
                <w:r w:rsidR="0037044C">
                  <w:rPr>
                    <w:noProof/>
                    <w:webHidden/>
                  </w:rPr>
                  <w:tab/>
                </w:r>
                <w:r w:rsidR="0037044C">
                  <w:rPr>
                    <w:noProof/>
                    <w:webHidden/>
                  </w:rPr>
                  <w:fldChar w:fldCharType="begin"/>
                </w:r>
                <w:r w:rsidR="0037044C">
                  <w:rPr>
                    <w:noProof/>
                    <w:webHidden/>
                  </w:rPr>
                  <w:instrText xml:space="preserve"> PAGEREF _Toc415707061 \h </w:instrText>
                </w:r>
                <w:r w:rsidR="0037044C">
                  <w:rPr>
                    <w:noProof/>
                    <w:webHidden/>
                  </w:rPr>
                </w:r>
                <w:r w:rsidR="0037044C">
                  <w:rPr>
                    <w:noProof/>
                    <w:webHidden/>
                  </w:rPr>
                  <w:fldChar w:fldCharType="separate"/>
                </w:r>
                <w:r w:rsidR="0037044C">
                  <w:rPr>
                    <w:noProof/>
                    <w:webHidden/>
                  </w:rPr>
                  <w:t>35</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2" w:history="1">
                <w:r w:rsidR="0037044C" w:rsidRPr="00602FCA">
                  <w:rPr>
                    <w:rStyle w:val="Hypertextovodkaz"/>
                    <w:rFonts w:ascii="Times New Roman" w:hAnsi="Times New Roman" w:cs="Times New Roman"/>
                    <w:noProof/>
                  </w:rPr>
                  <w:t>4.3</w:t>
                </w:r>
                <w:r w:rsidR="0037044C">
                  <w:rPr>
                    <w:noProof/>
                    <w:lang w:val="cs-CZ"/>
                  </w:rPr>
                  <w:tab/>
                </w:r>
                <w:r w:rsidR="0037044C" w:rsidRPr="00602FCA">
                  <w:rPr>
                    <w:rStyle w:val="Hypertextovodkaz"/>
                    <w:rFonts w:ascii="Times New Roman" w:hAnsi="Times New Roman" w:cs="Times New Roman"/>
                    <w:noProof/>
                  </w:rPr>
                  <w:t>Hormones</w:t>
                </w:r>
                <w:r w:rsidR="0037044C">
                  <w:rPr>
                    <w:noProof/>
                    <w:webHidden/>
                  </w:rPr>
                  <w:tab/>
                </w:r>
                <w:r w:rsidR="0037044C">
                  <w:rPr>
                    <w:noProof/>
                    <w:webHidden/>
                  </w:rPr>
                  <w:fldChar w:fldCharType="begin"/>
                </w:r>
                <w:r w:rsidR="0037044C">
                  <w:rPr>
                    <w:noProof/>
                    <w:webHidden/>
                  </w:rPr>
                  <w:instrText xml:space="preserve"> PAGEREF _Toc415707062 \h </w:instrText>
                </w:r>
                <w:r w:rsidR="0037044C">
                  <w:rPr>
                    <w:noProof/>
                    <w:webHidden/>
                  </w:rPr>
                </w:r>
                <w:r w:rsidR="0037044C">
                  <w:rPr>
                    <w:noProof/>
                    <w:webHidden/>
                  </w:rPr>
                  <w:fldChar w:fldCharType="separate"/>
                </w:r>
                <w:r w:rsidR="0037044C">
                  <w:rPr>
                    <w:noProof/>
                    <w:webHidden/>
                  </w:rPr>
                  <w:t>39</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3" w:history="1">
                <w:r w:rsidR="0037044C" w:rsidRPr="00602FCA">
                  <w:rPr>
                    <w:rStyle w:val="Hypertextovodkaz"/>
                    <w:rFonts w:ascii="Times New Roman" w:hAnsi="Times New Roman" w:cs="Times New Roman"/>
                    <w:noProof/>
                  </w:rPr>
                  <w:t>4.4</w:t>
                </w:r>
                <w:r w:rsidR="0037044C">
                  <w:rPr>
                    <w:noProof/>
                    <w:lang w:val="cs-CZ"/>
                  </w:rPr>
                  <w:tab/>
                </w:r>
                <w:r w:rsidR="0037044C" w:rsidRPr="00602FCA">
                  <w:rPr>
                    <w:rStyle w:val="Hypertextovodkaz"/>
                    <w:rFonts w:ascii="Times New Roman" w:hAnsi="Times New Roman" w:cs="Times New Roman"/>
                    <w:noProof/>
                  </w:rPr>
                  <w:t>Electrolytes and Acid-Base</w:t>
                </w:r>
                <w:r w:rsidR="0037044C">
                  <w:rPr>
                    <w:noProof/>
                    <w:webHidden/>
                  </w:rPr>
                  <w:tab/>
                </w:r>
                <w:r w:rsidR="0037044C">
                  <w:rPr>
                    <w:noProof/>
                    <w:webHidden/>
                  </w:rPr>
                  <w:fldChar w:fldCharType="begin"/>
                </w:r>
                <w:r w:rsidR="0037044C">
                  <w:rPr>
                    <w:noProof/>
                    <w:webHidden/>
                  </w:rPr>
                  <w:instrText xml:space="preserve"> PAGEREF _Toc415707063 \h </w:instrText>
                </w:r>
                <w:r w:rsidR="0037044C">
                  <w:rPr>
                    <w:noProof/>
                    <w:webHidden/>
                  </w:rPr>
                </w:r>
                <w:r w:rsidR="0037044C">
                  <w:rPr>
                    <w:noProof/>
                    <w:webHidden/>
                  </w:rPr>
                  <w:fldChar w:fldCharType="separate"/>
                </w:r>
                <w:r w:rsidR="0037044C">
                  <w:rPr>
                    <w:noProof/>
                    <w:webHidden/>
                  </w:rPr>
                  <w:t>42</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4" w:history="1">
                <w:r w:rsidR="0037044C" w:rsidRPr="00602FCA">
                  <w:rPr>
                    <w:rStyle w:val="Hypertextovodkaz"/>
                    <w:rFonts w:ascii="Times New Roman" w:hAnsi="Times New Roman" w:cs="Times New Roman"/>
                    <w:noProof/>
                  </w:rPr>
                  <w:t>4.5</w:t>
                </w:r>
                <w:r w:rsidR="0037044C">
                  <w:rPr>
                    <w:noProof/>
                    <w:lang w:val="cs-CZ"/>
                  </w:rPr>
                  <w:tab/>
                </w:r>
                <w:r w:rsidR="0037044C" w:rsidRPr="00602FCA">
                  <w:rPr>
                    <w:rStyle w:val="Hypertextovodkaz"/>
                    <w:rFonts w:ascii="Times New Roman" w:hAnsi="Times New Roman" w:cs="Times New Roman"/>
                    <w:noProof/>
                  </w:rPr>
                  <w:t>Blood Gases</w:t>
                </w:r>
                <w:r w:rsidR="0037044C">
                  <w:rPr>
                    <w:noProof/>
                    <w:webHidden/>
                  </w:rPr>
                  <w:tab/>
                </w:r>
                <w:r w:rsidR="0037044C">
                  <w:rPr>
                    <w:noProof/>
                    <w:webHidden/>
                  </w:rPr>
                  <w:fldChar w:fldCharType="begin"/>
                </w:r>
                <w:r w:rsidR="0037044C">
                  <w:rPr>
                    <w:noProof/>
                    <w:webHidden/>
                  </w:rPr>
                  <w:instrText xml:space="preserve"> PAGEREF _Toc415707064 \h </w:instrText>
                </w:r>
                <w:r w:rsidR="0037044C">
                  <w:rPr>
                    <w:noProof/>
                    <w:webHidden/>
                  </w:rPr>
                </w:r>
                <w:r w:rsidR="0037044C">
                  <w:rPr>
                    <w:noProof/>
                    <w:webHidden/>
                  </w:rPr>
                  <w:fldChar w:fldCharType="separate"/>
                </w:r>
                <w:r w:rsidR="0037044C">
                  <w:rPr>
                    <w:noProof/>
                    <w:webHidden/>
                  </w:rPr>
                  <w:t>46</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5" w:history="1">
                <w:r w:rsidR="0037044C" w:rsidRPr="00602FCA">
                  <w:rPr>
                    <w:rStyle w:val="Hypertextovodkaz"/>
                    <w:rFonts w:ascii="Times New Roman" w:hAnsi="Times New Roman" w:cs="Times New Roman"/>
                    <w:noProof/>
                  </w:rPr>
                  <w:t>4.6</w:t>
                </w:r>
                <w:r w:rsidR="0037044C">
                  <w:rPr>
                    <w:noProof/>
                    <w:lang w:val="cs-CZ"/>
                  </w:rPr>
                  <w:tab/>
                </w:r>
                <w:r w:rsidR="0037044C" w:rsidRPr="00602FCA">
                  <w:rPr>
                    <w:rStyle w:val="Hypertextovodkaz"/>
                    <w:rFonts w:ascii="Times New Roman" w:hAnsi="Times New Roman" w:cs="Times New Roman"/>
                    <w:noProof/>
                  </w:rPr>
                  <w:t>Nutrients and Metabolism</w:t>
                </w:r>
                <w:r w:rsidR="0037044C">
                  <w:rPr>
                    <w:noProof/>
                    <w:webHidden/>
                  </w:rPr>
                  <w:tab/>
                </w:r>
                <w:r w:rsidR="0037044C">
                  <w:rPr>
                    <w:noProof/>
                    <w:webHidden/>
                  </w:rPr>
                  <w:fldChar w:fldCharType="begin"/>
                </w:r>
                <w:r w:rsidR="0037044C">
                  <w:rPr>
                    <w:noProof/>
                    <w:webHidden/>
                  </w:rPr>
                  <w:instrText xml:space="preserve"> PAGEREF _Toc415707065 \h </w:instrText>
                </w:r>
                <w:r w:rsidR="0037044C">
                  <w:rPr>
                    <w:noProof/>
                    <w:webHidden/>
                  </w:rPr>
                </w:r>
                <w:r w:rsidR="0037044C">
                  <w:rPr>
                    <w:noProof/>
                    <w:webHidden/>
                  </w:rPr>
                  <w:fldChar w:fldCharType="separate"/>
                </w:r>
                <w:r w:rsidR="0037044C">
                  <w:rPr>
                    <w:noProof/>
                    <w:webHidden/>
                  </w:rPr>
                  <w:t>48</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6" w:history="1">
                <w:r w:rsidR="0037044C" w:rsidRPr="00602FCA">
                  <w:rPr>
                    <w:rStyle w:val="Hypertextovodkaz"/>
                    <w:rFonts w:ascii="Times New Roman" w:hAnsi="Times New Roman" w:cs="Times New Roman"/>
                    <w:noProof/>
                  </w:rPr>
                  <w:t>4.7</w:t>
                </w:r>
                <w:r w:rsidR="0037044C">
                  <w:rPr>
                    <w:noProof/>
                    <w:lang w:val="cs-CZ"/>
                  </w:rPr>
                  <w:tab/>
                </w:r>
                <w:r w:rsidR="0037044C" w:rsidRPr="00602FCA">
                  <w:rPr>
                    <w:rStyle w:val="Hypertextovodkaz"/>
                    <w:rFonts w:ascii="Times New Roman" w:hAnsi="Times New Roman" w:cs="Times New Roman"/>
                    <w:noProof/>
                  </w:rPr>
                  <w:t>Thermoregulation</w:t>
                </w:r>
                <w:r w:rsidR="0037044C">
                  <w:rPr>
                    <w:noProof/>
                    <w:webHidden/>
                  </w:rPr>
                  <w:tab/>
                </w:r>
                <w:r w:rsidR="0037044C">
                  <w:rPr>
                    <w:noProof/>
                    <w:webHidden/>
                  </w:rPr>
                  <w:fldChar w:fldCharType="begin"/>
                </w:r>
                <w:r w:rsidR="0037044C">
                  <w:rPr>
                    <w:noProof/>
                    <w:webHidden/>
                  </w:rPr>
                  <w:instrText xml:space="preserve"> PAGEREF _Toc415707066 \h </w:instrText>
                </w:r>
                <w:r w:rsidR="0037044C">
                  <w:rPr>
                    <w:noProof/>
                    <w:webHidden/>
                  </w:rPr>
                </w:r>
                <w:r w:rsidR="0037044C">
                  <w:rPr>
                    <w:noProof/>
                    <w:webHidden/>
                  </w:rPr>
                  <w:fldChar w:fldCharType="separate"/>
                </w:r>
                <w:r w:rsidR="0037044C">
                  <w:rPr>
                    <w:noProof/>
                    <w:webHidden/>
                  </w:rPr>
                  <w:t>53</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7" w:history="1">
                <w:r w:rsidR="0037044C" w:rsidRPr="00602FCA">
                  <w:rPr>
                    <w:rStyle w:val="Hypertextovodkaz"/>
                    <w:rFonts w:ascii="Times New Roman" w:hAnsi="Times New Roman" w:cs="Times New Roman"/>
                    <w:noProof/>
                  </w:rPr>
                  <w:t>4.8</w:t>
                </w:r>
                <w:r w:rsidR="0037044C">
                  <w:rPr>
                    <w:noProof/>
                    <w:lang w:val="cs-CZ"/>
                  </w:rPr>
                  <w:tab/>
                </w:r>
                <w:r w:rsidR="0037044C" w:rsidRPr="00602FCA">
                  <w:rPr>
                    <w:rStyle w:val="Hypertextovodkaz"/>
                    <w:rFonts w:ascii="Times New Roman" w:hAnsi="Times New Roman" w:cs="Times New Roman"/>
                    <w:noProof/>
                  </w:rPr>
                  <w:t>Neural Regulations</w:t>
                </w:r>
                <w:r w:rsidR="0037044C">
                  <w:rPr>
                    <w:noProof/>
                    <w:webHidden/>
                  </w:rPr>
                  <w:tab/>
                </w:r>
                <w:r w:rsidR="0037044C">
                  <w:rPr>
                    <w:noProof/>
                    <w:webHidden/>
                  </w:rPr>
                  <w:fldChar w:fldCharType="begin"/>
                </w:r>
                <w:r w:rsidR="0037044C">
                  <w:rPr>
                    <w:noProof/>
                    <w:webHidden/>
                  </w:rPr>
                  <w:instrText xml:space="preserve"> PAGEREF _Toc415707067 \h </w:instrText>
                </w:r>
                <w:r w:rsidR="0037044C">
                  <w:rPr>
                    <w:noProof/>
                    <w:webHidden/>
                  </w:rPr>
                </w:r>
                <w:r w:rsidR="0037044C">
                  <w:rPr>
                    <w:noProof/>
                    <w:webHidden/>
                  </w:rPr>
                  <w:fldChar w:fldCharType="separate"/>
                </w:r>
                <w:r w:rsidR="0037044C">
                  <w:rPr>
                    <w:noProof/>
                    <w:webHidden/>
                  </w:rPr>
                  <w:t>53</w:t>
                </w:r>
                <w:r w:rsidR="0037044C">
                  <w:rPr>
                    <w:noProof/>
                    <w:webHidden/>
                  </w:rPr>
                  <w:fldChar w:fldCharType="end"/>
                </w:r>
              </w:hyperlink>
            </w:p>
            <w:p w:rsidR="0037044C" w:rsidRDefault="00CF5553">
              <w:pPr>
                <w:pStyle w:val="Obsah1"/>
                <w:tabs>
                  <w:tab w:val="left" w:pos="400"/>
                  <w:tab w:val="right" w:leader="dot" w:pos="8395"/>
                </w:tabs>
                <w:rPr>
                  <w:noProof/>
                  <w:lang w:val="cs-CZ"/>
                </w:rPr>
              </w:pPr>
              <w:hyperlink w:anchor="_Toc415707068" w:history="1">
                <w:r w:rsidR="0037044C" w:rsidRPr="00602FCA">
                  <w:rPr>
                    <w:rStyle w:val="Hypertextovodkaz"/>
                    <w:rFonts w:ascii="Times New Roman" w:hAnsi="Times New Roman" w:cs="Times New Roman"/>
                    <w:noProof/>
                  </w:rPr>
                  <w:t>5</w:t>
                </w:r>
                <w:r w:rsidR="0037044C">
                  <w:rPr>
                    <w:noProof/>
                    <w:lang w:val="cs-CZ"/>
                  </w:rPr>
                  <w:tab/>
                </w:r>
                <w:r w:rsidR="0037044C" w:rsidRPr="00602FCA">
                  <w:rPr>
                    <w:rStyle w:val="Hypertextovodkaz"/>
                    <w:rFonts w:ascii="Times New Roman" w:hAnsi="Times New Roman" w:cs="Times New Roman"/>
                    <w:noProof/>
                  </w:rPr>
                  <w:t>Discussion</w:t>
                </w:r>
                <w:r w:rsidR="0037044C">
                  <w:rPr>
                    <w:noProof/>
                    <w:webHidden/>
                  </w:rPr>
                  <w:tab/>
                </w:r>
                <w:r w:rsidR="0037044C">
                  <w:rPr>
                    <w:noProof/>
                    <w:webHidden/>
                  </w:rPr>
                  <w:fldChar w:fldCharType="begin"/>
                </w:r>
                <w:r w:rsidR="0037044C">
                  <w:rPr>
                    <w:noProof/>
                    <w:webHidden/>
                  </w:rPr>
                  <w:instrText xml:space="preserve"> PAGEREF _Toc415707068 \h </w:instrText>
                </w:r>
                <w:r w:rsidR="0037044C">
                  <w:rPr>
                    <w:noProof/>
                    <w:webHidden/>
                  </w:rPr>
                </w:r>
                <w:r w:rsidR="0037044C">
                  <w:rPr>
                    <w:noProof/>
                    <w:webHidden/>
                  </w:rPr>
                  <w:fldChar w:fldCharType="separate"/>
                </w:r>
                <w:r w:rsidR="0037044C">
                  <w:rPr>
                    <w:noProof/>
                    <w:webHidden/>
                  </w:rPr>
                  <w:t>56</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69" w:history="1">
                <w:r w:rsidR="0037044C" w:rsidRPr="00602FCA">
                  <w:rPr>
                    <w:rStyle w:val="Hypertextovodkaz"/>
                    <w:noProof/>
                  </w:rPr>
                  <w:t>5.1</w:t>
                </w:r>
                <w:r w:rsidR="0037044C">
                  <w:rPr>
                    <w:noProof/>
                    <w:lang w:val="cs-CZ"/>
                  </w:rPr>
                  <w:tab/>
                </w:r>
                <w:r w:rsidR="0037044C" w:rsidRPr="00602FCA">
                  <w:rPr>
                    <w:rStyle w:val="Hypertextovodkaz"/>
                    <w:noProof/>
                  </w:rPr>
                  <w:t>Physiological expandability</w:t>
                </w:r>
                <w:r w:rsidR="0037044C">
                  <w:rPr>
                    <w:noProof/>
                    <w:webHidden/>
                  </w:rPr>
                  <w:tab/>
                </w:r>
                <w:r w:rsidR="0037044C">
                  <w:rPr>
                    <w:noProof/>
                    <w:webHidden/>
                  </w:rPr>
                  <w:fldChar w:fldCharType="begin"/>
                </w:r>
                <w:r w:rsidR="0037044C">
                  <w:rPr>
                    <w:noProof/>
                    <w:webHidden/>
                  </w:rPr>
                  <w:instrText xml:space="preserve"> PAGEREF _Toc415707069 \h </w:instrText>
                </w:r>
                <w:r w:rsidR="0037044C">
                  <w:rPr>
                    <w:noProof/>
                    <w:webHidden/>
                  </w:rPr>
                </w:r>
                <w:r w:rsidR="0037044C">
                  <w:rPr>
                    <w:noProof/>
                    <w:webHidden/>
                  </w:rPr>
                  <w:fldChar w:fldCharType="separate"/>
                </w:r>
                <w:r w:rsidR="0037044C">
                  <w:rPr>
                    <w:noProof/>
                    <w:webHidden/>
                  </w:rPr>
                  <w:t>56</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70" w:history="1">
                <w:r w:rsidR="0037044C" w:rsidRPr="00602FCA">
                  <w:rPr>
                    <w:rStyle w:val="Hypertextovodkaz"/>
                    <w:noProof/>
                  </w:rPr>
                  <w:t>5.2</w:t>
                </w:r>
                <w:r w:rsidR="0037044C">
                  <w:rPr>
                    <w:noProof/>
                    <w:lang w:val="cs-CZ"/>
                  </w:rPr>
                  <w:tab/>
                </w:r>
                <w:r w:rsidR="0037044C" w:rsidRPr="00602FCA">
                  <w:rPr>
                    <w:rStyle w:val="Hypertextovodkaz"/>
                    <w:noProof/>
                  </w:rPr>
                  <w:t>Expandability in field of physical chemistry</w:t>
                </w:r>
                <w:r w:rsidR="0037044C">
                  <w:rPr>
                    <w:noProof/>
                    <w:webHidden/>
                  </w:rPr>
                  <w:tab/>
                </w:r>
                <w:r w:rsidR="0037044C">
                  <w:rPr>
                    <w:noProof/>
                    <w:webHidden/>
                  </w:rPr>
                  <w:fldChar w:fldCharType="begin"/>
                </w:r>
                <w:r w:rsidR="0037044C">
                  <w:rPr>
                    <w:noProof/>
                    <w:webHidden/>
                  </w:rPr>
                  <w:instrText xml:space="preserve"> PAGEREF _Toc415707070 \h </w:instrText>
                </w:r>
                <w:r w:rsidR="0037044C">
                  <w:rPr>
                    <w:noProof/>
                    <w:webHidden/>
                  </w:rPr>
                </w:r>
                <w:r w:rsidR="0037044C">
                  <w:rPr>
                    <w:noProof/>
                    <w:webHidden/>
                  </w:rPr>
                  <w:fldChar w:fldCharType="separate"/>
                </w:r>
                <w:r w:rsidR="0037044C">
                  <w:rPr>
                    <w:noProof/>
                    <w:webHidden/>
                  </w:rPr>
                  <w:t>57</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71" w:history="1">
                <w:r w:rsidR="0037044C" w:rsidRPr="00602FCA">
                  <w:rPr>
                    <w:rStyle w:val="Hypertextovodkaz"/>
                    <w:noProof/>
                  </w:rPr>
                  <w:t>5.3</w:t>
                </w:r>
                <w:r w:rsidR="0037044C">
                  <w:rPr>
                    <w:noProof/>
                    <w:lang w:val="cs-CZ"/>
                  </w:rPr>
                  <w:tab/>
                </w:r>
                <w:r w:rsidR="0037044C" w:rsidRPr="00602FCA">
                  <w:rPr>
                    <w:rStyle w:val="Hypertextovodkaz"/>
                    <w:noProof/>
                  </w:rPr>
                  <w:t>Computer Science expandability</w:t>
                </w:r>
                <w:r w:rsidR="0037044C">
                  <w:rPr>
                    <w:noProof/>
                    <w:webHidden/>
                  </w:rPr>
                  <w:tab/>
                </w:r>
                <w:r w:rsidR="0037044C">
                  <w:rPr>
                    <w:noProof/>
                    <w:webHidden/>
                  </w:rPr>
                  <w:fldChar w:fldCharType="begin"/>
                </w:r>
                <w:r w:rsidR="0037044C">
                  <w:rPr>
                    <w:noProof/>
                    <w:webHidden/>
                  </w:rPr>
                  <w:instrText xml:space="preserve"> PAGEREF _Toc415707071 \h </w:instrText>
                </w:r>
                <w:r w:rsidR="0037044C">
                  <w:rPr>
                    <w:noProof/>
                    <w:webHidden/>
                  </w:rPr>
                </w:r>
                <w:r w:rsidR="0037044C">
                  <w:rPr>
                    <w:noProof/>
                    <w:webHidden/>
                  </w:rPr>
                  <w:fldChar w:fldCharType="separate"/>
                </w:r>
                <w:r w:rsidR="0037044C">
                  <w:rPr>
                    <w:noProof/>
                    <w:webHidden/>
                  </w:rPr>
                  <w:t>59</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72" w:history="1">
                <w:r w:rsidR="0037044C" w:rsidRPr="00602FCA">
                  <w:rPr>
                    <w:rStyle w:val="Hypertextovodkaz"/>
                    <w:noProof/>
                  </w:rPr>
                  <w:t>5.4</w:t>
                </w:r>
                <w:r w:rsidR="0037044C">
                  <w:rPr>
                    <w:noProof/>
                    <w:lang w:val="cs-CZ"/>
                  </w:rPr>
                  <w:tab/>
                </w:r>
                <w:r w:rsidR="0037044C" w:rsidRPr="00602FCA">
                  <w:rPr>
                    <w:rStyle w:val="Hypertextovodkaz"/>
                    <w:noProof/>
                  </w:rPr>
                  <w:t>Mathematical expandability</w:t>
                </w:r>
                <w:r w:rsidR="0037044C">
                  <w:rPr>
                    <w:noProof/>
                    <w:webHidden/>
                  </w:rPr>
                  <w:tab/>
                </w:r>
                <w:r w:rsidR="0037044C">
                  <w:rPr>
                    <w:noProof/>
                    <w:webHidden/>
                  </w:rPr>
                  <w:fldChar w:fldCharType="begin"/>
                </w:r>
                <w:r w:rsidR="0037044C">
                  <w:rPr>
                    <w:noProof/>
                    <w:webHidden/>
                  </w:rPr>
                  <w:instrText xml:space="preserve"> PAGEREF _Toc415707072 \h </w:instrText>
                </w:r>
                <w:r w:rsidR="0037044C">
                  <w:rPr>
                    <w:noProof/>
                    <w:webHidden/>
                  </w:rPr>
                </w:r>
                <w:r w:rsidR="0037044C">
                  <w:rPr>
                    <w:noProof/>
                    <w:webHidden/>
                  </w:rPr>
                  <w:fldChar w:fldCharType="separate"/>
                </w:r>
                <w:r w:rsidR="0037044C">
                  <w:rPr>
                    <w:noProof/>
                    <w:webHidden/>
                  </w:rPr>
                  <w:t>60</w:t>
                </w:r>
                <w:r w:rsidR="0037044C">
                  <w:rPr>
                    <w:noProof/>
                    <w:webHidden/>
                  </w:rPr>
                  <w:fldChar w:fldCharType="end"/>
                </w:r>
              </w:hyperlink>
            </w:p>
            <w:p w:rsidR="0037044C" w:rsidRDefault="00CF5553">
              <w:pPr>
                <w:pStyle w:val="Obsah2"/>
                <w:tabs>
                  <w:tab w:val="left" w:pos="880"/>
                  <w:tab w:val="right" w:leader="dot" w:pos="8395"/>
                </w:tabs>
                <w:rPr>
                  <w:noProof/>
                  <w:lang w:val="cs-CZ"/>
                </w:rPr>
              </w:pPr>
              <w:hyperlink w:anchor="_Toc415707073" w:history="1">
                <w:r w:rsidR="0037044C" w:rsidRPr="00602FCA">
                  <w:rPr>
                    <w:rStyle w:val="Hypertextovodkaz"/>
                    <w:noProof/>
                  </w:rPr>
                  <w:t>5.5</w:t>
                </w:r>
                <w:r w:rsidR="0037044C">
                  <w:rPr>
                    <w:noProof/>
                    <w:lang w:val="cs-CZ"/>
                  </w:rPr>
                  <w:tab/>
                </w:r>
                <w:r w:rsidR="0037044C" w:rsidRPr="00602FCA">
                  <w:rPr>
                    <w:rStyle w:val="Hypertextovodkaz"/>
                    <w:noProof/>
                  </w:rPr>
                  <w:t>(In)Consistency</w:t>
                </w:r>
                <w:r w:rsidR="0037044C">
                  <w:rPr>
                    <w:noProof/>
                    <w:webHidden/>
                  </w:rPr>
                  <w:tab/>
                </w:r>
                <w:r w:rsidR="0037044C">
                  <w:rPr>
                    <w:noProof/>
                    <w:webHidden/>
                  </w:rPr>
                  <w:fldChar w:fldCharType="begin"/>
                </w:r>
                <w:r w:rsidR="0037044C">
                  <w:rPr>
                    <w:noProof/>
                    <w:webHidden/>
                  </w:rPr>
                  <w:instrText xml:space="preserve"> PAGEREF _Toc415707073 \h </w:instrText>
                </w:r>
                <w:r w:rsidR="0037044C">
                  <w:rPr>
                    <w:noProof/>
                    <w:webHidden/>
                  </w:rPr>
                </w:r>
                <w:r w:rsidR="0037044C">
                  <w:rPr>
                    <w:noProof/>
                    <w:webHidden/>
                  </w:rPr>
                  <w:fldChar w:fldCharType="separate"/>
                </w:r>
                <w:r w:rsidR="0037044C">
                  <w:rPr>
                    <w:noProof/>
                    <w:webHidden/>
                  </w:rPr>
                  <w:t>61</w:t>
                </w:r>
                <w:r w:rsidR="0037044C">
                  <w:rPr>
                    <w:noProof/>
                    <w:webHidden/>
                  </w:rPr>
                  <w:fldChar w:fldCharType="end"/>
                </w:r>
              </w:hyperlink>
            </w:p>
            <w:p w:rsidR="0037044C" w:rsidRDefault="00CF5553">
              <w:pPr>
                <w:pStyle w:val="Obsah1"/>
                <w:tabs>
                  <w:tab w:val="left" w:pos="400"/>
                  <w:tab w:val="right" w:leader="dot" w:pos="8395"/>
                </w:tabs>
                <w:rPr>
                  <w:noProof/>
                  <w:lang w:val="cs-CZ"/>
                </w:rPr>
              </w:pPr>
              <w:hyperlink w:anchor="_Toc415707074" w:history="1">
                <w:r w:rsidR="0037044C" w:rsidRPr="00602FCA">
                  <w:rPr>
                    <w:rStyle w:val="Hypertextovodkaz"/>
                    <w:rFonts w:ascii="Times New Roman" w:hAnsi="Times New Roman" w:cs="Times New Roman"/>
                    <w:noProof/>
                  </w:rPr>
                  <w:t>6</w:t>
                </w:r>
                <w:r w:rsidR="0037044C">
                  <w:rPr>
                    <w:noProof/>
                    <w:lang w:val="cs-CZ"/>
                  </w:rPr>
                  <w:tab/>
                </w:r>
                <w:r w:rsidR="0037044C" w:rsidRPr="00602FCA">
                  <w:rPr>
                    <w:rStyle w:val="Hypertextovodkaz"/>
                    <w:rFonts w:ascii="Times New Roman" w:hAnsi="Times New Roman" w:cs="Times New Roman"/>
                    <w:noProof/>
                  </w:rPr>
                  <w:t>Assessment of the aims</w:t>
                </w:r>
                <w:r w:rsidR="0037044C">
                  <w:rPr>
                    <w:noProof/>
                    <w:webHidden/>
                  </w:rPr>
                  <w:tab/>
                </w:r>
                <w:r w:rsidR="0037044C">
                  <w:rPr>
                    <w:noProof/>
                    <w:webHidden/>
                  </w:rPr>
                  <w:fldChar w:fldCharType="begin"/>
                </w:r>
                <w:r w:rsidR="0037044C">
                  <w:rPr>
                    <w:noProof/>
                    <w:webHidden/>
                  </w:rPr>
                  <w:instrText xml:space="preserve"> PAGEREF _Toc415707074 \h </w:instrText>
                </w:r>
                <w:r w:rsidR="0037044C">
                  <w:rPr>
                    <w:noProof/>
                    <w:webHidden/>
                  </w:rPr>
                </w:r>
                <w:r w:rsidR="0037044C">
                  <w:rPr>
                    <w:noProof/>
                    <w:webHidden/>
                  </w:rPr>
                  <w:fldChar w:fldCharType="separate"/>
                </w:r>
                <w:r w:rsidR="0037044C">
                  <w:rPr>
                    <w:noProof/>
                    <w:webHidden/>
                  </w:rPr>
                  <w:t>62</w:t>
                </w:r>
                <w:r w:rsidR="0037044C">
                  <w:rPr>
                    <w:noProof/>
                    <w:webHidden/>
                  </w:rPr>
                  <w:fldChar w:fldCharType="end"/>
                </w:r>
              </w:hyperlink>
            </w:p>
            <w:p w:rsidR="0037044C" w:rsidRDefault="00CF5553">
              <w:pPr>
                <w:pStyle w:val="Obsah1"/>
                <w:tabs>
                  <w:tab w:val="left" w:pos="400"/>
                  <w:tab w:val="right" w:leader="dot" w:pos="8395"/>
                </w:tabs>
                <w:rPr>
                  <w:noProof/>
                  <w:lang w:val="cs-CZ"/>
                </w:rPr>
              </w:pPr>
              <w:hyperlink w:anchor="_Toc415707075" w:history="1">
                <w:r w:rsidR="0037044C" w:rsidRPr="00602FCA">
                  <w:rPr>
                    <w:rStyle w:val="Hypertextovodkaz"/>
                    <w:rFonts w:ascii="Times New Roman" w:hAnsi="Times New Roman" w:cs="Times New Roman"/>
                    <w:noProof/>
                  </w:rPr>
                  <w:t>7</w:t>
                </w:r>
                <w:r w:rsidR="0037044C">
                  <w:rPr>
                    <w:noProof/>
                    <w:lang w:val="cs-CZ"/>
                  </w:rPr>
                  <w:tab/>
                </w:r>
                <w:r w:rsidR="0037044C" w:rsidRPr="00602FCA">
                  <w:rPr>
                    <w:rStyle w:val="Hypertextovodkaz"/>
                    <w:rFonts w:ascii="Times New Roman" w:hAnsi="Times New Roman" w:cs="Times New Roman"/>
                    <w:noProof/>
                  </w:rPr>
                  <w:t>Conclusion</w:t>
                </w:r>
                <w:r w:rsidR="0037044C">
                  <w:rPr>
                    <w:noProof/>
                    <w:webHidden/>
                  </w:rPr>
                  <w:tab/>
                </w:r>
                <w:r w:rsidR="0037044C">
                  <w:rPr>
                    <w:noProof/>
                    <w:webHidden/>
                  </w:rPr>
                  <w:fldChar w:fldCharType="begin"/>
                </w:r>
                <w:r w:rsidR="0037044C">
                  <w:rPr>
                    <w:noProof/>
                    <w:webHidden/>
                  </w:rPr>
                  <w:instrText xml:space="preserve"> PAGEREF _Toc415707075 \h </w:instrText>
                </w:r>
                <w:r w:rsidR="0037044C">
                  <w:rPr>
                    <w:noProof/>
                    <w:webHidden/>
                  </w:rPr>
                </w:r>
                <w:r w:rsidR="0037044C">
                  <w:rPr>
                    <w:noProof/>
                    <w:webHidden/>
                  </w:rPr>
                  <w:fldChar w:fldCharType="separate"/>
                </w:r>
                <w:r w:rsidR="0037044C">
                  <w:rPr>
                    <w:noProof/>
                    <w:webHidden/>
                  </w:rPr>
                  <w:t>62</w:t>
                </w:r>
                <w:r w:rsidR="0037044C">
                  <w:rPr>
                    <w:noProof/>
                    <w:webHidden/>
                  </w:rPr>
                  <w:fldChar w:fldCharType="end"/>
                </w:r>
              </w:hyperlink>
            </w:p>
            <w:p w:rsidR="0037044C" w:rsidRDefault="00CF5553">
              <w:pPr>
                <w:pStyle w:val="Obsah1"/>
                <w:tabs>
                  <w:tab w:val="left" w:pos="400"/>
                  <w:tab w:val="right" w:leader="dot" w:pos="8395"/>
                </w:tabs>
                <w:rPr>
                  <w:noProof/>
                  <w:lang w:val="cs-CZ"/>
                </w:rPr>
              </w:pPr>
              <w:hyperlink w:anchor="_Toc415707076" w:history="1">
                <w:r w:rsidR="0037044C" w:rsidRPr="00602FCA">
                  <w:rPr>
                    <w:rStyle w:val="Hypertextovodkaz"/>
                    <w:rFonts w:ascii="Times New Roman" w:hAnsi="Times New Roman" w:cs="Times New Roman"/>
                    <w:noProof/>
                  </w:rPr>
                  <w:t>8</w:t>
                </w:r>
                <w:r w:rsidR="0037044C">
                  <w:rPr>
                    <w:noProof/>
                    <w:lang w:val="cs-CZ"/>
                  </w:rPr>
                  <w:tab/>
                </w:r>
                <w:r w:rsidR="0037044C" w:rsidRPr="00602FCA">
                  <w:rPr>
                    <w:rStyle w:val="Hypertextovodkaz"/>
                    <w:rFonts w:ascii="Times New Roman" w:hAnsi="Times New Roman" w:cs="Times New Roman"/>
                    <w:noProof/>
                  </w:rPr>
                  <w:t>References</w:t>
                </w:r>
                <w:r w:rsidR="0037044C">
                  <w:rPr>
                    <w:noProof/>
                    <w:webHidden/>
                  </w:rPr>
                  <w:tab/>
                </w:r>
                <w:r w:rsidR="0037044C">
                  <w:rPr>
                    <w:noProof/>
                    <w:webHidden/>
                  </w:rPr>
                  <w:fldChar w:fldCharType="begin"/>
                </w:r>
                <w:r w:rsidR="0037044C">
                  <w:rPr>
                    <w:noProof/>
                    <w:webHidden/>
                  </w:rPr>
                  <w:instrText xml:space="preserve"> PAGEREF _Toc415707076 \h </w:instrText>
                </w:r>
                <w:r w:rsidR="0037044C">
                  <w:rPr>
                    <w:noProof/>
                    <w:webHidden/>
                  </w:rPr>
                </w:r>
                <w:r w:rsidR="0037044C">
                  <w:rPr>
                    <w:noProof/>
                    <w:webHidden/>
                  </w:rPr>
                  <w:fldChar w:fldCharType="separate"/>
                </w:r>
                <w:r w:rsidR="0037044C">
                  <w:rPr>
                    <w:noProof/>
                    <w:webHidden/>
                  </w:rPr>
                  <w:t>62</w:t>
                </w:r>
                <w:r w:rsidR="0037044C">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5707042"/>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91147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5707043"/>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0" w:name="_Toc415707044"/>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5707045"/>
          <w:r>
            <w:rPr>
              <w:rStyle w:val="Znaknadpisu1"/>
              <w:rFonts w:ascii="Times New Roman" w:hAnsi="Times New Roman" w:cs="Times New Roman"/>
            </w:rPr>
            <w:t>Goals of this work</w:t>
          </w:r>
          <w:bookmarkEnd w:id="11"/>
          <w:bookmarkEnd w:id="12"/>
          <w:bookmarkEnd w:id="13"/>
          <w:bookmarkEnd w:id="14"/>
          <w:bookmarkEnd w:id="15"/>
        </w:p>
        <w:p w:rsidR="0091147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911471" w:rsidRDefault="00911471" w:rsidP="00911471">
          <w:pPr>
            <w:shd w:val="clear" w:color="auto" w:fill="FFFFFF"/>
            <w:spacing w:after="0" w:line="274" w:lineRule="atLeast"/>
            <w:rPr>
              <w:rFonts w:ascii="Arial" w:eastAsia="Times New Roman" w:hAnsi="Arial" w:cs="Arial"/>
              <w:color w:val="616161"/>
              <w:sz w:val="19"/>
              <w:szCs w:val="19"/>
              <w:lang w:val="cs-CZ"/>
            </w:rPr>
          </w:pPr>
        </w:p>
        <w:p w:rsidR="00911471" w:rsidRPr="000860A9" w:rsidRDefault="00911471" w:rsidP="00911471">
          <w:pPr>
            <w:shd w:val="clear" w:color="auto" w:fill="FFFFFF"/>
            <w:spacing w:after="0" w:line="274" w:lineRule="atLeast"/>
            <w:rPr>
              <w:b/>
            </w:rPr>
          </w:pPr>
          <w:bookmarkStart w:id="16" w:name="_Toc415707046"/>
          <w:r>
            <w:rPr>
              <w:rStyle w:val="Znaknadpisu1"/>
              <w:rFonts w:ascii="Times New Roman" w:hAnsi="Times New Roman" w:cs="Times New Roman"/>
            </w:rPr>
            <w:t>Hypothesis:</w:t>
          </w:r>
          <w:bookmarkEnd w:id="16"/>
          <w:r>
            <w:rPr>
              <w:rStyle w:val="Znaknadpisu1"/>
              <w:rFonts w:ascii="Times New Roman" w:hAnsi="Times New Roman" w:cs="Times New Roman"/>
            </w:rPr>
            <w:t xml:space="preserve"> </w:t>
          </w:r>
          <w:r>
            <w:rPr>
              <w:b/>
            </w:rPr>
            <w:t>Are</w:t>
          </w:r>
          <w:r w:rsidRPr="000860A9">
            <w:rPr>
              <w:b/>
            </w:rPr>
            <w:t xml:space="preserve"> the last generation of sophisticated industry tools designed for </w:t>
          </w:r>
          <w:r>
            <w:rPr>
              <w:b/>
            </w:rPr>
            <w:t>dynamical</w:t>
          </w:r>
          <w:r w:rsidRPr="000860A9">
            <w:rPr>
              <w:b/>
            </w:rPr>
            <w:t xml:space="preserve"> simulation of huge complex </w:t>
          </w:r>
          <w:r>
            <w:rPr>
              <w:b/>
            </w:rPr>
            <w:t xml:space="preserve">systems and </w:t>
          </w:r>
          <w:r w:rsidRPr="000860A9">
            <w:rPr>
              <w:b/>
            </w:rPr>
            <w:t xml:space="preserve">machines </w:t>
          </w:r>
          <w:r>
            <w:rPr>
              <w:b/>
            </w:rPr>
            <w:t>suitable</w:t>
          </w:r>
          <w:r w:rsidRPr="000860A9">
            <w:rPr>
              <w:b/>
            </w:rPr>
            <w:t xml:space="preserve"> for exact formalization of integrative </w:t>
          </w:r>
          <w:r>
            <w:rPr>
              <w:b/>
            </w:rPr>
            <w:t xml:space="preserve">human </w:t>
          </w:r>
          <w:r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7" w:name="_Toc408842108"/>
          <w:bookmarkStart w:id="18" w:name="_Toc408844057"/>
          <w:bookmarkStart w:id="19" w:name="_Toc408845890"/>
          <w:bookmarkStart w:id="20" w:name="_Toc409289272"/>
          <w:bookmarkStart w:id="21" w:name="_Ref411703051"/>
          <w:bookmarkStart w:id="22" w:name="_Ref414120006"/>
          <w:bookmarkStart w:id="23" w:name="_Toc415707047"/>
          <w:r w:rsidRPr="00E562DD">
            <w:rPr>
              <w:rStyle w:val="Znaknadpisu1"/>
              <w:rFonts w:ascii="Times New Roman" w:hAnsi="Times New Roman" w:cs="Times New Roman"/>
            </w:rPr>
            <w:lastRenderedPageBreak/>
            <w:t>Methods</w:t>
          </w:r>
          <w:bookmarkEnd w:id="17"/>
          <w:bookmarkEnd w:id="18"/>
          <w:bookmarkEnd w:id="19"/>
          <w:bookmarkEnd w:id="20"/>
          <w:bookmarkEnd w:id="21"/>
          <w:bookmarkEnd w:id="22"/>
          <w:bookmarkEnd w:id="23"/>
        </w:p>
        <w:p w:rsidR="003362FC" w:rsidRPr="00E562DD" w:rsidRDefault="003362FC" w:rsidP="00911E3F">
          <w:pPr>
            <w:pStyle w:val="Nadpis2"/>
            <w:jc w:val="both"/>
            <w:rPr>
              <w:rStyle w:val="Znaknadpisu1"/>
              <w:rFonts w:ascii="Times New Roman" w:hAnsi="Times New Roman" w:cs="Times New Roman"/>
            </w:rPr>
          </w:pPr>
          <w:bookmarkStart w:id="24" w:name="_Toc408842109"/>
          <w:bookmarkStart w:id="25" w:name="_Toc408844058"/>
          <w:bookmarkStart w:id="26" w:name="_Toc408845891"/>
          <w:bookmarkStart w:id="27" w:name="_Toc409289273"/>
          <w:bookmarkStart w:id="28" w:name="_Ref411702778"/>
          <w:bookmarkStart w:id="29" w:name="_Toc415707048"/>
          <w:r w:rsidRPr="00E562DD">
            <w:rPr>
              <w:rStyle w:val="Znaknadpisu1"/>
              <w:rFonts w:ascii="Times New Roman" w:hAnsi="Times New Roman" w:cs="Times New Roman"/>
            </w:rPr>
            <w:t>Physical principles</w:t>
          </w:r>
          <w:bookmarkEnd w:id="24"/>
          <w:bookmarkEnd w:id="25"/>
          <w:bookmarkEnd w:id="26"/>
          <w:bookmarkEnd w:id="27"/>
          <w:bookmarkEnd w:id="28"/>
          <w:bookmarkEnd w:id="2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0" w:name="_International_system_of"/>
          <w:bookmarkStart w:id="31" w:name="_Toc408842110"/>
          <w:bookmarkStart w:id="32" w:name="_Toc408844059"/>
          <w:bookmarkStart w:id="33" w:name="_Toc408845892"/>
          <w:bookmarkStart w:id="34" w:name="_Toc409289274"/>
          <w:bookmarkEnd w:id="30"/>
          <w:r w:rsidRPr="006664FD">
            <w:t>International system of units</w:t>
          </w:r>
          <w:bookmarkEnd w:id="31"/>
          <w:bookmarkEnd w:id="32"/>
          <w:bookmarkEnd w:id="33"/>
          <w:bookmarkEnd w:id="34"/>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6" w:name="_Toc408842111"/>
          <w:bookmarkStart w:id="37" w:name="_Toc408844060"/>
          <w:bookmarkStart w:id="38" w:name="_Toc408845893"/>
          <w:bookmarkStart w:id="39" w:name="_Toc409289275"/>
          <w:r w:rsidRPr="00E562DD">
            <w:t xml:space="preserve">Redundant </w:t>
          </w:r>
          <w:r w:rsidR="008E24D5" w:rsidRPr="00E562DD">
            <w:t xml:space="preserve">physical </w:t>
          </w:r>
          <w:r w:rsidRPr="00E562DD">
            <w:t>quantities</w:t>
          </w:r>
          <w:bookmarkEnd w:id="36"/>
          <w:bookmarkEnd w:id="37"/>
          <w:bookmarkEnd w:id="38"/>
          <w:bookmarkEnd w:id="3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0" w:name="_Ref408707762"/>
          <w:bookmarkStart w:id="41" w:name="_Toc408842112"/>
          <w:bookmarkStart w:id="42" w:name="_Toc408844061"/>
          <w:bookmarkStart w:id="43" w:name="_Toc408845894"/>
          <w:bookmarkStart w:id="44" w:name="_Toc409289276"/>
          <w:r w:rsidRPr="00E562DD">
            <w:t>Conservation laws</w:t>
          </w:r>
          <w:bookmarkEnd w:id="40"/>
          <w:bookmarkEnd w:id="41"/>
          <w:bookmarkEnd w:id="42"/>
          <w:bookmarkEnd w:id="43"/>
          <w:bookmarkEnd w:id="44"/>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5" w:name="_Toc408842113"/>
          <w:bookmarkStart w:id="46" w:name="_Toc408844062"/>
          <w:bookmarkStart w:id="47" w:name="_Toc408845895"/>
          <w:bookmarkStart w:id="48" w:name="_Toc409289277"/>
          <w:bookmarkStart w:id="49" w:name="_Ref411702597"/>
          <w:bookmarkStart w:id="50" w:name="_Toc415707049"/>
          <w:r w:rsidRPr="00E562DD">
            <w:rPr>
              <w:rFonts w:ascii="Times New Roman" w:hAnsi="Times New Roman" w:cs="Times New Roman"/>
            </w:rPr>
            <w:t>Modelica Principles</w:t>
          </w:r>
          <w:bookmarkEnd w:id="45"/>
          <w:bookmarkEnd w:id="46"/>
          <w:bookmarkEnd w:id="47"/>
          <w:bookmarkEnd w:id="48"/>
          <w:bookmarkEnd w:id="49"/>
          <w:bookmarkEnd w:id="50"/>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1" w:name="_Floating_point_numbers"/>
          <w:bookmarkStart w:id="52" w:name="_Toc408842114"/>
          <w:bookmarkStart w:id="53" w:name="_Toc408844063"/>
          <w:bookmarkStart w:id="54" w:name="_Toc408845896"/>
          <w:bookmarkStart w:id="55" w:name="_Toc409289278"/>
          <w:bookmarkEnd w:id="51"/>
          <w:r w:rsidRPr="00E562DD">
            <w:t>Floating point numbers</w:t>
          </w:r>
          <w:bookmarkEnd w:id="52"/>
          <w:bookmarkEnd w:id="53"/>
          <w:bookmarkEnd w:id="54"/>
          <w:bookmarkEnd w:id="55"/>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xml:space="preserve">. For example, what does it means, if we </w:t>
          </w:r>
          <w:r w:rsidR="00DB6EE4" w:rsidRPr="00E562DD">
            <w:rPr>
              <w:rFonts w:ascii="Times New Roman" w:hAnsi="Times New Roman" w:cs="Times New Roman"/>
            </w:rPr>
            <w:lastRenderedPageBreak/>
            <w:t>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6" w:name="_Toc408842115"/>
          <w:bookmarkStart w:id="57" w:name="_Toc408844064"/>
          <w:bookmarkStart w:id="58" w:name="_Toc408845897"/>
          <w:bookmarkStart w:id="59" w:name="_Toc409289279"/>
          <w:r>
            <w:t xml:space="preserve">Object-oriented </w:t>
          </w:r>
          <w:r w:rsidR="00D854E2">
            <w:t>programming</w:t>
          </w:r>
          <w:bookmarkEnd w:id="56"/>
          <w:bookmarkEnd w:id="57"/>
          <w:bookmarkEnd w:id="58"/>
          <w:bookmarkEnd w:id="59"/>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lastRenderedPageBreak/>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0"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1</w:t>
          </w:r>
          <w:r w:rsidRPr="00E562DD">
            <w:rPr>
              <w:rFonts w:ascii="Times New Roman" w:hAnsi="Times New Roman" w:cs="Times New Roman"/>
            </w:rPr>
            <w:fldChar w:fldCharType="end"/>
          </w:r>
          <w:bookmarkEnd w:id="60"/>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1" w:name="_Toc408842116"/>
          <w:bookmarkStart w:id="62" w:name="_Toc408844065"/>
          <w:bookmarkStart w:id="63" w:name="_Toc408845898"/>
          <w:bookmarkStart w:id="64" w:name="_Toc409289280"/>
          <w:r w:rsidRPr="00E562DD">
            <w:t>Connections</w:t>
          </w:r>
          <w:bookmarkEnd w:id="61"/>
          <w:bookmarkEnd w:id="62"/>
          <w:bookmarkEnd w:id="63"/>
          <w:bookmarkEnd w:id="64"/>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5" w:name="_Toc408842118"/>
          <w:bookmarkStart w:id="66" w:name="_Toc408844067"/>
          <w:bookmarkStart w:id="67" w:name="_Toc408845900"/>
          <w:bookmarkStart w:id="68"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69" w:name="_Ref411702997"/>
          <w:bookmarkStart w:id="70" w:name="_Toc415707050"/>
          <w:r w:rsidRPr="00E562DD">
            <w:rPr>
              <w:rStyle w:val="Znaknadpisu1"/>
              <w:rFonts w:ascii="Times New Roman" w:hAnsi="Times New Roman" w:cs="Times New Roman"/>
            </w:rPr>
            <w:t>Physiolibrary</w:t>
          </w:r>
          <w:bookmarkEnd w:id="65"/>
          <w:bookmarkEnd w:id="66"/>
          <w:bookmarkEnd w:id="67"/>
          <w:bookmarkEnd w:id="68"/>
          <w:bookmarkEnd w:id="69"/>
          <w:bookmarkEnd w:id="70"/>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1"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1"/>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55A04025" wp14:editId="7FC9ABD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6D38172" wp14:editId="2B19E0EF">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CF5553"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CF5553"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CF5553"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D707AB" wp14:editId="464DF29A">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760E2BA" wp14:editId="1AE6B8D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04CC2BB" wp14:editId="3BD7382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89585165"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A912CAB" wp14:editId="3E6B7E6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DE016D" wp14:editId="2BE986AB">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89585166"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89585167"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E02051" wp14:editId="0944A73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9D05A2D" wp14:editId="39203EB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51318E6" wp14:editId="68AEF34A">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89585168"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B83F84" wp14:editId="2969786E">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E3DE6C2" wp14:editId="37CA6F4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89585169"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89585170"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89585171"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89585172"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5707051"/>
          <w:r w:rsidRPr="00E562DD">
            <w:rPr>
              <w:rFonts w:ascii="Times New Roman" w:hAnsi="Times New Roman" w:cs="Times New Roman"/>
            </w:rPr>
            <w:lastRenderedPageBreak/>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5707052"/>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(u</w:t>
          </w:r>
          <w:proofErr w:type="gramStart"/>
          <w:r w:rsidR="00AD2DE0" w:rsidRPr="00E562DD">
            <w:rPr>
              <w:rFonts w:ascii="Times New Roman" w:hAnsi="Times New Roman" w:cs="Times New Roman"/>
            </w:rPr>
            <w:t>,v</w:t>
          </w:r>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w:t>
          </w:r>
          <w:proofErr w:type="gramStart"/>
          <w:r w:rsidR="00FB43D1" w:rsidRPr="00E562DD">
            <w:rPr>
              <w:rFonts w:ascii="Times New Roman" w:hAnsi="Times New Roman" w:cs="Times New Roman"/>
            </w:rPr>
            <w:t>,b,c,d</w:t>
          </w:r>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5707053"/>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5707054"/>
          <w:r w:rsidRPr="00FB4072">
            <w:rPr>
              <w:rFonts w:ascii="Times New Roman" w:hAnsi="Times New Roman" w:cs="Times New Roman"/>
            </w:rPr>
            <w:t>Chemical domain</w:t>
          </w:r>
          <w:bookmarkEnd w:id="93"/>
          <w:bookmarkEnd w:id="94"/>
          <w:bookmarkEnd w:id="95"/>
          <w:bookmarkEnd w:id="96"/>
          <w:bookmarkEnd w:id="97"/>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8"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8"/>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99"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9"/>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gramStart"/>
          <w:r w:rsidR="00C65337">
            <w:rPr>
              <w:rFonts w:ascii="Times New Roman" w:hAnsi="Times New Roman" w:cs="Times New Roman"/>
            </w:rPr>
            <w:t>dH</w:t>
          </w:r>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0"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0"/>
                <w:r w:rsidR="00FC027A">
                  <w:t>, Heat Flow</w:t>
                </w:r>
              </w:p>
            </w:tc>
          </w:tr>
          <w:tr w:rsidR="007232ED" w:rsidTr="00FC027A">
            <w:trPr>
              <w:trHeight w:val="999"/>
            </w:trPr>
            <w:tc>
              <w:tcPr>
                <w:tcW w:w="7230" w:type="dxa"/>
                <w:vAlign w:val="center"/>
              </w:tcPr>
              <w:p w:rsidR="007232ED" w:rsidRDefault="00CF555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1" w:name="_Ref407015552"/>
                <w:bookmarkStart w:id="102"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1"/>
                <w:r w:rsidR="00FC027A">
                  <w:t>, Van’t Hoff</w:t>
                </w:r>
                <w:bookmarkEnd w:id="102"/>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w:t>
          </w:r>
          <w:r w:rsidR="001D0190">
            <w:rPr>
              <w:rFonts w:ascii="Times New Roman" w:hAnsi="Times New Roman" w:cs="Times New Roman"/>
            </w:rPr>
            <w:t>γ</w:t>
          </w:r>
          <w:r w:rsidR="007D7D7E">
            <w:rPr>
              <w:rFonts w:ascii="Times New Roman" w:hAnsi="Times New Roman" w:cs="Times New Roman"/>
            </w:rPr>
            <w:t xml:space="preserve">,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CF5553" w:rsidP="001D0190">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ri</m:t>
                            </m:r>
                          </m:sup>
                        </m:sSup>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pj</m:t>
                            </m:r>
                          </m:sup>
                        </m:sSup>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3" w:name="_Ref406950750"/>
                <w:bookmarkStart w:id="104"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3"/>
                <w:r w:rsidR="00FC027A">
                  <w:t>, Reaction</w:t>
                </w:r>
                <w:bookmarkEnd w:id="104"/>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gramStart"/>
          <w:r w:rsidRPr="0046121A">
            <w:rPr>
              <w:rFonts w:ascii="Times New Roman" w:hAnsi="Times New Roman" w:cs="Times New Roman"/>
              <w:i/>
            </w:rPr>
            <w:t>dH</w:t>
          </w:r>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5"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5"/>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CF5553"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6"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6"/>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Van’t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7"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7"/>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proofErr w:type="gramStart"/>
          <w:r w:rsidR="00316EE2" w:rsidRPr="0046121A">
            <w:rPr>
              <w:rFonts w:ascii="Times New Roman" w:hAnsi="Times New Roman" w:cs="Times New Roman"/>
              <w:i/>
            </w:rPr>
            <w:t>dH</w:t>
          </w:r>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CF5553"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8" w:name="_Ref407019810"/>
                <w:bookmarkStart w:id="109"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8"/>
                <w:r w:rsidR="00FC027A">
                  <w:t>, Electroneutrality</w:t>
                </w:r>
                <w:bookmarkEnd w:id="109"/>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The ratio coefficient for each cation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CF555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0" w:name="_Ref406968198"/>
                <w:bookmarkStart w:id="111"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0"/>
                <w:r w:rsidR="00FC027A">
                  <w:t>, Membrane</w:t>
                </w:r>
                <w:bookmarkEnd w:id="111"/>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gramStart"/>
          <w:r>
            <w:rPr>
              <w:rFonts w:ascii="Times New Roman" w:hAnsi="Times New Roman" w:cs="Times New Roman"/>
            </w:rPr>
            <w:t>specificForm</w:t>
          </w:r>
          <w:r w:rsidR="00D20BA4">
            <w:rPr>
              <w:rFonts w:ascii="Times New Roman" w:hAnsi="Times New Roman" w:cs="Times New Roman"/>
            </w:rPr>
            <w:t>Conc</w:t>
          </w:r>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2"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2"/>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CF5553"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3"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3"/>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4"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4"/>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5" w:name="_Toc408842123"/>
          <w:bookmarkStart w:id="116" w:name="_Toc408844072"/>
          <w:bookmarkStart w:id="117" w:name="_Toc408845905"/>
          <w:bookmarkStart w:id="118" w:name="_Toc409289287"/>
          <w:bookmarkStart w:id="119" w:name="_Toc415707055"/>
          <w:r w:rsidRPr="00E562DD">
            <w:rPr>
              <w:rFonts w:ascii="Times New Roman" w:hAnsi="Times New Roman" w:cs="Times New Roman"/>
            </w:rPr>
            <w:t>Osmotic domain</w:t>
          </w:r>
          <w:bookmarkEnd w:id="115"/>
          <w:bookmarkEnd w:id="116"/>
          <w:bookmarkEnd w:id="117"/>
          <w:bookmarkEnd w:id="118"/>
          <w:bookmarkEnd w:id="119"/>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(mmol/L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0"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0"/>
                <w:r w:rsidR="00FC027A">
                  <w:t>, Osmotic Cell</w:t>
                </w:r>
              </w:p>
            </w:tc>
          </w:tr>
          <w:tr w:rsidR="00FB4072" w:rsidTr="00FB4072">
            <w:trPr>
              <w:trHeight w:val="594"/>
            </w:trPr>
            <w:tc>
              <w:tcPr>
                <w:tcW w:w="7230" w:type="dxa"/>
                <w:vAlign w:val="center"/>
              </w:tcPr>
              <w:p w:rsidR="00FB4072" w:rsidRDefault="00CF555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1"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1"/>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2" w:name="_Ref407706467"/>
                <w:bookmarkStart w:id="123"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2"/>
                <w:r w:rsidR="00FC027A">
                  <w:t>, Permeability</w:t>
                </w:r>
                <w:bookmarkEnd w:id="123"/>
              </w:p>
            </w:tc>
          </w:tr>
          <w:tr w:rsidR="008407C4" w:rsidTr="00FC027A">
            <w:trPr>
              <w:trHeight w:val="567"/>
            </w:trPr>
            <w:tc>
              <w:tcPr>
                <w:tcW w:w="6804" w:type="dxa"/>
                <w:vAlign w:val="center"/>
              </w:tcPr>
              <w:p w:rsidR="008407C4" w:rsidRDefault="00CF555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4" w:name="_Ref407706897"/>
                <w:bookmarkStart w:id="125"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4"/>
                <w:r w:rsidR="00FC027A">
                  <w:t>, Osmotic Pressure</w:t>
                </w:r>
                <w:bookmarkEnd w:id="125"/>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proofErr w:type="gramStart"/>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CF5553"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6"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6"/>
                <w:r w:rsidR="00FC027A">
                  <w:t>, Ideal Filtration</w:t>
                </w:r>
              </w:p>
            </w:tc>
          </w:tr>
          <w:tr w:rsidR="006B5221" w:rsidTr="00FC027A">
            <w:trPr>
              <w:trHeight w:val="723"/>
            </w:trPr>
            <w:tc>
              <w:tcPr>
                <w:tcW w:w="7088" w:type="dxa"/>
                <w:vAlign w:val="center"/>
              </w:tcPr>
              <w:p w:rsidR="006B5221" w:rsidRDefault="00CF5553"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7"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7"/>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8"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8"/>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29"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9"/>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r w:rsidR="00427146" w:rsidRPr="00427146">
            <w:rPr>
              <w:rFonts w:ascii="Times New Roman" w:hAnsi="Times New Roman" w:cs="Times New Roman"/>
              <w:i/>
            </w:rPr>
            <w:t>fract</w:t>
          </w:r>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15707056"/>
          <w:r w:rsidRPr="00E562DD">
            <w:rPr>
              <w:rFonts w:ascii="Times New Roman" w:hAnsi="Times New Roman" w:cs="Times New Roman"/>
            </w:rPr>
            <w:t>Thermal domain</w:t>
          </w:r>
          <w:bookmarkEnd w:id="130"/>
          <w:bookmarkEnd w:id="131"/>
          <w:bookmarkEnd w:id="132"/>
          <w:bookmarkEnd w:id="133"/>
          <w:bookmarkEnd w:id="134"/>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5"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5"/>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6"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6"/>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7"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7"/>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8" w:name="_Ref408222815"/>
                <w:bookmarkStart w:id="139"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38"/>
                <w:r w:rsidR="00FC027A">
                  <w:t>, Stream</w:t>
                </w:r>
                <w:bookmarkEnd w:id="139"/>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CF5553"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0" w:name="_Ref408238917"/>
                <w:bookmarkStart w:id="141"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0"/>
                <w:r w:rsidR="00FC027A">
                  <w:t>, Ideal Radiator</w:t>
                </w:r>
                <w:bookmarkEnd w:id="141"/>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2"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2"/>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3" w:name="_Toc408842125"/>
          <w:bookmarkStart w:id="144" w:name="_Toc408844074"/>
          <w:bookmarkStart w:id="145" w:name="_Toc408845907"/>
          <w:bookmarkStart w:id="146" w:name="_Toc409289289"/>
          <w:bookmarkStart w:id="147" w:name="_Toc415707057"/>
          <w:r w:rsidRPr="00E562DD">
            <w:rPr>
              <w:rFonts w:ascii="Times New Roman" w:hAnsi="Times New Roman" w:cs="Times New Roman"/>
            </w:rPr>
            <w:lastRenderedPageBreak/>
            <w:t>Hydraulic domain</w:t>
          </w:r>
          <w:bookmarkEnd w:id="143"/>
          <w:bookmarkEnd w:id="144"/>
          <w:bookmarkEnd w:id="145"/>
          <w:bookmarkEnd w:id="146"/>
          <w:bookmarkEnd w:id="147"/>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8"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8"/>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49" w:name="_Ref408240831"/>
                <w:bookmarkStart w:id="150"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49"/>
                <w:r w:rsidR="00D823CA">
                  <w:t>, ElasticVessel</w:t>
                </w:r>
                <w:bookmarkEnd w:id="150"/>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1"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1"/>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CF555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2" w:name="_Ref408302351"/>
                <w:bookmarkStart w:id="153"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2"/>
                <w:r w:rsidR="00D823CA">
                  <w:t>, Hydrostatic</w:t>
                </w:r>
                <w:bookmarkEnd w:id="153"/>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4"/>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5"/>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6" w:name="_Toc408842126"/>
          <w:bookmarkStart w:id="157" w:name="_Toc408844075"/>
          <w:bookmarkStart w:id="158" w:name="_Toc408845908"/>
          <w:bookmarkStart w:id="159" w:name="_Toc409289290"/>
          <w:bookmarkStart w:id="160" w:name="_Toc415707058"/>
          <w:r>
            <w:rPr>
              <w:rFonts w:ascii="Times New Roman" w:hAnsi="Times New Roman" w:cs="Times New Roman"/>
            </w:rPr>
            <w:t>Population domain</w:t>
          </w:r>
          <w:bookmarkEnd w:id="156"/>
          <w:bookmarkEnd w:id="157"/>
          <w:bookmarkEnd w:id="158"/>
          <w:bookmarkEnd w:id="159"/>
          <w:bookmarkEnd w:id="160"/>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1" w:name="_Ref408439075"/>
                <w:bookmarkStart w:id="162"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1"/>
                <w:r w:rsidR="00D823CA">
                  <w:t>, Population</w:t>
                </w:r>
                <w:bookmarkEnd w:id="162"/>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gramStart"/>
          <w:r w:rsidRPr="00657D7F">
            <w:rPr>
              <w:i/>
            </w:rPr>
            <w:t>populationChange(</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3"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3"/>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4" w:name="_Toc408844076"/>
      <w:bookmarkStart w:id="165" w:name="_Toc409289291"/>
      <w:bookmarkStart w:id="166" w:name="_Ref411702902"/>
      <w:bookmarkStart w:id="167" w:name="_Ref411730094"/>
      <w:bookmarkStart w:id="168" w:name="_Ref414119805"/>
      <w:bookmarkStart w:id="169" w:name="_Ref414120743"/>
      <w:bookmarkStart w:id="170" w:name="_Toc415707059"/>
      <w:r w:rsidRPr="003A5773">
        <w:rPr>
          <w:rStyle w:val="Znaknadpisu1"/>
          <w:rFonts w:ascii="Times New Roman" w:hAnsi="Times New Roman" w:cs="Times New Roman"/>
        </w:rPr>
        <w:lastRenderedPageBreak/>
        <w:t>Physiomodel</w:t>
      </w:r>
      <w:bookmarkEnd w:id="164"/>
      <w:bookmarkEnd w:id="165"/>
      <w:bookmarkEnd w:id="166"/>
      <w:bookmarkEnd w:id="167"/>
      <w:bookmarkEnd w:id="168"/>
      <w:bookmarkEnd w:id="169"/>
      <w:bookmarkEnd w:id="170"/>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5707060"/>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605DFD">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0" w:name="_Ref414302023"/>
      <w:r>
        <w:t>C</w:t>
      </w:r>
      <w:r w:rsidR="007343A6">
        <w:t>omparison with HumMod v1.6</w:t>
      </w:r>
      <w:bookmarkEnd w:id="190"/>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1" w:name="_Toc415707061"/>
      <w:r>
        <w:rPr>
          <w:rStyle w:val="Znaknadpisu1"/>
          <w:rFonts w:ascii="Times New Roman" w:hAnsi="Times New Roman" w:cs="Times New Roman"/>
        </w:rPr>
        <w:t>Body Water</w:t>
      </w:r>
      <w:bookmarkEnd w:id="191"/>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2"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2"/>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3"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3"/>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4"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4"/>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5" w:name="_Toc409289299"/>
      <w:r w:rsidRPr="00345A7A">
        <w:t>Extracellular proteins</w:t>
      </w:r>
      <w:bookmarkEnd w:id="195"/>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6" w:name="_Ref409452626"/>
      <w:bookmarkStart w:id="197"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6"/>
      <w:r w:rsidRPr="003A5773">
        <w:rPr>
          <w:rFonts w:ascii="Times New Roman" w:hAnsi="Times New Roman" w:cs="Times New Roman"/>
        </w:rPr>
        <w:t>, Typical plasma proteins concentrations [mmol/l]</w:t>
      </w:r>
      <w:bookmarkEnd w:id="197"/>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8" w:name="_Ref409452963"/>
      <w:bookmarkStart w:id="199"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8"/>
      <w:r w:rsidRPr="003A5773">
        <w:rPr>
          <w:rFonts w:ascii="Times New Roman" w:hAnsi="Times New Roman" w:cs="Times New Roman"/>
        </w:rPr>
        <w:t>, Typical protein concentrations in interstitium [mmol/l]</w:t>
      </w:r>
      <w:bookmarkEnd w:id="199"/>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200" w:name="_Ref409453019"/>
      <w:bookmarkStart w:id="201"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0"/>
      <w:r>
        <w:t>, Subsystem of Extracellular Proteins</w:t>
      </w:r>
      <w:bookmarkEnd w:id="201"/>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2" w:name="_Toc409289300"/>
      <w:r w:rsidRPr="00345A7A">
        <w:t>Gastro intestinal water absorption</w:t>
      </w:r>
      <w:bookmarkEnd w:id="202"/>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(GILumen), where it has the mean osmolarity about 253 mosm/</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3"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3"/>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4" w:name="_Toc409289301"/>
      <w:r w:rsidRPr="00345A7A">
        <w:t>Upper/Middle/Lower torso water</w:t>
      </w:r>
      <w:bookmarkEnd w:id="204"/>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6" w:name="_Toc409289302"/>
      <w:r w:rsidRPr="00345A7A">
        <w:t>Kidney</w:t>
      </w:r>
      <w:r w:rsidR="007D270F">
        <w:t xml:space="preserve"> water excretion</w:t>
      </w:r>
      <w:bookmarkEnd w:id="20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7" w:name="_Toc409289303"/>
      <w:r>
        <w:t>Hydrostatic</w:t>
      </w:r>
      <w:r w:rsidR="007D270F">
        <w:t xml:space="preserve"> spillover</w:t>
      </w:r>
      <w:bookmarkEnd w:id="207"/>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08" w:name="_Ref414302036"/>
      <w:r>
        <w:t>Relational comparison with HumMod 1.6.1</w:t>
      </w:r>
      <w:bookmarkEnd w:id="208"/>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209" w:name="_Toc409289305"/>
      <w:bookmarkStart w:id="210" w:name="_Ref412813307"/>
      <w:bookmarkStart w:id="211" w:name="_Ref412813310"/>
      <w:bookmarkStart w:id="212" w:name="_Toc415707062"/>
      <w:r w:rsidRPr="003A5773">
        <w:rPr>
          <w:rStyle w:val="Znaknadpisu1"/>
          <w:rFonts w:ascii="Times New Roman" w:hAnsi="Times New Roman" w:cs="Times New Roman"/>
        </w:rPr>
        <w:t>Hormones</w:t>
      </w:r>
      <w:bookmarkEnd w:id="209"/>
      <w:bookmarkEnd w:id="210"/>
      <w:bookmarkEnd w:id="211"/>
      <w:bookmarkEnd w:id="212"/>
    </w:p>
    <w:p w:rsidR="00752A9E" w:rsidRDefault="001F6B45" w:rsidP="00911E3F">
      <w:pPr>
        <w:pStyle w:val="Nadpis3"/>
        <w:jc w:val="both"/>
      </w:pPr>
      <w:bookmarkStart w:id="213" w:name="_Toc409289307"/>
      <w:r>
        <w:t xml:space="preserve">Anti-Diuretic Hormone (ADH, </w:t>
      </w:r>
      <w:r w:rsidR="00752A9E" w:rsidRPr="007D270F">
        <w:t>Vasopressin</w:t>
      </w:r>
      <w:bookmarkEnd w:id="213"/>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4"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4"/>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5"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5"/>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6" w:name="_Toc409289306"/>
      <w:bookmarkStart w:id="217" w:name="_Toc409289308"/>
      <w:r>
        <w:t>Atriopeptin</w:t>
      </w:r>
      <w:bookmarkEnd w:id="216"/>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8"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8"/>
      <w:r>
        <w:t>, Atrium Natriuretic Peptide</w:t>
      </w:r>
    </w:p>
    <w:p w:rsidR="001F6B45" w:rsidRDefault="001F6B45" w:rsidP="00911E3F">
      <w:pPr>
        <w:pStyle w:val="Nadpis3"/>
        <w:jc w:val="both"/>
      </w:pPr>
      <w:bookmarkStart w:id="219" w:name="_Toc409289312"/>
      <w:r>
        <w:t>Catecholamines</w:t>
      </w:r>
      <w:bookmarkEnd w:id="219"/>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0" w:name="_Toc409289313"/>
      <w:r>
        <w:t>Erythropoietin</w:t>
      </w:r>
      <w:bookmarkEnd w:id="220"/>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1" w:name="_Toc409289309"/>
      <w:r w:rsidRPr="007D270F">
        <w:t>Insulin</w:t>
      </w:r>
      <w:r>
        <w:t xml:space="preserve"> and glucagon</w:t>
      </w:r>
      <w:bookmarkEnd w:id="221"/>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2" w:name="_Toc409289310"/>
      <w:r w:rsidRPr="007D270F">
        <w:t>Leptin</w:t>
      </w:r>
      <w:bookmarkEnd w:id="222"/>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7"/>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3" w:name="_Toc409289311"/>
      <w:r w:rsidRPr="007D270F">
        <w:t>Thyroid hormones</w:t>
      </w:r>
      <w:bookmarkEnd w:id="223"/>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24" w:name="_Ref414302041"/>
      <w:r>
        <w:t>C</w:t>
      </w:r>
      <w:r w:rsidR="00B04BF4">
        <w:t>omparison with HumMod 1.6</w:t>
      </w:r>
      <w:bookmarkEnd w:id="224"/>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w:t>
      </w:r>
      <w:proofErr w:type="gramStart"/>
      <w:r>
        <w:t>iu</w:t>
      </w:r>
      <w:proofErr w:type="gramEnd"/>
      <w:r>
        <w:t xml:space="preserve">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5" w:name="_Toc409289314"/>
      <w:bookmarkStart w:id="226" w:name="_Toc415707063"/>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5"/>
      <w:bookmarkEnd w:id="226"/>
    </w:p>
    <w:p w:rsidR="00A42A08" w:rsidRDefault="00A42A08" w:rsidP="00911E3F">
      <w:pPr>
        <w:pStyle w:val="Nadpis3"/>
        <w:jc w:val="both"/>
      </w:pPr>
      <w:bookmarkStart w:id="227" w:name="_Toc409289315"/>
      <w:bookmarkStart w:id="228" w:name="_Ref411275309"/>
      <w:bookmarkStart w:id="229" w:name="_Ref413744727"/>
      <w:bookmarkStart w:id="230" w:name="_Ref414302297"/>
      <w:r w:rsidRPr="007D270F">
        <w:t>Acid-base</w:t>
      </w:r>
      <w:bookmarkEnd w:id="227"/>
      <w:bookmarkEnd w:id="228"/>
      <w:bookmarkEnd w:id="229"/>
      <w:bookmarkEnd w:id="230"/>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1"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1"/>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2" w:name="_Ref410726698"/>
      <w:r>
        <w:t xml:space="preserve">Table </w:t>
      </w:r>
      <w:r>
        <w:fldChar w:fldCharType="begin"/>
      </w:r>
      <w:r>
        <w:instrText xml:space="preserve"> SEQ Table \* ARABIC </w:instrText>
      </w:r>
      <w:r>
        <w:fldChar w:fldCharType="separate"/>
      </w:r>
      <w:r>
        <w:rPr>
          <w:noProof/>
        </w:rPr>
        <w:t>12</w:t>
      </w:r>
      <w:r>
        <w:fldChar w:fldCharType="end"/>
      </w:r>
      <w:bookmarkEnd w:id="232"/>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3" w:name="_Toc409289316"/>
      <w:r>
        <w:t>Kidney acid-base regulation</w:t>
      </w:r>
      <w:bookmarkEnd w:id="233"/>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4" w:name="_Toc409289317"/>
      <w:r w:rsidR="007D270F">
        <w:t>dium</w:t>
      </w:r>
      <w:bookmarkEnd w:id="234"/>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5"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5"/>
      <w:r>
        <w:t>, Sodium in extracellular fluid</w:t>
      </w:r>
    </w:p>
    <w:p w:rsidR="00781A0D" w:rsidRDefault="00781A0D" w:rsidP="00911E3F">
      <w:pPr>
        <w:keepNext/>
        <w:jc w:val="both"/>
      </w:pPr>
    </w:p>
    <w:p w:rsidR="00781A0D" w:rsidRDefault="00781A0D" w:rsidP="00911E3F">
      <w:pPr>
        <w:pStyle w:val="Titulek"/>
        <w:jc w:val="both"/>
      </w:pPr>
      <w:bookmarkStart w:id="236"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6"/>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7" w:name="_Toc409289318"/>
      <w:r>
        <w:t>Potassium</w:t>
      </w:r>
      <w:bookmarkEnd w:id="237"/>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8"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8"/>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9" w:name="_Toc409289319"/>
      <w:r>
        <w:t>Phosphates and Sulfates</w:t>
      </w:r>
      <w:bookmarkEnd w:id="239"/>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0" w:name="_Ref414302047"/>
      <w:r>
        <w:lastRenderedPageBreak/>
        <w:t>C</w:t>
      </w:r>
      <w:r w:rsidR="000B56EB">
        <w:t>omparison with HumMod 1.6</w:t>
      </w:r>
      <w:bookmarkEnd w:id="240"/>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1" w:name="_Toc409289320"/>
      <w:bookmarkStart w:id="242" w:name="_Ref414302320"/>
      <w:bookmarkStart w:id="243" w:name="_Toc415707064"/>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1"/>
      <w:bookmarkEnd w:id="242"/>
      <w:bookmarkEnd w:id="243"/>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4" w:name="_Toc409289321"/>
      <w:r w:rsidRPr="006079D3">
        <w:t>Ventilation</w:t>
      </w:r>
      <w:bookmarkEnd w:id="24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5" w:name="_Toc409289322"/>
      <w:r w:rsidRPr="006079D3">
        <w:t>Oxygen</w:t>
      </w:r>
      <w:bookmarkEnd w:id="24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6"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6"/>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47" w:name="_Ref414302052"/>
      <w:bookmarkStart w:id="248" w:name="_Toc409289324"/>
      <w:r>
        <w:t>C</w:t>
      </w:r>
      <w:r w:rsidR="001D5ABC">
        <w:t>omparison with HumMod 1.6</w:t>
      </w:r>
      <w:bookmarkEnd w:id="247"/>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49" w:name="_Toc415707065"/>
      <w:r w:rsidRPr="003A5773">
        <w:rPr>
          <w:rStyle w:val="Znaknadpisu1"/>
          <w:rFonts w:ascii="Times New Roman" w:hAnsi="Times New Roman" w:cs="Times New Roman"/>
        </w:rPr>
        <w:t>Nutrients and Metabolism</w:t>
      </w:r>
      <w:bookmarkEnd w:id="248"/>
      <w:bookmarkEnd w:id="24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0" w:name="_Toc409289325"/>
      <w:r w:rsidRPr="006079D3">
        <w:t>Cellular metabolism</w:t>
      </w:r>
      <w:bookmarkEnd w:id="25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1" w:name="_Toc409289326"/>
      <w:r>
        <w:t>Liver metabolism</w:t>
      </w:r>
      <w:bookmarkEnd w:id="25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2"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2"/>
      <w:r>
        <w:t>, Liver transformations of base nutrients</w:t>
      </w:r>
    </w:p>
    <w:p w:rsidR="006079D3" w:rsidRDefault="006079D3" w:rsidP="00911E3F">
      <w:pPr>
        <w:pStyle w:val="Nadpis3"/>
        <w:jc w:val="both"/>
      </w:pPr>
      <w:bookmarkStart w:id="253" w:name="_Toc409289328"/>
      <w:r>
        <w:t>Lipids</w:t>
      </w:r>
      <w:bookmarkEnd w:id="25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4" w:name="_Toc409289329"/>
      <w:r>
        <w:t>Proteins, amino-acids and urea</w:t>
      </w:r>
      <w:bookmarkEnd w:id="25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605DFD">
        <w:rPr>
          <w:noProof/>
        </w:rPr>
        <w:t>7</w:t>
      </w:r>
      <w:r>
        <w:fldChar w:fldCharType="end"/>
      </w:r>
      <w:r>
        <w:t>, Keto acids</w:t>
      </w:r>
    </w:p>
    <w:p w:rsidR="00822BCE" w:rsidRDefault="00822BCE" w:rsidP="00822BCE">
      <w:pPr>
        <w:pStyle w:val="Nadpis3"/>
      </w:pPr>
      <w:bookmarkStart w:id="255" w:name="_Ref415238969"/>
      <w:r>
        <w:lastRenderedPageBreak/>
        <w:t>Comparison with HumMod 1.6</w:t>
      </w:r>
      <w:bookmarkEnd w:id="255"/>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into variable in cal/min. In Modelica 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6" w:name="_Ref414350542"/>
      <w:r>
        <w:t xml:space="preserve">Figure </w:t>
      </w:r>
      <w:r>
        <w:fldChar w:fldCharType="begin"/>
      </w:r>
      <w:r>
        <w:instrText xml:space="preserve"> SEQ Figure \* ARABIC </w:instrText>
      </w:r>
      <w:r>
        <w:fldChar w:fldCharType="separate"/>
      </w:r>
      <w:r w:rsidR="00605DFD">
        <w:rPr>
          <w:noProof/>
        </w:rPr>
        <w:t>8</w:t>
      </w:r>
      <w:r>
        <w:fldChar w:fldCharType="end"/>
      </w:r>
      <w:bookmarkEnd w:id="256"/>
      <w:r>
        <w:t>, LM_Metabolism.Glycogenesis.GlycogenMassEffect</w:t>
      </w:r>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57" w:name="_Ref414350613"/>
      <w:r>
        <w:t xml:space="preserve">Figure </w:t>
      </w:r>
      <w:r>
        <w:fldChar w:fldCharType="begin"/>
      </w:r>
      <w:r>
        <w:instrText xml:space="preserve"> SEQ Figure \* ARABIC </w:instrText>
      </w:r>
      <w:r>
        <w:fldChar w:fldCharType="separate"/>
      </w:r>
      <w:r w:rsidR="00605DFD">
        <w:rPr>
          <w:noProof/>
        </w:rPr>
        <w:t>9</w:t>
      </w:r>
      <w:r>
        <w:fldChar w:fldCharType="end"/>
      </w:r>
      <w:bookmarkEnd w:id="257"/>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58" w:name="_Toc409289330"/>
      <w:bookmarkStart w:id="259" w:name="_Toc415707066"/>
      <w:r w:rsidRPr="003A5773">
        <w:rPr>
          <w:rStyle w:val="Znaknadpisu1"/>
          <w:rFonts w:ascii="Times New Roman" w:hAnsi="Times New Roman" w:cs="Times New Roman"/>
        </w:rPr>
        <w:t>Thermoregulation</w:t>
      </w:r>
      <w:bookmarkEnd w:id="258"/>
      <w:bookmarkEnd w:id="259"/>
    </w:p>
    <w:p w:rsidR="009C309A" w:rsidRDefault="009C309A" w:rsidP="00911E3F">
      <w:pPr>
        <w:pStyle w:val="Nadpis3"/>
        <w:jc w:val="both"/>
      </w:pPr>
      <w:bookmarkStart w:id="260" w:name="_Toc409289331"/>
      <w:r>
        <w:t>Heat</w:t>
      </w:r>
      <w:bookmarkEnd w:id="26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r w:rsidR="00BB11F1" w:rsidRPr="00BB11F1">
        <w:rPr>
          <w:rFonts w:ascii="Times New Roman" w:hAnsi="Times New Roman" w:cs="Times New Roman"/>
        </w:rPr>
        <w:lastRenderedPageBreak/>
        <w:t xml:space="preserve">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1" w:name="_Toc409289332"/>
      <w:r>
        <w:t>Evaporation</w:t>
      </w:r>
      <w:bookmarkEnd w:id="26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2" w:name="_Ref415238981"/>
      <w:r>
        <w:t>Comparison with HumMod 1.6</w:t>
      </w:r>
      <w:bookmarkEnd w:id="262"/>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63" w:name="_Toc409289336"/>
      <w:bookmarkStart w:id="264" w:name="_Toc415707067"/>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3"/>
      <w:bookmarkEnd w:id="264"/>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5" w:name="_Ref415238991"/>
      <w:r>
        <w:t>Comparison with HumMod 1.6</w:t>
      </w:r>
      <w:bookmarkEnd w:id="265"/>
    </w:p>
    <w:p w:rsidR="00FF2922" w:rsidRDefault="00941989" w:rsidP="00941989">
      <w:r>
        <w:t>In Physiomodel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605DFD">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AB49AD">
        <w:t xml:space="preserve">Figure </w:t>
      </w:r>
      <w:r w:rsidR="00AB49AD">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4">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66" w:name="_Ref415238282"/>
      <w:r>
        <w:t xml:space="preserve">Figure </w:t>
      </w:r>
      <w:r>
        <w:fldChar w:fldCharType="begin"/>
      </w:r>
      <w:r>
        <w:instrText xml:space="preserve"> SEQ Figure \* ARABIC </w:instrText>
      </w:r>
      <w:r>
        <w:fldChar w:fldCharType="separate"/>
      </w:r>
      <w:r>
        <w:rPr>
          <w:noProof/>
        </w:rPr>
        <w:t>10</w:t>
      </w:r>
      <w:r>
        <w:fldChar w:fldCharType="end"/>
      </w:r>
      <w:bookmarkEnd w:id="266"/>
      <w:r>
        <w:t>, Co</w:t>
      </w:r>
      <w:r w:rsidR="00AB49AD">
        <w:t>r</w:t>
      </w:r>
      <w:r>
        <w:t>rection of oxygen effect</w:t>
      </w:r>
      <w:r>
        <w:rPr>
          <w:noProof/>
        </w:rPr>
        <w:t xml:space="preserve"> on central chemoreceptors.</w:t>
      </w:r>
    </w:p>
    <w:p w:rsidR="000B56EB" w:rsidRPr="000B56EB" w:rsidRDefault="000B56EB" w:rsidP="000B56EB">
      <w:bookmarkStart w:id="267" w:name="_Toc408842159"/>
      <w:bookmarkStart w:id="268" w:name="_Toc408845957"/>
      <w:bookmarkStart w:id="269" w:name="_Toc409289340"/>
      <w:bookmarkStart w:id="270"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1" w:name="_Toc415707068"/>
      <w:r w:rsidRPr="003A5773">
        <w:rPr>
          <w:rStyle w:val="Znaknadpisu1"/>
          <w:rFonts w:ascii="Times New Roman" w:hAnsi="Times New Roman" w:cs="Times New Roman"/>
        </w:rPr>
        <w:lastRenderedPageBreak/>
        <w:t>Discussion</w:t>
      </w:r>
      <w:bookmarkEnd w:id="267"/>
      <w:bookmarkEnd w:id="268"/>
      <w:bookmarkEnd w:id="269"/>
      <w:bookmarkEnd w:id="270"/>
      <w:bookmarkEnd w:id="271"/>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hysiology with many scientific disciplines</w:t>
      </w:r>
      <w:r w:rsidR="00CF5553">
        <w:rPr>
          <w:rFonts w:ascii="Times New Roman" w:hAnsi="Times New Roman" w:cs="Times New Roman"/>
        </w:rPr>
        <w:t xml:space="preserve"> {</w:t>
      </w:r>
      <w:r w:rsidR="00CF5553" w:rsidRPr="00CF5553">
        <w:rPr>
          <w:rFonts w:ascii="Times New Roman" w:hAnsi="Times New Roman" w:cs="Times New Roman"/>
          <w:highlight w:val="yellow"/>
        </w:rPr>
        <w:t>TODO odkaz Fritzon 3.3</w:t>
      </w:r>
      <w:r w:rsidR="00CF5553">
        <w:rPr>
          <w:rFonts w:ascii="Times New Roman" w:hAnsi="Times New Roman" w:cs="Times New Roman"/>
        </w:rPr>
        <w:t>}</w:t>
      </w:r>
      <w:r>
        <w:rPr>
          <w:rFonts w:ascii="Times New Roman" w:hAnsi="Times New Roman" w:cs="Times New Roman"/>
        </w:rPr>
        <w:t xml:space="preserve">. </w:t>
      </w:r>
      <w:r w:rsidR="00871565">
        <w:rPr>
          <w:rFonts w:ascii="Times New Roman" w:hAnsi="Times New Roman" w:cs="Times New Roman"/>
        </w:rPr>
        <w:t>One must realize that under the physiological description is always some chemical, hydraulic, thermal, osmotic or population based domains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odkaz </w:t>
      </w:r>
      <w:proofErr w:type="gramStart"/>
      <w:r w:rsidR="00CF5553" w:rsidRPr="00CF5553">
        <w:rPr>
          <w:rFonts w:ascii="Times New Roman" w:hAnsi="Times New Roman" w:cs="Times New Roman"/>
          <w:highlight w:val="yellow"/>
        </w:rPr>
        <w:t xml:space="preserve">na </w:t>
      </w:r>
      <w:r w:rsidR="00CF5553">
        <w:rPr>
          <w:rFonts w:ascii="Times New Roman" w:hAnsi="Times New Roman" w:cs="Times New Roman"/>
          <w:highlight w:val="yellow"/>
        </w:rPr>
        <w:t>?</w:t>
      </w:r>
      <w:proofErr w:type="gramEnd"/>
      <w:r w:rsidR="00CF5553">
        <w:rPr>
          <w:rFonts w:ascii="Times New Roman" w:hAnsi="Times New Roman" w:cs="Times New Roman"/>
          <w:highlight w:val="yellow"/>
        </w:rPr>
        <w:t xml:space="preserve"> &amp; </w:t>
      </w:r>
      <w:r w:rsidR="00CF5553" w:rsidRPr="00CF5553">
        <w:rPr>
          <w:rFonts w:ascii="Times New Roman" w:hAnsi="Times New Roman" w:cs="Times New Roman"/>
          <w:highlight w:val="yellow"/>
        </w:rPr>
        <w:t>clanky o Physiolibrary</w:t>
      </w:r>
      <w:r w:rsidR="00CF5553">
        <w:rPr>
          <w:rFonts w:ascii="Times New Roman" w:hAnsi="Times New Roman" w:cs="Times New Roman"/>
        </w:rPr>
        <w:t>}</w:t>
      </w:r>
      <w:r w:rsidR="00871565">
        <w:rPr>
          <w:rFonts w:ascii="Times New Roman" w:hAnsi="Times New Roman" w:cs="Times New Roman"/>
        </w:rPr>
        <w:t>. And the laws of these physical domains can be exactly described by mathematical equations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odkaz </w:t>
      </w:r>
      <w:proofErr w:type="gramStart"/>
      <w:r w:rsidR="00CF5553" w:rsidRPr="00CF5553">
        <w:rPr>
          <w:rFonts w:ascii="Times New Roman" w:hAnsi="Times New Roman" w:cs="Times New Roman"/>
          <w:highlight w:val="yellow"/>
        </w:rPr>
        <w:t>na ?</w:t>
      </w:r>
      <w:proofErr w:type="gramEnd"/>
      <w:r w:rsidR="00CF5553">
        <w:rPr>
          <w:rFonts w:ascii="Times New Roman" w:hAnsi="Times New Roman" w:cs="Times New Roman"/>
        </w:rPr>
        <w:t>}</w:t>
      </w:r>
      <w:r w:rsidR="00871565">
        <w:rPr>
          <w:rFonts w:ascii="Times New Roman" w:hAnsi="Times New Roman" w:cs="Times New Roman"/>
        </w:rPr>
        <w:t>.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w:t>
      </w:r>
      <w:r w:rsidRPr="006B7FBB">
        <w:rPr>
          <w:rFonts w:ascii="Times New Roman" w:hAnsi="Times New Roman" w:cs="Times New Roman"/>
          <w:highlight w:val="yellow"/>
        </w:rPr>
        <w:t xml:space="preserve">TODO-odkaz </w:t>
      </w:r>
      <w:proofErr w:type="gramStart"/>
      <w:r w:rsidRPr="006B7FBB">
        <w:rPr>
          <w:rFonts w:ascii="Times New Roman" w:hAnsi="Times New Roman" w:cs="Times New Roman"/>
          <w:highlight w:val="yellow"/>
        </w:rPr>
        <w:t>na</w:t>
      </w:r>
      <w:proofErr w:type="gramEnd"/>
      <w:r w:rsidRPr="006B7FBB">
        <w:rPr>
          <w:rFonts w:ascii="Times New Roman" w:hAnsi="Times New Roman" w:cs="Times New Roman"/>
          <w:highlight w:val="yellow"/>
        </w:rPr>
        <w:t xml:space="preserve"> Adair-based</w:t>
      </w:r>
      <w:r>
        <w:rPr>
          <w:rFonts w:ascii="Times New Roman" w:hAnsi="Times New Roman" w:cs="Times New Roman"/>
        </w:rPr>
        <w:t xml:space="preserve"> Hb}.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72" w:name="_Ref415232619"/>
      <w:bookmarkStart w:id="273" w:name="_Toc415707069"/>
      <w:r>
        <w:t>Physiological expandability</w:t>
      </w:r>
      <w:bookmarkEnd w:id="272"/>
      <w:bookmarkEnd w:id="273"/>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xml:space="preserve">) caused by </w:t>
      </w:r>
      <w:r w:rsidR="00632F60">
        <w:lastRenderedPageBreak/>
        <w:t>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are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74" w:name="_Toc415707070"/>
      <w:r>
        <w:t>E</w:t>
      </w:r>
      <w:r w:rsidR="00CB3E16">
        <w:t>xpandability</w:t>
      </w:r>
      <w:r w:rsidR="00826533">
        <w:t xml:space="preserve"> in fie</w:t>
      </w:r>
      <w:r w:rsidR="001A44A5">
        <w:t>ld of physical chemistry</w:t>
      </w:r>
      <w:bookmarkEnd w:id="274"/>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w:t>
      </w:r>
      <w:r w:rsidR="00410C34">
        <w:lastRenderedPageBreak/>
        <w:t xml:space="preserve">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CF5553"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5" w:name="_Ref413791469"/>
            <w:r>
              <w:t xml:space="preserve">Equation </w:t>
            </w:r>
            <w:r>
              <w:fldChar w:fldCharType="begin"/>
            </w:r>
            <w:r>
              <w:instrText xml:space="preserve"> SEQ Equation \* ARABIC </w:instrText>
            </w:r>
            <w:r>
              <w:fldChar w:fldCharType="separate"/>
            </w:r>
            <w:r>
              <w:rPr>
                <w:noProof/>
              </w:rPr>
              <w:t>10</w:t>
            </w:r>
            <w:r>
              <w:fldChar w:fldCharType="end"/>
            </w:r>
            <w:bookmarkEnd w:id="275"/>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w:t>
      </w:r>
      <w:r w:rsidR="005D1B04">
        <w:lastRenderedPageBreak/>
        <w:t>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CF5553"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6" w:name="_Ref413790426"/>
            <w:bookmarkStart w:id="277" w:name="_Ref413790403"/>
            <w:r>
              <w:t xml:space="preserve">Equation </w:t>
            </w:r>
            <w:r>
              <w:fldChar w:fldCharType="begin"/>
            </w:r>
            <w:r>
              <w:instrText xml:space="preserve"> SEQ Equation \* ARABIC </w:instrText>
            </w:r>
            <w:r>
              <w:fldChar w:fldCharType="separate"/>
            </w:r>
            <w:r>
              <w:rPr>
                <w:noProof/>
              </w:rPr>
              <w:t>10</w:t>
            </w:r>
            <w:r>
              <w:fldChar w:fldCharType="end"/>
            </w:r>
            <w:bookmarkEnd w:id="276"/>
            <w:r w:rsidR="005638BD">
              <w:t>, Transition state theory</w:t>
            </w:r>
            <w:bookmarkEnd w:id="277"/>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8" w:name="_Toc415707071"/>
      <w:r>
        <w:t>Computer Science expandability</w:t>
      </w:r>
      <w:bookmarkEnd w:id="278"/>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4"/>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w:t>
      </w:r>
      <w:r w:rsidR="003C573B">
        <w:rPr>
          <w:rFonts w:ascii="Times New Roman" w:hAnsi="Times New Roman" w:cs="Times New Roman"/>
        </w:rPr>
        <w:lastRenderedPageBreak/>
        <w:t xml:space="preserve">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r>
        <w:rPr>
          <w:rStyle w:val="Znakapoznpodarou"/>
          <w:rFonts w:ascii="Times New Roman" w:hAnsi="Times New Roman" w:cs="Times New Roman"/>
        </w:rPr>
        <w:footnoteReference w:id="5"/>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w:t>
      </w:r>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xml:space="preserve">[:]”. For example if we want to define the total amount of </w:t>
      </w:r>
      <w:r w:rsidR="00345A62">
        <w:rPr>
          <w:rFonts w:ascii="Times New Roman" w:hAnsi="Times New Roman" w:cs="Times New Roman"/>
        </w:rPr>
        <w:lastRenderedPageBreak/>
        <w:t>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79" w:name="_Toc415707072"/>
      <w:r>
        <w:t>Mathematical expandability</w:t>
      </w:r>
      <w:bookmarkEnd w:id="279"/>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0" w:name="_Toc415707073"/>
      <w:r>
        <w:t>(In)</w:t>
      </w:r>
      <w:r w:rsidR="008C2976">
        <w:t>Consistency</w:t>
      </w:r>
      <w:bookmarkEnd w:id="280"/>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TODO odkaz na Hofmana</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81" w:name="_Toc408842160"/>
      <w:bookmarkStart w:id="282" w:name="_Toc408845958"/>
      <w:bookmarkStart w:id="283" w:name="_Toc409289341"/>
      <w:bookmarkStart w:id="284" w:name="_Toc415707075"/>
      <w:r w:rsidRPr="003A5773">
        <w:rPr>
          <w:rStyle w:val="Znaknadpisu1"/>
          <w:rFonts w:ascii="Times New Roman" w:hAnsi="Times New Roman" w:cs="Times New Roman"/>
        </w:rPr>
        <w:t>Conclusion</w:t>
      </w:r>
      <w:bookmarkEnd w:id="281"/>
      <w:bookmarkEnd w:id="282"/>
      <w:bookmarkEnd w:id="283"/>
      <w:bookmarkEnd w:id="284"/>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ýsledkom práce je podpora integratívnej fyziológie v modern</w:t>
      </w:r>
      <w:r>
        <w:rPr>
          <w:rFonts w:ascii="Arial" w:eastAsia="Times New Roman" w:hAnsi="Arial" w:cs="Arial"/>
          <w:color w:val="616161"/>
          <w:sz w:val="19"/>
          <w:szCs w:val="19"/>
          <w:lang w:val="cs-CZ"/>
        </w:rPr>
        <w:t xml:space="preserve">ých </w:t>
      </w:r>
      <w:bookmarkStart w:id="285" w:name="_GoBack"/>
      <w:bookmarkEnd w:id="285"/>
    </w:p>
    <w:p w:rsidR="003362FC" w:rsidRPr="003A5773" w:rsidRDefault="003362FC" w:rsidP="00911E3F">
      <w:pPr>
        <w:pStyle w:val="Nadpis1"/>
        <w:jc w:val="both"/>
        <w:rPr>
          <w:rStyle w:val="Znaknadpisu1"/>
          <w:rFonts w:ascii="Times New Roman" w:hAnsi="Times New Roman" w:cs="Times New Roman"/>
        </w:rPr>
      </w:pPr>
      <w:bookmarkStart w:id="286" w:name="_Toc408842161"/>
      <w:bookmarkStart w:id="287" w:name="_Toc408845959"/>
      <w:bookmarkStart w:id="288" w:name="_Toc409289342"/>
      <w:bookmarkStart w:id="289" w:name="_Toc415707076"/>
      <w:r>
        <w:rPr>
          <w:rStyle w:val="Znaknadpisu1"/>
          <w:rFonts w:ascii="Times New Roman" w:hAnsi="Times New Roman" w:cs="Times New Roman"/>
        </w:rPr>
        <w:t>References</w:t>
      </w:r>
      <w:bookmarkEnd w:id="286"/>
      <w:bookmarkEnd w:id="287"/>
      <w:bookmarkEnd w:id="288"/>
      <w:bookmarkEnd w:id="289"/>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07D" w:rsidRDefault="0012707D">
      <w:pPr>
        <w:spacing w:after="0" w:line="240" w:lineRule="auto"/>
      </w:pPr>
      <w:r>
        <w:separator/>
      </w:r>
    </w:p>
  </w:endnote>
  <w:endnote w:type="continuationSeparator" w:id="0">
    <w:p w:rsidR="0012707D" w:rsidRDefault="00127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CF5553" w:rsidRDefault="00CF5553">
        <w:pPr>
          <w:pStyle w:val="Zpat"/>
        </w:pPr>
        <w:r>
          <w:fldChar w:fldCharType="begin"/>
        </w:r>
        <w:r>
          <w:instrText xml:space="preserve"> PAGE   \* MERGEFORMAT </w:instrText>
        </w:r>
        <w:r>
          <w:fldChar w:fldCharType="separate"/>
        </w:r>
        <w:r w:rsidR="00240021">
          <w:rPr>
            <w:noProof/>
          </w:rPr>
          <w:t>62</w:t>
        </w:r>
        <w:r>
          <w:rPr>
            <w:noProof/>
          </w:rPr>
          <w:fldChar w:fldCharType="end"/>
        </w:r>
      </w:p>
    </w:sdtContent>
  </w:sdt>
  <w:p w:rsidR="00CF5553" w:rsidRDefault="00CF555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07D" w:rsidRDefault="0012707D">
      <w:pPr>
        <w:spacing w:after="0" w:line="240" w:lineRule="auto"/>
      </w:pPr>
      <w:r>
        <w:separator/>
      </w:r>
    </w:p>
  </w:footnote>
  <w:footnote w:type="continuationSeparator" w:id="0">
    <w:p w:rsidR="0012707D" w:rsidRDefault="0012707D">
      <w:pPr>
        <w:spacing w:after="0" w:line="240" w:lineRule="auto"/>
      </w:pPr>
      <w:r>
        <w:continuationSeparator/>
      </w:r>
    </w:p>
  </w:footnote>
  <w:footnote w:id="1">
    <w:p w:rsidR="00CF5553" w:rsidRDefault="00CF5553">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CF5553" w:rsidRDefault="00CF5553">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CF5553" w:rsidRDefault="00CF5553"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CF5553" w:rsidRDefault="00CF5553" w:rsidP="00330EC2">
      <w:pPr>
        <w:pStyle w:val="Textpoznpodarou"/>
      </w:pPr>
      <w:r>
        <w:rPr>
          <w:rStyle w:val="Znakapoznpodarou"/>
        </w:rPr>
        <w:footnoteRef/>
      </w:r>
      <w:r>
        <w:t xml:space="preserve"> Non-flow variable is each variable without Modelica prefix ‘flow’.</w:t>
      </w:r>
    </w:p>
  </w:footnote>
  <w:footnote w:id="5">
    <w:p w:rsidR="00CF5553" w:rsidRDefault="00CF5553"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8pt;height:6.6pt;visibility:visible" o:bullet="t">
        <v:imagedata r:id="rId1" o:title="OsmoticPorts"/>
      </v:shape>
    </w:pict>
  </w:numPicBullet>
  <w:numPicBullet w:numPicBulletId="1">
    <w:pict>
      <v:shape id="_x0000_i1035" type="#_x0000_t75" style="width:13.8pt;height:6.6pt;visibility:visible" o:bullet="t">
        <v:imagedata r:id="rId2" o:title="ThermalPorts"/>
      </v:shape>
    </w:pict>
  </w:numPicBullet>
  <w:numPicBullet w:numPicBulletId="2">
    <w:pict>
      <v:shape id="_x0000_i1036" type="#_x0000_t75" style="width:16.8pt;height:8.4pt;visibility:visible" o:bullet="t">
        <v:imagedata r:id="rId3" o:title="HydraulicPorts"/>
      </v:shape>
    </w:pict>
  </w:numPicBullet>
  <w:numPicBullet w:numPicBulletId="3">
    <w:pict>
      <v:shape id="_x0000_i1037"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42CA2"/>
    <w:rsid w:val="00744154"/>
    <w:rsid w:val="00744186"/>
    <w:rsid w:val="00745548"/>
    <w:rsid w:val="007456B9"/>
    <w:rsid w:val="007473E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609E"/>
    <w:rsid w:val="007966C9"/>
    <w:rsid w:val="007A20F2"/>
    <w:rsid w:val="007A2E22"/>
    <w:rsid w:val="007A36D5"/>
    <w:rsid w:val="007A373F"/>
    <w:rsid w:val="007A6AF8"/>
    <w:rsid w:val="007A6B26"/>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D9476-F74A-47C9-814D-C57D3207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57929</TotalTime>
  <Pages>1</Pages>
  <Words>47815</Words>
  <Characters>282111</Characters>
  <Application>Microsoft Office Word</Application>
  <DocSecurity>0</DocSecurity>
  <Lines>2350</Lines>
  <Paragraphs>658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149</cp:revision>
  <dcterms:created xsi:type="dcterms:W3CDTF">2014-10-03T15:19:00Z</dcterms:created>
  <dcterms:modified xsi:type="dcterms:W3CDTF">2015-04-03T14:53:00Z</dcterms:modified>
</cp:coreProperties>
</file>