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r w:rsidRPr="000F3EB7">
            <w:rPr>
              <w:b/>
              <w:bCs/>
              <w:sz w:val="32"/>
              <w:szCs w:val="32"/>
              <w:lang w:val="cs-CZ"/>
            </w:rPr>
            <w:t>ák</w:t>
          </w:r>
          <w:proofErr w:type="spellEnd"/>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 xml:space="preserve">and </w:t>
          </w:r>
          <w:proofErr w:type="spellStart"/>
          <w:r>
            <w:rPr>
              <w:sz w:val="28"/>
              <w:szCs w:val="28"/>
              <w:shd w:val="clear" w:color="auto" w:fill="FFFFFF"/>
            </w:rPr>
            <w:t>Physiomodel</w:t>
          </w:r>
          <w:proofErr w:type="spellEnd"/>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w:t>
          </w:r>
          <w:proofErr w:type="spellStart"/>
          <w:r w:rsidR="001C6D80">
            <w:t>Mateják</w:t>
          </w:r>
          <w:proofErr w:type="spellEnd"/>
          <w:r w:rsidR="001C6D80">
            <w:t xml:space="preserve">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7944E5"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5924153" w:history="1">
                <w:r w:rsidR="007944E5" w:rsidRPr="00075F80">
                  <w:rPr>
                    <w:rStyle w:val="Hypertextovodkaz"/>
                    <w:rFonts w:ascii="Times New Roman" w:hAnsi="Times New Roman" w:cs="Times New Roman"/>
                    <w:noProof/>
                  </w:rPr>
                  <w:t>1</w:t>
                </w:r>
                <w:r w:rsidR="007944E5">
                  <w:rPr>
                    <w:noProof/>
                    <w:lang w:val="cs-CZ"/>
                  </w:rPr>
                  <w:tab/>
                </w:r>
                <w:r w:rsidR="007944E5" w:rsidRPr="00075F80">
                  <w:rPr>
                    <w:rStyle w:val="Hypertextovodkaz"/>
                    <w:rFonts w:ascii="Times New Roman" w:hAnsi="Times New Roman" w:cs="Times New Roman"/>
                    <w:noProof/>
                  </w:rPr>
                  <w:t>Introduction</w:t>
                </w:r>
                <w:r w:rsidR="007944E5">
                  <w:rPr>
                    <w:noProof/>
                    <w:webHidden/>
                  </w:rPr>
                  <w:tab/>
                </w:r>
                <w:r w:rsidR="007944E5">
                  <w:rPr>
                    <w:noProof/>
                    <w:webHidden/>
                  </w:rPr>
                  <w:fldChar w:fldCharType="begin"/>
                </w:r>
                <w:r w:rsidR="007944E5">
                  <w:rPr>
                    <w:noProof/>
                    <w:webHidden/>
                  </w:rPr>
                  <w:instrText xml:space="preserve"> PAGEREF _Toc415924153 \h </w:instrText>
                </w:r>
                <w:r w:rsidR="007944E5">
                  <w:rPr>
                    <w:noProof/>
                    <w:webHidden/>
                  </w:rPr>
                </w:r>
                <w:r w:rsidR="007944E5">
                  <w:rPr>
                    <w:noProof/>
                    <w:webHidden/>
                  </w:rPr>
                  <w:fldChar w:fldCharType="separate"/>
                </w:r>
                <w:r w:rsidR="007944E5">
                  <w:rPr>
                    <w:noProof/>
                    <w:webHidden/>
                  </w:rPr>
                  <w:t>5</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54" w:history="1">
                <w:r w:rsidR="007944E5" w:rsidRPr="00075F80">
                  <w:rPr>
                    <w:rStyle w:val="Hypertextovodkaz"/>
                    <w:rFonts w:ascii="Times New Roman" w:hAnsi="Times New Roman" w:cs="Times New Roman"/>
                    <w:noProof/>
                  </w:rPr>
                  <w:t>1.1</w:t>
                </w:r>
                <w:r w:rsidR="007944E5">
                  <w:rPr>
                    <w:noProof/>
                    <w:lang w:val="cs-CZ"/>
                  </w:rPr>
                  <w:tab/>
                </w:r>
                <w:r w:rsidR="007944E5" w:rsidRPr="00075F80">
                  <w:rPr>
                    <w:rStyle w:val="Hypertextovodkaz"/>
                    <w:rFonts w:ascii="Times New Roman" w:hAnsi="Times New Roman" w:cs="Times New Roman"/>
                    <w:noProof/>
                  </w:rPr>
                  <w:t>State of the art</w:t>
                </w:r>
                <w:r w:rsidR="007944E5">
                  <w:rPr>
                    <w:noProof/>
                    <w:webHidden/>
                  </w:rPr>
                  <w:tab/>
                </w:r>
                <w:r w:rsidR="007944E5">
                  <w:rPr>
                    <w:noProof/>
                    <w:webHidden/>
                  </w:rPr>
                  <w:fldChar w:fldCharType="begin"/>
                </w:r>
                <w:r w:rsidR="007944E5">
                  <w:rPr>
                    <w:noProof/>
                    <w:webHidden/>
                  </w:rPr>
                  <w:instrText xml:space="preserve"> PAGEREF _Toc415924154 \h </w:instrText>
                </w:r>
                <w:r w:rsidR="007944E5">
                  <w:rPr>
                    <w:noProof/>
                    <w:webHidden/>
                  </w:rPr>
                </w:r>
                <w:r w:rsidR="007944E5">
                  <w:rPr>
                    <w:noProof/>
                    <w:webHidden/>
                  </w:rPr>
                  <w:fldChar w:fldCharType="separate"/>
                </w:r>
                <w:r w:rsidR="007944E5">
                  <w:rPr>
                    <w:noProof/>
                    <w:webHidden/>
                  </w:rPr>
                  <w:t>5</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55" w:history="1">
                <w:r w:rsidR="007944E5" w:rsidRPr="00075F80">
                  <w:rPr>
                    <w:rStyle w:val="Hypertextovodkaz"/>
                    <w:rFonts w:ascii="Times New Roman" w:hAnsi="Times New Roman" w:cs="Times New Roman"/>
                    <w:noProof/>
                  </w:rPr>
                  <w:t>1.2</w:t>
                </w:r>
                <w:r w:rsidR="007944E5">
                  <w:rPr>
                    <w:noProof/>
                    <w:lang w:val="cs-CZ"/>
                  </w:rPr>
                  <w:tab/>
                </w:r>
                <w:r w:rsidR="007944E5" w:rsidRPr="00075F80">
                  <w:rPr>
                    <w:rStyle w:val="Hypertextovodkaz"/>
                    <w:rFonts w:ascii="Times New Roman" w:hAnsi="Times New Roman" w:cs="Times New Roman"/>
                    <w:noProof/>
                  </w:rPr>
                  <w:t>Models by Tom G. Coleman</w:t>
                </w:r>
                <w:r w:rsidR="007944E5">
                  <w:rPr>
                    <w:noProof/>
                    <w:webHidden/>
                  </w:rPr>
                  <w:tab/>
                </w:r>
                <w:r w:rsidR="007944E5">
                  <w:rPr>
                    <w:noProof/>
                    <w:webHidden/>
                  </w:rPr>
                  <w:fldChar w:fldCharType="begin"/>
                </w:r>
                <w:r w:rsidR="007944E5">
                  <w:rPr>
                    <w:noProof/>
                    <w:webHidden/>
                  </w:rPr>
                  <w:instrText xml:space="preserve"> PAGEREF _Toc415924155 \h </w:instrText>
                </w:r>
                <w:r w:rsidR="007944E5">
                  <w:rPr>
                    <w:noProof/>
                    <w:webHidden/>
                  </w:rPr>
                </w:r>
                <w:r w:rsidR="007944E5">
                  <w:rPr>
                    <w:noProof/>
                    <w:webHidden/>
                  </w:rPr>
                  <w:fldChar w:fldCharType="separate"/>
                </w:r>
                <w:r w:rsidR="007944E5">
                  <w:rPr>
                    <w:noProof/>
                    <w:webHidden/>
                  </w:rPr>
                  <w:t>6</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56" w:history="1">
                <w:r w:rsidR="007944E5" w:rsidRPr="00075F80">
                  <w:rPr>
                    <w:rStyle w:val="Hypertextovodkaz"/>
                    <w:rFonts w:ascii="Times New Roman" w:hAnsi="Times New Roman" w:cs="Times New Roman"/>
                    <w:noProof/>
                  </w:rPr>
                  <w:t>1.3</w:t>
                </w:r>
                <w:r w:rsidR="007944E5">
                  <w:rPr>
                    <w:noProof/>
                    <w:lang w:val="cs-CZ"/>
                  </w:rPr>
                  <w:tab/>
                </w:r>
                <w:r w:rsidR="007944E5" w:rsidRPr="00075F80">
                  <w:rPr>
                    <w:rStyle w:val="Hypertextovodkaz"/>
                    <w:rFonts w:ascii="Times New Roman" w:hAnsi="Times New Roman" w:cs="Times New Roman"/>
                    <w:noProof/>
                  </w:rPr>
                  <w:t>Goals of this work</w:t>
                </w:r>
                <w:r w:rsidR="007944E5">
                  <w:rPr>
                    <w:noProof/>
                    <w:webHidden/>
                  </w:rPr>
                  <w:tab/>
                </w:r>
                <w:r w:rsidR="007944E5">
                  <w:rPr>
                    <w:noProof/>
                    <w:webHidden/>
                  </w:rPr>
                  <w:fldChar w:fldCharType="begin"/>
                </w:r>
                <w:r w:rsidR="007944E5">
                  <w:rPr>
                    <w:noProof/>
                    <w:webHidden/>
                  </w:rPr>
                  <w:instrText xml:space="preserve"> PAGEREF _Toc415924156 \h </w:instrText>
                </w:r>
                <w:r w:rsidR="007944E5">
                  <w:rPr>
                    <w:noProof/>
                    <w:webHidden/>
                  </w:rPr>
                </w:r>
                <w:r w:rsidR="007944E5">
                  <w:rPr>
                    <w:noProof/>
                    <w:webHidden/>
                  </w:rPr>
                  <w:fldChar w:fldCharType="separate"/>
                </w:r>
                <w:r w:rsidR="007944E5">
                  <w:rPr>
                    <w:noProof/>
                    <w:webHidden/>
                  </w:rPr>
                  <w:t>6</w:t>
                </w:r>
                <w:r w:rsidR="007944E5">
                  <w:rPr>
                    <w:noProof/>
                    <w:webHidden/>
                  </w:rPr>
                  <w:fldChar w:fldCharType="end"/>
                </w:r>
              </w:hyperlink>
            </w:p>
            <w:p w:rsidR="007944E5" w:rsidRDefault="00B47FE0">
              <w:pPr>
                <w:pStyle w:val="Obsah1"/>
                <w:tabs>
                  <w:tab w:val="left" w:pos="400"/>
                  <w:tab w:val="right" w:leader="dot" w:pos="8395"/>
                </w:tabs>
                <w:rPr>
                  <w:noProof/>
                  <w:lang w:val="cs-CZ"/>
                </w:rPr>
              </w:pPr>
              <w:hyperlink w:anchor="_Toc415924157" w:history="1">
                <w:r w:rsidR="007944E5" w:rsidRPr="00075F80">
                  <w:rPr>
                    <w:rStyle w:val="Hypertextovodkaz"/>
                    <w:rFonts w:ascii="Times New Roman" w:hAnsi="Times New Roman" w:cs="Times New Roman"/>
                    <w:noProof/>
                  </w:rPr>
                  <w:t>2</w:t>
                </w:r>
                <w:r w:rsidR="007944E5">
                  <w:rPr>
                    <w:noProof/>
                    <w:lang w:val="cs-CZ"/>
                  </w:rPr>
                  <w:tab/>
                </w:r>
                <w:r w:rsidR="007944E5" w:rsidRPr="00075F80">
                  <w:rPr>
                    <w:rStyle w:val="Hypertextovodkaz"/>
                    <w:rFonts w:ascii="Times New Roman" w:hAnsi="Times New Roman" w:cs="Times New Roman"/>
                    <w:noProof/>
                  </w:rPr>
                  <w:t>Methods</w:t>
                </w:r>
                <w:r w:rsidR="007944E5">
                  <w:rPr>
                    <w:noProof/>
                    <w:webHidden/>
                  </w:rPr>
                  <w:tab/>
                </w:r>
                <w:r w:rsidR="007944E5">
                  <w:rPr>
                    <w:noProof/>
                    <w:webHidden/>
                  </w:rPr>
                  <w:fldChar w:fldCharType="begin"/>
                </w:r>
                <w:r w:rsidR="007944E5">
                  <w:rPr>
                    <w:noProof/>
                    <w:webHidden/>
                  </w:rPr>
                  <w:instrText xml:space="preserve"> PAGEREF _Toc415924157 \h </w:instrText>
                </w:r>
                <w:r w:rsidR="007944E5">
                  <w:rPr>
                    <w:noProof/>
                    <w:webHidden/>
                  </w:rPr>
                </w:r>
                <w:r w:rsidR="007944E5">
                  <w:rPr>
                    <w:noProof/>
                    <w:webHidden/>
                  </w:rPr>
                  <w:fldChar w:fldCharType="separate"/>
                </w:r>
                <w:r w:rsidR="007944E5">
                  <w:rPr>
                    <w:noProof/>
                    <w:webHidden/>
                  </w:rPr>
                  <w:t>8</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58" w:history="1">
                <w:r w:rsidR="007944E5" w:rsidRPr="00075F80">
                  <w:rPr>
                    <w:rStyle w:val="Hypertextovodkaz"/>
                    <w:rFonts w:ascii="Times New Roman" w:hAnsi="Times New Roman" w:cs="Times New Roman"/>
                    <w:noProof/>
                  </w:rPr>
                  <w:t>2.1</w:t>
                </w:r>
                <w:r w:rsidR="007944E5">
                  <w:rPr>
                    <w:noProof/>
                    <w:lang w:val="cs-CZ"/>
                  </w:rPr>
                  <w:tab/>
                </w:r>
                <w:r w:rsidR="007944E5" w:rsidRPr="00075F80">
                  <w:rPr>
                    <w:rStyle w:val="Hypertextovodkaz"/>
                    <w:rFonts w:ascii="Times New Roman" w:hAnsi="Times New Roman" w:cs="Times New Roman"/>
                    <w:noProof/>
                  </w:rPr>
                  <w:t>Physical principles</w:t>
                </w:r>
                <w:r w:rsidR="007944E5">
                  <w:rPr>
                    <w:noProof/>
                    <w:webHidden/>
                  </w:rPr>
                  <w:tab/>
                </w:r>
                <w:r w:rsidR="007944E5">
                  <w:rPr>
                    <w:noProof/>
                    <w:webHidden/>
                  </w:rPr>
                  <w:fldChar w:fldCharType="begin"/>
                </w:r>
                <w:r w:rsidR="007944E5">
                  <w:rPr>
                    <w:noProof/>
                    <w:webHidden/>
                  </w:rPr>
                  <w:instrText xml:space="preserve"> PAGEREF _Toc415924158 \h </w:instrText>
                </w:r>
                <w:r w:rsidR="007944E5">
                  <w:rPr>
                    <w:noProof/>
                    <w:webHidden/>
                  </w:rPr>
                </w:r>
                <w:r w:rsidR="007944E5">
                  <w:rPr>
                    <w:noProof/>
                    <w:webHidden/>
                  </w:rPr>
                  <w:fldChar w:fldCharType="separate"/>
                </w:r>
                <w:r w:rsidR="007944E5">
                  <w:rPr>
                    <w:noProof/>
                    <w:webHidden/>
                  </w:rPr>
                  <w:t>8</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59" w:history="1">
                <w:r w:rsidR="007944E5" w:rsidRPr="00075F80">
                  <w:rPr>
                    <w:rStyle w:val="Hypertextovodkaz"/>
                    <w:rFonts w:ascii="Times New Roman" w:hAnsi="Times New Roman" w:cs="Times New Roman"/>
                    <w:noProof/>
                  </w:rPr>
                  <w:t>2.2</w:t>
                </w:r>
                <w:r w:rsidR="007944E5">
                  <w:rPr>
                    <w:noProof/>
                    <w:lang w:val="cs-CZ"/>
                  </w:rPr>
                  <w:tab/>
                </w:r>
                <w:r w:rsidR="007944E5" w:rsidRPr="00075F80">
                  <w:rPr>
                    <w:rStyle w:val="Hypertextovodkaz"/>
                    <w:rFonts w:ascii="Times New Roman" w:hAnsi="Times New Roman" w:cs="Times New Roman"/>
                    <w:noProof/>
                  </w:rPr>
                  <w:t>Modelica Principles</w:t>
                </w:r>
                <w:r w:rsidR="007944E5">
                  <w:rPr>
                    <w:noProof/>
                    <w:webHidden/>
                  </w:rPr>
                  <w:tab/>
                </w:r>
                <w:r w:rsidR="007944E5">
                  <w:rPr>
                    <w:noProof/>
                    <w:webHidden/>
                  </w:rPr>
                  <w:fldChar w:fldCharType="begin"/>
                </w:r>
                <w:r w:rsidR="007944E5">
                  <w:rPr>
                    <w:noProof/>
                    <w:webHidden/>
                  </w:rPr>
                  <w:instrText xml:space="preserve"> PAGEREF _Toc415924159 \h </w:instrText>
                </w:r>
                <w:r w:rsidR="007944E5">
                  <w:rPr>
                    <w:noProof/>
                    <w:webHidden/>
                  </w:rPr>
                </w:r>
                <w:r w:rsidR="007944E5">
                  <w:rPr>
                    <w:noProof/>
                    <w:webHidden/>
                  </w:rPr>
                  <w:fldChar w:fldCharType="separate"/>
                </w:r>
                <w:r w:rsidR="007944E5">
                  <w:rPr>
                    <w:noProof/>
                    <w:webHidden/>
                  </w:rPr>
                  <w:t>10</w:t>
                </w:r>
                <w:r w:rsidR="007944E5">
                  <w:rPr>
                    <w:noProof/>
                    <w:webHidden/>
                  </w:rPr>
                  <w:fldChar w:fldCharType="end"/>
                </w:r>
              </w:hyperlink>
            </w:p>
            <w:p w:rsidR="007944E5" w:rsidRDefault="00B47FE0">
              <w:pPr>
                <w:pStyle w:val="Obsah1"/>
                <w:tabs>
                  <w:tab w:val="left" w:pos="400"/>
                  <w:tab w:val="right" w:leader="dot" w:pos="8395"/>
                </w:tabs>
                <w:rPr>
                  <w:noProof/>
                  <w:lang w:val="cs-CZ"/>
                </w:rPr>
              </w:pPr>
              <w:hyperlink w:anchor="_Toc415924160" w:history="1">
                <w:r w:rsidR="007944E5" w:rsidRPr="00075F80">
                  <w:rPr>
                    <w:rStyle w:val="Hypertextovodkaz"/>
                    <w:rFonts w:ascii="Times New Roman" w:hAnsi="Times New Roman" w:cs="Times New Roman"/>
                    <w:noProof/>
                  </w:rPr>
                  <w:t>3</w:t>
                </w:r>
                <w:r w:rsidR="007944E5">
                  <w:rPr>
                    <w:noProof/>
                    <w:lang w:val="cs-CZ"/>
                  </w:rPr>
                  <w:tab/>
                </w:r>
                <w:r w:rsidR="007944E5" w:rsidRPr="00075F80">
                  <w:rPr>
                    <w:rStyle w:val="Hypertextovodkaz"/>
                    <w:rFonts w:ascii="Times New Roman" w:hAnsi="Times New Roman" w:cs="Times New Roman"/>
                    <w:noProof/>
                  </w:rPr>
                  <w:t>Physiolibrary</w:t>
                </w:r>
                <w:r w:rsidR="007944E5">
                  <w:rPr>
                    <w:noProof/>
                    <w:webHidden/>
                  </w:rPr>
                  <w:tab/>
                </w:r>
                <w:r w:rsidR="007944E5">
                  <w:rPr>
                    <w:noProof/>
                    <w:webHidden/>
                  </w:rPr>
                  <w:fldChar w:fldCharType="begin"/>
                </w:r>
                <w:r w:rsidR="007944E5">
                  <w:rPr>
                    <w:noProof/>
                    <w:webHidden/>
                  </w:rPr>
                  <w:instrText xml:space="preserve"> PAGEREF _Toc415924160 \h </w:instrText>
                </w:r>
                <w:r w:rsidR="007944E5">
                  <w:rPr>
                    <w:noProof/>
                    <w:webHidden/>
                  </w:rPr>
                </w:r>
                <w:r w:rsidR="007944E5">
                  <w:rPr>
                    <w:noProof/>
                    <w:webHidden/>
                  </w:rPr>
                  <w:fldChar w:fldCharType="separate"/>
                </w:r>
                <w:r w:rsidR="007944E5">
                  <w:rPr>
                    <w:noProof/>
                    <w:webHidden/>
                  </w:rPr>
                  <w:t>13</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61" w:history="1">
                <w:r w:rsidR="007944E5" w:rsidRPr="00075F80">
                  <w:rPr>
                    <w:rStyle w:val="Hypertextovodkaz"/>
                    <w:rFonts w:ascii="Times New Roman" w:hAnsi="Times New Roman" w:cs="Times New Roman"/>
                    <w:noProof/>
                  </w:rPr>
                  <w:t>3.1</w:t>
                </w:r>
                <w:r w:rsidR="007944E5">
                  <w:rPr>
                    <w:noProof/>
                    <w:lang w:val="cs-CZ"/>
                  </w:rPr>
                  <w:tab/>
                </w:r>
                <w:r w:rsidR="007944E5" w:rsidRPr="00075F80">
                  <w:rPr>
                    <w:rStyle w:val="Hypertextovodkaz"/>
                    <w:rFonts w:ascii="Times New Roman" w:hAnsi="Times New Roman" w:cs="Times New Roman"/>
                    <w:noProof/>
                  </w:rPr>
                  <w:t>Types</w:t>
                </w:r>
                <w:r w:rsidR="007944E5">
                  <w:rPr>
                    <w:noProof/>
                    <w:webHidden/>
                  </w:rPr>
                  <w:tab/>
                </w:r>
                <w:r w:rsidR="007944E5">
                  <w:rPr>
                    <w:noProof/>
                    <w:webHidden/>
                  </w:rPr>
                  <w:fldChar w:fldCharType="begin"/>
                </w:r>
                <w:r w:rsidR="007944E5">
                  <w:rPr>
                    <w:noProof/>
                    <w:webHidden/>
                  </w:rPr>
                  <w:instrText xml:space="preserve"> PAGEREF _Toc415924161 \h </w:instrText>
                </w:r>
                <w:r w:rsidR="007944E5">
                  <w:rPr>
                    <w:noProof/>
                    <w:webHidden/>
                  </w:rPr>
                </w:r>
                <w:r w:rsidR="007944E5">
                  <w:rPr>
                    <w:noProof/>
                    <w:webHidden/>
                  </w:rPr>
                  <w:fldChar w:fldCharType="separate"/>
                </w:r>
                <w:r w:rsidR="007944E5">
                  <w:rPr>
                    <w:noProof/>
                    <w:webHidden/>
                  </w:rPr>
                  <w:t>16</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62" w:history="1">
                <w:r w:rsidR="007944E5" w:rsidRPr="00075F80">
                  <w:rPr>
                    <w:rStyle w:val="Hypertextovodkaz"/>
                    <w:rFonts w:ascii="Times New Roman" w:hAnsi="Times New Roman" w:cs="Times New Roman"/>
                    <w:noProof/>
                  </w:rPr>
                  <w:t>3.2</w:t>
                </w:r>
                <w:r w:rsidR="007944E5">
                  <w:rPr>
                    <w:noProof/>
                    <w:lang w:val="cs-CZ"/>
                  </w:rPr>
                  <w:tab/>
                </w:r>
                <w:r w:rsidR="007944E5" w:rsidRPr="00075F80">
                  <w:rPr>
                    <w:rStyle w:val="Hypertextovodkaz"/>
                    <w:rFonts w:ascii="Times New Roman" w:hAnsi="Times New Roman" w:cs="Times New Roman"/>
                    <w:noProof/>
                  </w:rPr>
                  <w:t>Blocks</w:t>
                </w:r>
                <w:r w:rsidR="007944E5">
                  <w:rPr>
                    <w:noProof/>
                    <w:webHidden/>
                  </w:rPr>
                  <w:tab/>
                </w:r>
                <w:r w:rsidR="007944E5">
                  <w:rPr>
                    <w:noProof/>
                    <w:webHidden/>
                  </w:rPr>
                  <w:fldChar w:fldCharType="begin"/>
                </w:r>
                <w:r w:rsidR="007944E5">
                  <w:rPr>
                    <w:noProof/>
                    <w:webHidden/>
                  </w:rPr>
                  <w:instrText xml:space="preserve"> PAGEREF _Toc415924162 \h </w:instrText>
                </w:r>
                <w:r w:rsidR="007944E5">
                  <w:rPr>
                    <w:noProof/>
                    <w:webHidden/>
                  </w:rPr>
                </w:r>
                <w:r w:rsidR="007944E5">
                  <w:rPr>
                    <w:noProof/>
                    <w:webHidden/>
                  </w:rPr>
                  <w:fldChar w:fldCharType="separate"/>
                </w:r>
                <w:r w:rsidR="007944E5">
                  <w:rPr>
                    <w:noProof/>
                    <w:webHidden/>
                  </w:rPr>
                  <w:t>16</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63" w:history="1">
                <w:r w:rsidR="007944E5" w:rsidRPr="00075F80">
                  <w:rPr>
                    <w:rStyle w:val="Hypertextovodkaz"/>
                    <w:rFonts w:ascii="Times New Roman" w:hAnsi="Times New Roman" w:cs="Times New Roman"/>
                    <w:noProof/>
                  </w:rPr>
                  <w:t>3.3</w:t>
                </w:r>
                <w:r w:rsidR="007944E5">
                  <w:rPr>
                    <w:noProof/>
                    <w:lang w:val="cs-CZ"/>
                  </w:rPr>
                  <w:tab/>
                </w:r>
                <w:r w:rsidR="007944E5" w:rsidRPr="00075F80">
                  <w:rPr>
                    <w:rStyle w:val="Hypertextovodkaz"/>
                    <w:rFonts w:ascii="Times New Roman" w:hAnsi="Times New Roman" w:cs="Times New Roman"/>
                    <w:noProof/>
                  </w:rPr>
                  <w:t>Steady states</w:t>
                </w:r>
                <w:r w:rsidR="007944E5">
                  <w:rPr>
                    <w:noProof/>
                    <w:webHidden/>
                  </w:rPr>
                  <w:tab/>
                </w:r>
                <w:r w:rsidR="007944E5">
                  <w:rPr>
                    <w:noProof/>
                    <w:webHidden/>
                  </w:rPr>
                  <w:fldChar w:fldCharType="begin"/>
                </w:r>
                <w:r w:rsidR="007944E5">
                  <w:rPr>
                    <w:noProof/>
                    <w:webHidden/>
                  </w:rPr>
                  <w:instrText xml:space="preserve"> PAGEREF _Toc415924163 \h </w:instrText>
                </w:r>
                <w:r w:rsidR="007944E5">
                  <w:rPr>
                    <w:noProof/>
                    <w:webHidden/>
                  </w:rPr>
                </w:r>
                <w:r w:rsidR="007944E5">
                  <w:rPr>
                    <w:noProof/>
                    <w:webHidden/>
                  </w:rPr>
                  <w:fldChar w:fldCharType="separate"/>
                </w:r>
                <w:r w:rsidR="007944E5">
                  <w:rPr>
                    <w:noProof/>
                    <w:webHidden/>
                  </w:rPr>
                  <w:t>17</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64" w:history="1">
                <w:r w:rsidR="007944E5" w:rsidRPr="00075F80">
                  <w:rPr>
                    <w:rStyle w:val="Hypertextovodkaz"/>
                    <w:rFonts w:ascii="Times New Roman" w:hAnsi="Times New Roman" w:cs="Times New Roman"/>
                    <w:noProof/>
                  </w:rPr>
                  <w:t>3.4</w:t>
                </w:r>
                <w:r w:rsidR="007944E5">
                  <w:rPr>
                    <w:noProof/>
                    <w:lang w:val="cs-CZ"/>
                  </w:rPr>
                  <w:tab/>
                </w:r>
                <w:r w:rsidR="007944E5" w:rsidRPr="00075F80">
                  <w:rPr>
                    <w:rStyle w:val="Hypertextovodkaz"/>
                    <w:rFonts w:ascii="Times New Roman" w:hAnsi="Times New Roman" w:cs="Times New Roman"/>
                    <w:noProof/>
                  </w:rPr>
                  <w:t>Chemical domain</w:t>
                </w:r>
                <w:r w:rsidR="007944E5">
                  <w:rPr>
                    <w:noProof/>
                    <w:webHidden/>
                  </w:rPr>
                  <w:tab/>
                </w:r>
                <w:r w:rsidR="007944E5">
                  <w:rPr>
                    <w:noProof/>
                    <w:webHidden/>
                  </w:rPr>
                  <w:fldChar w:fldCharType="begin"/>
                </w:r>
                <w:r w:rsidR="007944E5">
                  <w:rPr>
                    <w:noProof/>
                    <w:webHidden/>
                  </w:rPr>
                  <w:instrText xml:space="preserve"> PAGEREF _Toc415924164 \h </w:instrText>
                </w:r>
                <w:r w:rsidR="007944E5">
                  <w:rPr>
                    <w:noProof/>
                    <w:webHidden/>
                  </w:rPr>
                </w:r>
                <w:r w:rsidR="007944E5">
                  <w:rPr>
                    <w:noProof/>
                    <w:webHidden/>
                  </w:rPr>
                  <w:fldChar w:fldCharType="separate"/>
                </w:r>
                <w:r w:rsidR="007944E5">
                  <w:rPr>
                    <w:noProof/>
                    <w:webHidden/>
                  </w:rPr>
                  <w:t>18</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65" w:history="1">
                <w:r w:rsidR="007944E5" w:rsidRPr="00075F80">
                  <w:rPr>
                    <w:rStyle w:val="Hypertextovodkaz"/>
                    <w:rFonts w:ascii="Times New Roman" w:hAnsi="Times New Roman" w:cs="Times New Roman"/>
                    <w:noProof/>
                  </w:rPr>
                  <w:t>3.5</w:t>
                </w:r>
                <w:r w:rsidR="007944E5">
                  <w:rPr>
                    <w:noProof/>
                    <w:lang w:val="cs-CZ"/>
                  </w:rPr>
                  <w:tab/>
                </w:r>
                <w:r w:rsidR="007944E5" w:rsidRPr="00075F80">
                  <w:rPr>
                    <w:rStyle w:val="Hypertextovodkaz"/>
                    <w:rFonts w:ascii="Times New Roman" w:hAnsi="Times New Roman" w:cs="Times New Roman"/>
                    <w:noProof/>
                  </w:rPr>
                  <w:t>Osmotic domain</w:t>
                </w:r>
                <w:r w:rsidR="007944E5">
                  <w:rPr>
                    <w:noProof/>
                    <w:webHidden/>
                  </w:rPr>
                  <w:tab/>
                </w:r>
                <w:r w:rsidR="007944E5">
                  <w:rPr>
                    <w:noProof/>
                    <w:webHidden/>
                  </w:rPr>
                  <w:fldChar w:fldCharType="begin"/>
                </w:r>
                <w:r w:rsidR="007944E5">
                  <w:rPr>
                    <w:noProof/>
                    <w:webHidden/>
                  </w:rPr>
                  <w:instrText xml:space="preserve"> PAGEREF _Toc415924165 \h </w:instrText>
                </w:r>
                <w:r w:rsidR="007944E5">
                  <w:rPr>
                    <w:noProof/>
                    <w:webHidden/>
                  </w:rPr>
                </w:r>
                <w:r w:rsidR="007944E5">
                  <w:rPr>
                    <w:noProof/>
                    <w:webHidden/>
                  </w:rPr>
                  <w:fldChar w:fldCharType="separate"/>
                </w:r>
                <w:r w:rsidR="007944E5">
                  <w:rPr>
                    <w:noProof/>
                    <w:webHidden/>
                  </w:rPr>
                  <w:t>23</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66" w:history="1">
                <w:r w:rsidR="007944E5" w:rsidRPr="00075F80">
                  <w:rPr>
                    <w:rStyle w:val="Hypertextovodkaz"/>
                    <w:rFonts w:ascii="Times New Roman" w:hAnsi="Times New Roman" w:cs="Times New Roman"/>
                    <w:noProof/>
                  </w:rPr>
                  <w:t>3.6</w:t>
                </w:r>
                <w:r w:rsidR="007944E5">
                  <w:rPr>
                    <w:noProof/>
                    <w:lang w:val="cs-CZ"/>
                  </w:rPr>
                  <w:tab/>
                </w:r>
                <w:r w:rsidR="007944E5" w:rsidRPr="00075F80">
                  <w:rPr>
                    <w:rStyle w:val="Hypertextovodkaz"/>
                    <w:rFonts w:ascii="Times New Roman" w:hAnsi="Times New Roman" w:cs="Times New Roman"/>
                    <w:noProof/>
                  </w:rPr>
                  <w:t>Thermal domain</w:t>
                </w:r>
                <w:r w:rsidR="007944E5">
                  <w:rPr>
                    <w:noProof/>
                    <w:webHidden/>
                  </w:rPr>
                  <w:tab/>
                </w:r>
                <w:r w:rsidR="007944E5">
                  <w:rPr>
                    <w:noProof/>
                    <w:webHidden/>
                  </w:rPr>
                  <w:fldChar w:fldCharType="begin"/>
                </w:r>
                <w:r w:rsidR="007944E5">
                  <w:rPr>
                    <w:noProof/>
                    <w:webHidden/>
                  </w:rPr>
                  <w:instrText xml:space="preserve"> PAGEREF _Toc415924166 \h </w:instrText>
                </w:r>
                <w:r w:rsidR="007944E5">
                  <w:rPr>
                    <w:noProof/>
                    <w:webHidden/>
                  </w:rPr>
                </w:r>
                <w:r w:rsidR="007944E5">
                  <w:rPr>
                    <w:noProof/>
                    <w:webHidden/>
                  </w:rPr>
                  <w:fldChar w:fldCharType="separate"/>
                </w:r>
                <w:r w:rsidR="007944E5">
                  <w:rPr>
                    <w:noProof/>
                    <w:webHidden/>
                  </w:rPr>
                  <w:t>25</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67" w:history="1">
                <w:r w:rsidR="007944E5" w:rsidRPr="00075F80">
                  <w:rPr>
                    <w:rStyle w:val="Hypertextovodkaz"/>
                    <w:rFonts w:ascii="Times New Roman" w:hAnsi="Times New Roman" w:cs="Times New Roman"/>
                    <w:noProof/>
                  </w:rPr>
                  <w:t>3.7</w:t>
                </w:r>
                <w:r w:rsidR="007944E5">
                  <w:rPr>
                    <w:noProof/>
                    <w:lang w:val="cs-CZ"/>
                  </w:rPr>
                  <w:tab/>
                </w:r>
                <w:r w:rsidR="007944E5" w:rsidRPr="00075F80">
                  <w:rPr>
                    <w:rStyle w:val="Hypertextovodkaz"/>
                    <w:rFonts w:ascii="Times New Roman" w:hAnsi="Times New Roman" w:cs="Times New Roman"/>
                    <w:noProof/>
                  </w:rPr>
                  <w:t>Hydraulic domain</w:t>
                </w:r>
                <w:r w:rsidR="007944E5">
                  <w:rPr>
                    <w:noProof/>
                    <w:webHidden/>
                  </w:rPr>
                  <w:tab/>
                </w:r>
                <w:r w:rsidR="007944E5">
                  <w:rPr>
                    <w:noProof/>
                    <w:webHidden/>
                  </w:rPr>
                  <w:fldChar w:fldCharType="begin"/>
                </w:r>
                <w:r w:rsidR="007944E5">
                  <w:rPr>
                    <w:noProof/>
                    <w:webHidden/>
                  </w:rPr>
                  <w:instrText xml:space="preserve"> PAGEREF _Toc415924167 \h </w:instrText>
                </w:r>
                <w:r w:rsidR="007944E5">
                  <w:rPr>
                    <w:noProof/>
                    <w:webHidden/>
                  </w:rPr>
                </w:r>
                <w:r w:rsidR="007944E5">
                  <w:rPr>
                    <w:noProof/>
                    <w:webHidden/>
                  </w:rPr>
                  <w:fldChar w:fldCharType="separate"/>
                </w:r>
                <w:r w:rsidR="007944E5">
                  <w:rPr>
                    <w:noProof/>
                    <w:webHidden/>
                  </w:rPr>
                  <w:t>27</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68" w:history="1">
                <w:r w:rsidR="007944E5" w:rsidRPr="00075F80">
                  <w:rPr>
                    <w:rStyle w:val="Hypertextovodkaz"/>
                    <w:rFonts w:ascii="Times New Roman" w:hAnsi="Times New Roman" w:cs="Times New Roman"/>
                    <w:noProof/>
                  </w:rPr>
                  <w:t>3.8</w:t>
                </w:r>
                <w:r w:rsidR="007944E5">
                  <w:rPr>
                    <w:noProof/>
                    <w:lang w:val="cs-CZ"/>
                  </w:rPr>
                  <w:tab/>
                </w:r>
                <w:r w:rsidR="007944E5" w:rsidRPr="00075F80">
                  <w:rPr>
                    <w:rStyle w:val="Hypertextovodkaz"/>
                    <w:rFonts w:ascii="Times New Roman" w:hAnsi="Times New Roman" w:cs="Times New Roman"/>
                    <w:noProof/>
                  </w:rPr>
                  <w:t>Population domain</w:t>
                </w:r>
                <w:r w:rsidR="007944E5">
                  <w:rPr>
                    <w:noProof/>
                    <w:webHidden/>
                  </w:rPr>
                  <w:tab/>
                </w:r>
                <w:r w:rsidR="007944E5">
                  <w:rPr>
                    <w:noProof/>
                    <w:webHidden/>
                  </w:rPr>
                  <w:fldChar w:fldCharType="begin"/>
                </w:r>
                <w:r w:rsidR="007944E5">
                  <w:rPr>
                    <w:noProof/>
                    <w:webHidden/>
                  </w:rPr>
                  <w:instrText xml:space="preserve"> PAGEREF _Toc415924168 \h </w:instrText>
                </w:r>
                <w:r w:rsidR="007944E5">
                  <w:rPr>
                    <w:noProof/>
                    <w:webHidden/>
                  </w:rPr>
                </w:r>
                <w:r w:rsidR="007944E5">
                  <w:rPr>
                    <w:noProof/>
                    <w:webHidden/>
                  </w:rPr>
                  <w:fldChar w:fldCharType="separate"/>
                </w:r>
                <w:r w:rsidR="007944E5">
                  <w:rPr>
                    <w:noProof/>
                    <w:webHidden/>
                  </w:rPr>
                  <w:t>28</w:t>
                </w:r>
                <w:r w:rsidR="007944E5">
                  <w:rPr>
                    <w:noProof/>
                    <w:webHidden/>
                  </w:rPr>
                  <w:fldChar w:fldCharType="end"/>
                </w:r>
              </w:hyperlink>
            </w:p>
            <w:p w:rsidR="007944E5" w:rsidRDefault="00B47FE0">
              <w:pPr>
                <w:pStyle w:val="Obsah1"/>
                <w:tabs>
                  <w:tab w:val="left" w:pos="400"/>
                  <w:tab w:val="right" w:leader="dot" w:pos="8395"/>
                </w:tabs>
                <w:rPr>
                  <w:noProof/>
                  <w:lang w:val="cs-CZ"/>
                </w:rPr>
              </w:pPr>
              <w:hyperlink w:anchor="_Toc415924169" w:history="1">
                <w:r w:rsidR="007944E5" w:rsidRPr="00075F80">
                  <w:rPr>
                    <w:rStyle w:val="Hypertextovodkaz"/>
                    <w:rFonts w:ascii="Times New Roman" w:hAnsi="Times New Roman" w:cs="Times New Roman"/>
                    <w:noProof/>
                  </w:rPr>
                  <w:t>4</w:t>
                </w:r>
                <w:r w:rsidR="007944E5">
                  <w:rPr>
                    <w:noProof/>
                    <w:lang w:val="cs-CZ"/>
                  </w:rPr>
                  <w:tab/>
                </w:r>
                <w:r w:rsidR="007944E5" w:rsidRPr="00075F80">
                  <w:rPr>
                    <w:rStyle w:val="Hypertextovodkaz"/>
                    <w:rFonts w:ascii="Times New Roman" w:hAnsi="Times New Roman" w:cs="Times New Roman"/>
                    <w:noProof/>
                  </w:rPr>
                  <w:t>Physiomodel</w:t>
                </w:r>
                <w:r w:rsidR="007944E5">
                  <w:rPr>
                    <w:noProof/>
                    <w:webHidden/>
                  </w:rPr>
                  <w:tab/>
                </w:r>
                <w:r w:rsidR="007944E5">
                  <w:rPr>
                    <w:noProof/>
                    <w:webHidden/>
                  </w:rPr>
                  <w:fldChar w:fldCharType="begin"/>
                </w:r>
                <w:r w:rsidR="007944E5">
                  <w:rPr>
                    <w:noProof/>
                    <w:webHidden/>
                  </w:rPr>
                  <w:instrText xml:space="preserve"> PAGEREF _Toc415924169 \h </w:instrText>
                </w:r>
                <w:r w:rsidR="007944E5">
                  <w:rPr>
                    <w:noProof/>
                    <w:webHidden/>
                  </w:rPr>
                </w:r>
                <w:r w:rsidR="007944E5">
                  <w:rPr>
                    <w:noProof/>
                    <w:webHidden/>
                  </w:rPr>
                  <w:fldChar w:fldCharType="separate"/>
                </w:r>
                <w:r w:rsidR="007944E5">
                  <w:rPr>
                    <w:noProof/>
                    <w:webHidden/>
                  </w:rPr>
                  <w:t>30</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70" w:history="1">
                <w:r w:rsidR="007944E5" w:rsidRPr="00075F80">
                  <w:rPr>
                    <w:rStyle w:val="Hypertextovodkaz"/>
                    <w:rFonts w:ascii="Times New Roman" w:hAnsi="Times New Roman" w:cs="Times New Roman"/>
                    <w:noProof/>
                  </w:rPr>
                  <w:t>4.1</w:t>
                </w:r>
                <w:r w:rsidR="007944E5">
                  <w:rPr>
                    <w:noProof/>
                    <w:lang w:val="cs-CZ"/>
                  </w:rPr>
                  <w:tab/>
                </w:r>
                <w:r w:rsidR="007944E5" w:rsidRPr="00075F80">
                  <w:rPr>
                    <w:rStyle w:val="Hypertextovodkaz"/>
                    <w:rFonts w:ascii="Times New Roman" w:hAnsi="Times New Roman" w:cs="Times New Roman"/>
                    <w:noProof/>
                  </w:rPr>
                  <w:t>Cardiovascular system</w:t>
                </w:r>
                <w:r w:rsidR="007944E5">
                  <w:rPr>
                    <w:noProof/>
                    <w:webHidden/>
                  </w:rPr>
                  <w:tab/>
                </w:r>
                <w:r w:rsidR="007944E5">
                  <w:rPr>
                    <w:noProof/>
                    <w:webHidden/>
                  </w:rPr>
                  <w:fldChar w:fldCharType="begin"/>
                </w:r>
                <w:r w:rsidR="007944E5">
                  <w:rPr>
                    <w:noProof/>
                    <w:webHidden/>
                  </w:rPr>
                  <w:instrText xml:space="preserve"> PAGEREF _Toc415924170 \h </w:instrText>
                </w:r>
                <w:r w:rsidR="007944E5">
                  <w:rPr>
                    <w:noProof/>
                    <w:webHidden/>
                  </w:rPr>
                </w:r>
                <w:r w:rsidR="007944E5">
                  <w:rPr>
                    <w:noProof/>
                    <w:webHidden/>
                  </w:rPr>
                  <w:fldChar w:fldCharType="separate"/>
                </w:r>
                <w:r w:rsidR="007944E5">
                  <w:rPr>
                    <w:noProof/>
                    <w:webHidden/>
                  </w:rPr>
                  <w:t>30</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71" w:history="1">
                <w:r w:rsidR="007944E5" w:rsidRPr="00075F80">
                  <w:rPr>
                    <w:rStyle w:val="Hypertextovodkaz"/>
                    <w:rFonts w:ascii="Times New Roman" w:hAnsi="Times New Roman" w:cs="Times New Roman"/>
                    <w:noProof/>
                  </w:rPr>
                  <w:t>4.2</w:t>
                </w:r>
                <w:r w:rsidR="007944E5">
                  <w:rPr>
                    <w:noProof/>
                    <w:lang w:val="cs-CZ"/>
                  </w:rPr>
                  <w:tab/>
                </w:r>
                <w:r w:rsidR="007944E5" w:rsidRPr="00075F80">
                  <w:rPr>
                    <w:rStyle w:val="Hypertextovodkaz"/>
                    <w:rFonts w:ascii="Times New Roman" w:hAnsi="Times New Roman" w:cs="Times New Roman"/>
                    <w:noProof/>
                  </w:rPr>
                  <w:t>Body Water</w:t>
                </w:r>
                <w:r w:rsidR="007944E5">
                  <w:rPr>
                    <w:noProof/>
                    <w:webHidden/>
                  </w:rPr>
                  <w:tab/>
                </w:r>
                <w:r w:rsidR="007944E5">
                  <w:rPr>
                    <w:noProof/>
                    <w:webHidden/>
                  </w:rPr>
                  <w:fldChar w:fldCharType="begin"/>
                </w:r>
                <w:r w:rsidR="007944E5">
                  <w:rPr>
                    <w:noProof/>
                    <w:webHidden/>
                  </w:rPr>
                  <w:instrText xml:space="preserve"> PAGEREF _Toc415924171 \h </w:instrText>
                </w:r>
                <w:r w:rsidR="007944E5">
                  <w:rPr>
                    <w:noProof/>
                    <w:webHidden/>
                  </w:rPr>
                </w:r>
                <w:r w:rsidR="007944E5">
                  <w:rPr>
                    <w:noProof/>
                    <w:webHidden/>
                  </w:rPr>
                  <w:fldChar w:fldCharType="separate"/>
                </w:r>
                <w:r w:rsidR="007944E5">
                  <w:rPr>
                    <w:noProof/>
                    <w:webHidden/>
                  </w:rPr>
                  <w:t>35</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72" w:history="1">
                <w:r w:rsidR="007944E5" w:rsidRPr="00075F80">
                  <w:rPr>
                    <w:rStyle w:val="Hypertextovodkaz"/>
                    <w:rFonts w:ascii="Times New Roman" w:hAnsi="Times New Roman" w:cs="Times New Roman"/>
                    <w:noProof/>
                  </w:rPr>
                  <w:t>4.3</w:t>
                </w:r>
                <w:r w:rsidR="007944E5">
                  <w:rPr>
                    <w:noProof/>
                    <w:lang w:val="cs-CZ"/>
                  </w:rPr>
                  <w:tab/>
                </w:r>
                <w:r w:rsidR="007944E5" w:rsidRPr="00075F80">
                  <w:rPr>
                    <w:rStyle w:val="Hypertextovodkaz"/>
                    <w:rFonts w:ascii="Times New Roman" w:hAnsi="Times New Roman" w:cs="Times New Roman"/>
                    <w:noProof/>
                  </w:rPr>
                  <w:t>Hormones</w:t>
                </w:r>
                <w:r w:rsidR="007944E5">
                  <w:rPr>
                    <w:noProof/>
                    <w:webHidden/>
                  </w:rPr>
                  <w:tab/>
                </w:r>
                <w:r w:rsidR="007944E5">
                  <w:rPr>
                    <w:noProof/>
                    <w:webHidden/>
                  </w:rPr>
                  <w:fldChar w:fldCharType="begin"/>
                </w:r>
                <w:r w:rsidR="007944E5">
                  <w:rPr>
                    <w:noProof/>
                    <w:webHidden/>
                  </w:rPr>
                  <w:instrText xml:space="preserve"> PAGEREF _Toc415924172 \h </w:instrText>
                </w:r>
                <w:r w:rsidR="007944E5">
                  <w:rPr>
                    <w:noProof/>
                    <w:webHidden/>
                  </w:rPr>
                </w:r>
                <w:r w:rsidR="007944E5">
                  <w:rPr>
                    <w:noProof/>
                    <w:webHidden/>
                  </w:rPr>
                  <w:fldChar w:fldCharType="separate"/>
                </w:r>
                <w:r w:rsidR="007944E5">
                  <w:rPr>
                    <w:noProof/>
                    <w:webHidden/>
                  </w:rPr>
                  <w:t>39</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73" w:history="1">
                <w:r w:rsidR="007944E5" w:rsidRPr="00075F80">
                  <w:rPr>
                    <w:rStyle w:val="Hypertextovodkaz"/>
                    <w:rFonts w:ascii="Times New Roman" w:hAnsi="Times New Roman" w:cs="Times New Roman"/>
                    <w:noProof/>
                  </w:rPr>
                  <w:t>4.4</w:t>
                </w:r>
                <w:r w:rsidR="007944E5">
                  <w:rPr>
                    <w:noProof/>
                    <w:lang w:val="cs-CZ"/>
                  </w:rPr>
                  <w:tab/>
                </w:r>
                <w:r w:rsidR="007944E5" w:rsidRPr="00075F80">
                  <w:rPr>
                    <w:rStyle w:val="Hypertextovodkaz"/>
                    <w:rFonts w:ascii="Times New Roman" w:hAnsi="Times New Roman" w:cs="Times New Roman"/>
                    <w:noProof/>
                  </w:rPr>
                  <w:t>Electrolytes and Acid-Base</w:t>
                </w:r>
                <w:r w:rsidR="007944E5">
                  <w:rPr>
                    <w:noProof/>
                    <w:webHidden/>
                  </w:rPr>
                  <w:tab/>
                </w:r>
                <w:r w:rsidR="007944E5">
                  <w:rPr>
                    <w:noProof/>
                    <w:webHidden/>
                  </w:rPr>
                  <w:fldChar w:fldCharType="begin"/>
                </w:r>
                <w:r w:rsidR="007944E5">
                  <w:rPr>
                    <w:noProof/>
                    <w:webHidden/>
                  </w:rPr>
                  <w:instrText xml:space="preserve"> PAGEREF _Toc415924173 \h </w:instrText>
                </w:r>
                <w:r w:rsidR="007944E5">
                  <w:rPr>
                    <w:noProof/>
                    <w:webHidden/>
                  </w:rPr>
                </w:r>
                <w:r w:rsidR="007944E5">
                  <w:rPr>
                    <w:noProof/>
                    <w:webHidden/>
                  </w:rPr>
                  <w:fldChar w:fldCharType="separate"/>
                </w:r>
                <w:r w:rsidR="007944E5">
                  <w:rPr>
                    <w:noProof/>
                    <w:webHidden/>
                  </w:rPr>
                  <w:t>42</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74" w:history="1">
                <w:r w:rsidR="007944E5" w:rsidRPr="00075F80">
                  <w:rPr>
                    <w:rStyle w:val="Hypertextovodkaz"/>
                    <w:rFonts w:ascii="Times New Roman" w:hAnsi="Times New Roman" w:cs="Times New Roman"/>
                    <w:noProof/>
                  </w:rPr>
                  <w:t>4.5</w:t>
                </w:r>
                <w:r w:rsidR="007944E5">
                  <w:rPr>
                    <w:noProof/>
                    <w:lang w:val="cs-CZ"/>
                  </w:rPr>
                  <w:tab/>
                </w:r>
                <w:r w:rsidR="007944E5" w:rsidRPr="00075F80">
                  <w:rPr>
                    <w:rStyle w:val="Hypertextovodkaz"/>
                    <w:rFonts w:ascii="Times New Roman" w:hAnsi="Times New Roman" w:cs="Times New Roman"/>
                    <w:noProof/>
                  </w:rPr>
                  <w:t>Blood Gases</w:t>
                </w:r>
                <w:r w:rsidR="007944E5">
                  <w:rPr>
                    <w:noProof/>
                    <w:webHidden/>
                  </w:rPr>
                  <w:tab/>
                </w:r>
                <w:r w:rsidR="007944E5">
                  <w:rPr>
                    <w:noProof/>
                    <w:webHidden/>
                  </w:rPr>
                  <w:fldChar w:fldCharType="begin"/>
                </w:r>
                <w:r w:rsidR="007944E5">
                  <w:rPr>
                    <w:noProof/>
                    <w:webHidden/>
                  </w:rPr>
                  <w:instrText xml:space="preserve"> PAGEREF _Toc415924174 \h </w:instrText>
                </w:r>
                <w:r w:rsidR="007944E5">
                  <w:rPr>
                    <w:noProof/>
                    <w:webHidden/>
                  </w:rPr>
                </w:r>
                <w:r w:rsidR="007944E5">
                  <w:rPr>
                    <w:noProof/>
                    <w:webHidden/>
                  </w:rPr>
                  <w:fldChar w:fldCharType="separate"/>
                </w:r>
                <w:r w:rsidR="007944E5">
                  <w:rPr>
                    <w:noProof/>
                    <w:webHidden/>
                  </w:rPr>
                  <w:t>46</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75" w:history="1">
                <w:r w:rsidR="007944E5" w:rsidRPr="00075F80">
                  <w:rPr>
                    <w:rStyle w:val="Hypertextovodkaz"/>
                    <w:rFonts w:ascii="Times New Roman" w:hAnsi="Times New Roman" w:cs="Times New Roman"/>
                    <w:noProof/>
                  </w:rPr>
                  <w:t>4.6</w:t>
                </w:r>
                <w:r w:rsidR="007944E5">
                  <w:rPr>
                    <w:noProof/>
                    <w:lang w:val="cs-CZ"/>
                  </w:rPr>
                  <w:tab/>
                </w:r>
                <w:r w:rsidR="007944E5" w:rsidRPr="00075F80">
                  <w:rPr>
                    <w:rStyle w:val="Hypertextovodkaz"/>
                    <w:rFonts w:ascii="Times New Roman" w:hAnsi="Times New Roman" w:cs="Times New Roman"/>
                    <w:noProof/>
                  </w:rPr>
                  <w:t>Nutrients and Metabolism</w:t>
                </w:r>
                <w:r w:rsidR="007944E5">
                  <w:rPr>
                    <w:noProof/>
                    <w:webHidden/>
                  </w:rPr>
                  <w:tab/>
                </w:r>
                <w:r w:rsidR="007944E5">
                  <w:rPr>
                    <w:noProof/>
                    <w:webHidden/>
                  </w:rPr>
                  <w:fldChar w:fldCharType="begin"/>
                </w:r>
                <w:r w:rsidR="007944E5">
                  <w:rPr>
                    <w:noProof/>
                    <w:webHidden/>
                  </w:rPr>
                  <w:instrText xml:space="preserve"> PAGEREF _Toc415924175 \h </w:instrText>
                </w:r>
                <w:r w:rsidR="007944E5">
                  <w:rPr>
                    <w:noProof/>
                    <w:webHidden/>
                  </w:rPr>
                </w:r>
                <w:r w:rsidR="007944E5">
                  <w:rPr>
                    <w:noProof/>
                    <w:webHidden/>
                  </w:rPr>
                  <w:fldChar w:fldCharType="separate"/>
                </w:r>
                <w:r w:rsidR="007944E5">
                  <w:rPr>
                    <w:noProof/>
                    <w:webHidden/>
                  </w:rPr>
                  <w:t>48</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76" w:history="1">
                <w:r w:rsidR="007944E5" w:rsidRPr="00075F80">
                  <w:rPr>
                    <w:rStyle w:val="Hypertextovodkaz"/>
                    <w:rFonts w:ascii="Times New Roman" w:hAnsi="Times New Roman" w:cs="Times New Roman"/>
                    <w:noProof/>
                  </w:rPr>
                  <w:t>4.7</w:t>
                </w:r>
                <w:r w:rsidR="007944E5">
                  <w:rPr>
                    <w:noProof/>
                    <w:lang w:val="cs-CZ"/>
                  </w:rPr>
                  <w:tab/>
                </w:r>
                <w:r w:rsidR="007944E5" w:rsidRPr="00075F80">
                  <w:rPr>
                    <w:rStyle w:val="Hypertextovodkaz"/>
                    <w:rFonts w:ascii="Times New Roman" w:hAnsi="Times New Roman" w:cs="Times New Roman"/>
                    <w:noProof/>
                  </w:rPr>
                  <w:t>Thermoregulation</w:t>
                </w:r>
                <w:r w:rsidR="007944E5">
                  <w:rPr>
                    <w:noProof/>
                    <w:webHidden/>
                  </w:rPr>
                  <w:tab/>
                </w:r>
                <w:r w:rsidR="007944E5">
                  <w:rPr>
                    <w:noProof/>
                    <w:webHidden/>
                  </w:rPr>
                  <w:fldChar w:fldCharType="begin"/>
                </w:r>
                <w:r w:rsidR="007944E5">
                  <w:rPr>
                    <w:noProof/>
                    <w:webHidden/>
                  </w:rPr>
                  <w:instrText xml:space="preserve"> PAGEREF _Toc415924176 \h </w:instrText>
                </w:r>
                <w:r w:rsidR="007944E5">
                  <w:rPr>
                    <w:noProof/>
                    <w:webHidden/>
                  </w:rPr>
                </w:r>
                <w:r w:rsidR="007944E5">
                  <w:rPr>
                    <w:noProof/>
                    <w:webHidden/>
                  </w:rPr>
                  <w:fldChar w:fldCharType="separate"/>
                </w:r>
                <w:r w:rsidR="007944E5">
                  <w:rPr>
                    <w:noProof/>
                    <w:webHidden/>
                  </w:rPr>
                  <w:t>52</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77" w:history="1">
                <w:r w:rsidR="007944E5" w:rsidRPr="00075F80">
                  <w:rPr>
                    <w:rStyle w:val="Hypertextovodkaz"/>
                    <w:rFonts w:ascii="Times New Roman" w:hAnsi="Times New Roman" w:cs="Times New Roman"/>
                    <w:noProof/>
                  </w:rPr>
                  <w:t>4.8</w:t>
                </w:r>
                <w:r w:rsidR="007944E5">
                  <w:rPr>
                    <w:noProof/>
                    <w:lang w:val="cs-CZ"/>
                  </w:rPr>
                  <w:tab/>
                </w:r>
                <w:r w:rsidR="007944E5" w:rsidRPr="00075F80">
                  <w:rPr>
                    <w:rStyle w:val="Hypertextovodkaz"/>
                    <w:rFonts w:ascii="Times New Roman" w:hAnsi="Times New Roman" w:cs="Times New Roman"/>
                    <w:noProof/>
                  </w:rPr>
                  <w:t>Neural Regulations</w:t>
                </w:r>
                <w:r w:rsidR="007944E5">
                  <w:rPr>
                    <w:noProof/>
                    <w:webHidden/>
                  </w:rPr>
                  <w:tab/>
                </w:r>
                <w:r w:rsidR="007944E5">
                  <w:rPr>
                    <w:noProof/>
                    <w:webHidden/>
                  </w:rPr>
                  <w:fldChar w:fldCharType="begin"/>
                </w:r>
                <w:r w:rsidR="007944E5">
                  <w:rPr>
                    <w:noProof/>
                    <w:webHidden/>
                  </w:rPr>
                  <w:instrText xml:space="preserve"> PAGEREF _Toc415924177 \h </w:instrText>
                </w:r>
                <w:r w:rsidR="007944E5">
                  <w:rPr>
                    <w:noProof/>
                    <w:webHidden/>
                  </w:rPr>
                </w:r>
                <w:r w:rsidR="007944E5">
                  <w:rPr>
                    <w:noProof/>
                    <w:webHidden/>
                  </w:rPr>
                  <w:fldChar w:fldCharType="separate"/>
                </w:r>
                <w:r w:rsidR="007944E5">
                  <w:rPr>
                    <w:noProof/>
                    <w:webHidden/>
                  </w:rPr>
                  <w:t>53</w:t>
                </w:r>
                <w:r w:rsidR="007944E5">
                  <w:rPr>
                    <w:noProof/>
                    <w:webHidden/>
                  </w:rPr>
                  <w:fldChar w:fldCharType="end"/>
                </w:r>
              </w:hyperlink>
            </w:p>
            <w:p w:rsidR="007944E5" w:rsidRDefault="00B47FE0">
              <w:pPr>
                <w:pStyle w:val="Obsah1"/>
                <w:tabs>
                  <w:tab w:val="left" w:pos="400"/>
                  <w:tab w:val="right" w:leader="dot" w:pos="8395"/>
                </w:tabs>
                <w:rPr>
                  <w:noProof/>
                  <w:lang w:val="cs-CZ"/>
                </w:rPr>
              </w:pPr>
              <w:hyperlink w:anchor="_Toc415924178" w:history="1">
                <w:r w:rsidR="007944E5" w:rsidRPr="00075F80">
                  <w:rPr>
                    <w:rStyle w:val="Hypertextovodkaz"/>
                    <w:rFonts w:ascii="Times New Roman" w:hAnsi="Times New Roman" w:cs="Times New Roman"/>
                    <w:noProof/>
                  </w:rPr>
                  <w:t>5</w:t>
                </w:r>
                <w:r w:rsidR="007944E5">
                  <w:rPr>
                    <w:noProof/>
                    <w:lang w:val="cs-CZ"/>
                  </w:rPr>
                  <w:tab/>
                </w:r>
                <w:r w:rsidR="007944E5" w:rsidRPr="00075F80">
                  <w:rPr>
                    <w:rStyle w:val="Hypertextovodkaz"/>
                    <w:rFonts w:ascii="Times New Roman" w:hAnsi="Times New Roman" w:cs="Times New Roman"/>
                    <w:noProof/>
                  </w:rPr>
                  <w:t>Discussion</w:t>
                </w:r>
                <w:r w:rsidR="007944E5">
                  <w:rPr>
                    <w:noProof/>
                    <w:webHidden/>
                  </w:rPr>
                  <w:tab/>
                </w:r>
                <w:r w:rsidR="007944E5">
                  <w:rPr>
                    <w:noProof/>
                    <w:webHidden/>
                  </w:rPr>
                  <w:fldChar w:fldCharType="begin"/>
                </w:r>
                <w:r w:rsidR="007944E5">
                  <w:rPr>
                    <w:noProof/>
                    <w:webHidden/>
                  </w:rPr>
                  <w:instrText xml:space="preserve"> PAGEREF _Toc415924178 \h </w:instrText>
                </w:r>
                <w:r w:rsidR="007944E5">
                  <w:rPr>
                    <w:noProof/>
                    <w:webHidden/>
                  </w:rPr>
                </w:r>
                <w:r w:rsidR="007944E5">
                  <w:rPr>
                    <w:noProof/>
                    <w:webHidden/>
                  </w:rPr>
                  <w:fldChar w:fldCharType="separate"/>
                </w:r>
                <w:r w:rsidR="007944E5">
                  <w:rPr>
                    <w:noProof/>
                    <w:webHidden/>
                  </w:rPr>
                  <w:t>56</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79" w:history="1">
                <w:r w:rsidR="007944E5" w:rsidRPr="00075F80">
                  <w:rPr>
                    <w:rStyle w:val="Hypertextovodkaz"/>
                    <w:noProof/>
                  </w:rPr>
                  <w:t>5.1</w:t>
                </w:r>
                <w:r w:rsidR="007944E5">
                  <w:rPr>
                    <w:noProof/>
                    <w:lang w:val="cs-CZ"/>
                  </w:rPr>
                  <w:tab/>
                </w:r>
                <w:r w:rsidR="007944E5" w:rsidRPr="00075F80">
                  <w:rPr>
                    <w:rStyle w:val="Hypertextovodkaz"/>
                    <w:noProof/>
                  </w:rPr>
                  <w:t>Physiological expandability</w:t>
                </w:r>
                <w:r w:rsidR="007944E5">
                  <w:rPr>
                    <w:noProof/>
                    <w:webHidden/>
                  </w:rPr>
                  <w:tab/>
                </w:r>
                <w:r w:rsidR="007944E5">
                  <w:rPr>
                    <w:noProof/>
                    <w:webHidden/>
                  </w:rPr>
                  <w:fldChar w:fldCharType="begin"/>
                </w:r>
                <w:r w:rsidR="007944E5">
                  <w:rPr>
                    <w:noProof/>
                    <w:webHidden/>
                  </w:rPr>
                  <w:instrText xml:space="preserve"> PAGEREF _Toc415924179 \h </w:instrText>
                </w:r>
                <w:r w:rsidR="007944E5">
                  <w:rPr>
                    <w:noProof/>
                    <w:webHidden/>
                  </w:rPr>
                </w:r>
                <w:r w:rsidR="007944E5">
                  <w:rPr>
                    <w:noProof/>
                    <w:webHidden/>
                  </w:rPr>
                  <w:fldChar w:fldCharType="separate"/>
                </w:r>
                <w:r w:rsidR="007944E5">
                  <w:rPr>
                    <w:noProof/>
                    <w:webHidden/>
                  </w:rPr>
                  <w:t>56</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80" w:history="1">
                <w:r w:rsidR="007944E5" w:rsidRPr="00075F80">
                  <w:rPr>
                    <w:rStyle w:val="Hypertextovodkaz"/>
                    <w:noProof/>
                  </w:rPr>
                  <w:t>5.2</w:t>
                </w:r>
                <w:r w:rsidR="007944E5">
                  <w:rPr>
                    <w:noProof/>
                    <w:lang w:val="cs-CZ"/>
                  </w:rPr>
                  <w:tab/>
                </w:r>
                <w:r w:rsidR="007944E5" w:rsidRPr="00075F80">
                  <w:rPr>
                    <w:rStyle w:val="Hypertextovodkaz"/>
                    <w:noProof/>
                  </w:rPr>
                  <w:t>Expandability in field of physical chemistry</w:t>
                </w:r>
                <w:r w:rsidR="007944E5">
                  <w:rPr>
                    <w:noProof/>
                    <w:webHidden/>
                  </w:rPr>
                  <w:tab/>
                </w:r>
                <w:r w:rsidR="007944E5">
                  <w:rPr>
                    <w:noProof/>
                    <w:webHidden/>
                  </w:rPr>
                  <w:fldChar w:fldCharType="begin"/>
                </w:r>
                <w:r w:rsidR="007944E5">
                  <w:rPr>
                    <w:noProof/>
                    <w:webHidden/>
                  </w:rPr>
                  <w:instrText xml:space="preserve"> PAGEREF _Toc415924180 \h </w:instrText>
                </w:r>
                <w:r w:rsidR="007944E5">
                  <w:rPr>
                    <w:noProof/>
                    <w:webHidden/>
                  </w:rPr>
                </w:r>
                <w:r w:rsidR="007944E5">
                  <w:rPr>
                    <w:noProof/>
                    <w:webHidden/>
                  </w:rPr>
                  <w:fldChar w:fldCharType="separate"/>
                </w:r>
                <w:r w:rsidR="007944E5">
                  <w:rPr>
                    <w:noProof/>
                    <w:webHidden/>
                  </w:rPr>
                  <w:t>57</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81" w:history="1">
                <w:r w:rsidR="007944E5" w:rsidRPr="00075F80">
                  <w:rPr>
                    <w:rStyle w:val="Hypertextovodkaz"/>
                    <w:noProof/>
                  </w:rPr>
                  <w:t>5.3</w:t>
                </w:r>
                <w:r w:rsidR="007944E5">
                  <w:rPr>
                    <w:noProof/>
                    <w:lang w:val="cs-CZ"/>
                  </w:rPr>
                  <w:tab/>
                </w:r>
                <w:r w:rsidR="007944E5" w:rsidRPr="00075F80">
                  <w:rPr>
                    <w:rStyle w:val="Hypertextovodkaz"/>
                    <w:noProof/>
                  </w:rPr>
                  <w:t>Computer Science expandability</w:t>
                </w:r>
                <w:r w:rsidR="007944E5">
                  <w:rPr>
                    <w:noProof/>
                    <w:webHidden/>
                  </w:rPr>
                  <w:tab/>
                </w:r>
                <w:r w:rsidR="007944E5">
                  <w:rPr>
                    <w:noProof/>
                    <w:webHidden/>
                  </w:rPr>
                  <w:fldChar w:fldCharType="begin"/>
                </w:r>
                <w:r w:rsidR="007944E5">
                  <w:rPr>
                    <w:noProof/>
                    <w:webHidden/>
                  </w:rPr>
                  <w:instrText xml:space="preserve"> PAGEREF _Toc415924181 \h </w:instrText>
                </w:r>
                <w:r w:rsidR="007944E5">
                  <w:rPr>
                    <w:noProof/>
                    <w:webHidden/>
                  </w:rPr>
                </w:r>
                <w:r w:rsidR="007944E5">
                  <w:rPr>
                    <w:noProof/>
                    <w:webHidden/>
                  </w:rPr>
                  <w:fldChar w:fldCharType="separate"/>
                </w:r>
                <w:r w:rsidR="007944E5">
                  <w:rPr>
                    <w:noProof/>
                    <w:webHidden/>
                  </w:rPr>
                  <w:t>59</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82" w:history="1">
                <w:r w:rsidR="007944E5" w:rsidRPr="00075F80">
                  <w:rPr>
                    <w:rStyle w:val="Hypertextovodkaz"/>
                    <w:noProof/>
                  </w:rPr>
                  <w:t>5.4</w:t>
                </w:r>
                <w:r w:rsidR="007944E5">
                  <w:rPr>
                    <w:noProof/>
                    <w:lang w:val="cs-CZ"/>
                  </w:rPr>
                  <w:tab/>
                </w:r>
                <w:r w:rsidR="007944E5" w:rsidRPr="00075F80">
                  <w:rPr>
                    <w:rStyle w:val="Hypertextovodkaz"/>
                    <w:noProof/>
                  </w:rPr>
                  <w:t>Mathematical expandability</w:t>
                </w:r>
                <w:r w:rsidR="007944E5">
                  <w:rPr>
                    <w:noProof/>
                    <w:webHidden/>
                  </w:rPr>
                  <w:tab/>
                </w:r>
                <w:r w:rsidR="007944E5">
                  <w:rPr>
                    <w:noProof/>
                    <w:webHidden/>
                  </w:rPr>
                  <w:fldChar w:fldCharType="begin"/>
                </w:r>
                <w:r w:rsidR="007944E5">
                  <w:rPr>
                    <w:noProof/>
                    <w:webHidden/>
                  </w:rPr>
                  <w:instrText xml:space="preserve"> PAGEREF _Toc415924182 \h </w:instrText>
                </w:r>
                <w:r w:rsidR="007944E5">
                  <w:rPr>
                    <w:noProof/>
                    <w:webHidden/>
                  </w:rPr>
                </w:r>
                <w:r w:rsidR="007944E5">
                  <w:rPr>
                    <w:noProof/>
                    <w:webHidden/>
                  </w:rPr>
                  <w:fldChar w:fldCharType="separate"/>
                </w:r>
                <w:r w:rsidR="007944E5">
                  <w:rPr>
                    <w:noProof/>
                    <w:webHidden/>
                  </w:rPr>
                  <w:t>61</w:t>
                </w:r>
                <w:r w:rsidR="007944E5">
                  <w:rPr>
                    <w:noProof/>
                    <w:webHidden/>
                  </w:rPr>
                  <w:fldChar w:fldCharType="end"/>
                </w:r>
              </w:hyperlink>
            </w:p>
            <w:p w:rsidR="007944E5" w:rsidRDefault="00B47FE0">
              <w:pPr>
                <w:pStyle w:val="Obsah2"/>
                <w:tabs>
                  <w:tab w:val="left" w:pos="880"/>
                  <w:tab w:val="right" w:leader="dot" w:pos="8395"/>
                </w:tabs>
                <w:rPr>
                  <w:noProof/>
                  <w:lang w:val="cs-CZ"/>
                </w:rPr>
              </w:pPr>
              <w:hyperlink w:anchor="_Toc415924183" w:history="1">
                <w:r w:rsidR="007944E5" w:rsidRPr="00075F80">
                  <w:rPr>
                    <w:rStyle w:val="Hypertextovodkaz"/>
                    <w:noProof/>
                  </w:rPr>
                  <w:t>5.5</w:t>
                </w:r>
                <w:r w:rsidR="007944E5">
                  <w:rPr>
                    <w:noProof/>
                    <w:lang w:val="cs-CZ"/>
                  </w:rPr>
                  <w:tab/>
                </w:r>
                <w:r w:rsidR="007944E5" w:rsidRPr="00075F80">
                  <w:rPr>
                    <w:rStyle w:val="Hypertextovodkaz"/>
                    <w:noProof/>
                  </w:rPr>
                  <w:t>(In)Consistency</w:t>
                </w:r>
                <w:r w:rsidR="007944E5">
                  <w:rPr>
                    <w:noProof/>
                    <w:webHidden/>
                  </w:rPr>
                  <w:tab/>
                </w:r>
                <w:r w:rsidR="007944E5">
                  <w:rPr>
                    <w:noProof/>
                    <w:webHidden/>
                  </w:rPr>
                  <w:fldChar w:fldCharType="begin"/>
                </w:r>
                <w:r w:rsidR="007944E5">
                  <w:rPr>
                    <w:noProof/>
                    <w:webHidden/>
                  </w:rPr>
                  <w:instrText xml:space="preserve"> PAGEREF _Toc415924183 \h </w:instrText>
                </w:r>
                <w:r w:rsidR="007944E5">
                  <w:rPr>
                    <w:noProof/>
                    <w:webHidden/>
                  </w:rPr>
                </w:r>
                <w:r w:rsidR="007944E5">
                  <w:rPr>
                    <w:noProof/>
                    <w:webHidden/>
                  </w:rPr>
                  <w:fldChar w:fldCharType="separate"/>
                </w:r>
                <w:r w:rsidR="007944E5">
                  <w:rPr>
                    <w:noProof/>
                    <w:webHidden/>
                  </w:rPr>
                  <w:t>61</w:t>
                </w:r>
                <w:r w:rsidR="007944E5">
                  <w:rPr>
                    <w:noProof/>
                    <w:webHidden/>
                  </w:rPr>
                  <w:fldChar w:fldCharType="end"/>
                </w:r>
              </w:hyperlink>
            </w:p>
            <w:p w:rsidR="007944E5" w:rsidRDefault="00B47FE0">
              <w:pPr>
                <w:pStyle w:val="Obsah1"/>
                <w:tabs>
                  <w:tab w:val="left" w:pos="400"/>
                  <w:tab w:val="right" w:leader="dot" w:pos="8395"/>
                </w:tabs>
                <w:rPr>
                  <w:noProof/>
                  <w:lang w:val="cs-CZ"/>
                </w:rPr>
              </w:pPr>
              <w:hyperlink w:anchor="_Toc415924184" w:history="1">
                <w:r w:rsidR="007944E5" w:rsidRPr="00075F80">
                  <w:rPr>
                    <w:rStyle w:val="Hypertextovodkaz"/>
                    <w:rFonts w:ascii="Times New Roman" w:hAnsi="Times New Roman" w:cs="Times New Roman"/>
                    <w:noProof/>
                  </w:rPr>
                  <w:t>6</w:t>
                </w:r>
                <w:r w:rsidR="007944E5">
                  <w:rPr>
                    <w:noProof/>
                    <w:lang w:val="cs-CZ"/>
                  </w:rPr>
                  <w:tab/>
                </w:r>
                <w:r w:rsidR="007944E5" w:rsidRPr="00075F80">
                  <w:rPr>
                    <w:rStyle w:val="Hypertextovodkaz"/>
                    <w:rFonts w:ascii="Times New Roman" w:hAnsi="Times New Roman" w:cs="Times New Roman"/>
                    <w:noProof/>
                  </w:rPr>
                  <w:t>Conclusion</w:t>
                </w:r>
                <w:r w:rsidR="007944E5">
                  <w:rPr>
                    <w:noProof/>
                    <w:webHidden/>
                  </w:rPr>
                  <w:tab/>
                </w:r>
                <w:r w:rsidR="007944E5">
                  <w:rPr>
                    <w:noProof/>
                    <w:webHidden/>
                  </w:rPr>
                  <w:fldChar w:fldCharType="begin"/>
                </w:r>
                <w:r w:rsidR="007944E5">
                  <w:rPr>
                    <w:noProof/>
                    <w:webHidden/>
                  </w:rPr>
                  <w:instrText xml:space="preserve"> PAGEREF _Toc415924184 \h </w:instrText>
                </w:r>
                <w:r w:rsidR="007944E5">
                  <w:rPr>
                    <w:noProof/>
                    <w:webHidden/>
                  </w:rPr>
                </w:r>
                <w:r w:rsidR="007944E5">
                  <w:rPr>
                    <w:noProof/>
                    <w:webHidden/>
                  </w:rPr>
                  <w:fldChar w:fldCharType="separate"/>
                </w:r>
                <w:r w:rsidR="007944E5">
                  <w:rPr>
                    <w:noProof/>
                    <w:webHidden/>
                  </w:rPr>
                  <w:t>62</w:t>
                </w:r>
                <w:r w:rsidR="007944E5">
                  <w:rPr>
                    <w:noProof/>
                    <w:webHidden/>
                  </w:rPr>
                  <w:fldChar w:fldCharType="end"/>
                </w:r>
              </w:hyperlink>
            </w:p>
            <w:p w:rsidR="007944E5" w:rsidRDefault="00B47FE0">
              <w:pPr>
                <w:pStyle w:val="Obsah1"/>
                <w:tabs>
                  <w:tab w:val="left" w:pos="400"/>
                  <w:tab w:val="right" w:leader="dot" w:pos="8395"/>
                </w:tabs>
                <w:rPr>
                  <w:noProof/>
                  <w:lang w:val="cs-CZ"/>
                </w:rPr>
              </w:pPr>
              <w:hyperlink w:anchor="_Toc415924185" w:history="1">
                <w:r w:rsidR="007944E5" w:rsidRPr="00075F80">
                  <w:rPr>
                    <w:rStyle w:val="Hypertextovodkaz"/>
                    <w:rFonts w:ascii="Times New Roman" w:hAnsi="Times New Roman" w:cs="Times New Roman"/>
                    <w:noProof/>
                  </w:rPr>
                  <w:t>7</w:t>
                </w:r>
                <w:r w:rsidR="007944E5">
                  <w:rPr>
                    <w:noProof/>
                    <w:lang w:val="cs-CZ"/>
                  </w:rPr>
                  <w:tab/>
                </w:r>
                <w:r w:rsidR="007944E5" w:rsidRPr="00075F80">
                  <w:rPr>
                    <w:rStyle w:val="Hypertextovodkaz"/>
                    <w:rFonts w:ascii="Times New Roman" w:hAnsi="Times New Roman" w:cs="Times New Roman"/>
                    <w:noProof/>
                  </w:rPr>
                  <w:t>References</w:t>
                </w:r>
                <w:r w:rsidR="007944E5">
                  <w:rPr>
                    <w:noProof/>
                    <w:webHidden/>
                  </w:rPr>
                  <w:tab/>
                </w:r>
                <w:r w:rsidR="007944E5">
                  <w:rPr>
                    <w:noProof/>
                    <w:webHidden/>
                  </w:rPr>
                  <w:fldChar w:fldCharType="begin"/>
                </w:r>
                <w:r w:rsidR="007944E5">
                  <w:rPr>
                    <w:noProof/>
                    <w:webHidden/>
                  </w:rPr>
                  <w:instrText xml:space="preserve"> PAGEREF _Toc415924185 \h </w:instrText>
                </w:r>
                <w:r w:rsidR="007944E5">
                  <w:rPr>
                    <w:noProof/>
                    <w:webHidden/>
                  </w:rPr>
                </w:r>
                <w:r w:rsidR="007944E5">
                  <w:rPr>
                    <w:noProof/>
                    <w:webHidden/>
                  </w:rPr>
                  <w:fldChar w:fldCharType="separate"/>
                </w:r>
                <w:r w:rsidR="007944E5">
                  <w:rPr>
                    <w:noProof/>
                    <w:webHidden/>
                  </w:rPr>
                  <w:t>62</w:t>
                </w:r>
                <w:r w:rsidR="007944E5">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5924153"/>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91147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BE55F4" w:rsidRDefault="00BE55F4" w:rsidP="00911E3F">
          <w:pPr>
            <w:pStyle w:val="Nadpis2"/>
            <w:jc w:val="both"/>
            <w:rPr>
              <w:rStyle w:val="Znaknadpisu1"/>
              <w:rFonts w:ascii="Times New Roman" w:hAnsi="Times New Roman" w:cs="Times New Roman"/>
            </w:rPr>
          </w:pPr>
          <w:bookmarkStart w:id="5" w:name="_Toc408842106"/>
          <w:bookmarkStart w:id="6" w:name="_Toc408844055"/>
          <w:bookmarkStart w:id="7" w:name="_Toc408845888"/>
          <w:bookmarkStart w:id="8" w:name="_Toc409289270"/>
          <w:bookmarkStart w:id="9" w:name="_Toc415924154"/>
          <w:r>
            <w:rPr>
              <w:rStyle w:val="Znaknadpisu1"/>
              <w:rFonts w:ascii="Times New Roman" w:hAnsi="Times New Roman" w:cs="Times New Roman"/>
            </w:rPr>
            <w:t>State of the art</w:t>
          </w:r>
          <w:bookmarkEnd w:id="5"/>
          <w:bookmarkEnd w:id="6"/>
          <w:bookmarkEnd w:id="7"/>
          <w:bookmarkEnd w:id="8"/>
          <w:bookmarkEnd w:id="9"/>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0" w:name="_Toc415924155"/>
          <w:r>
            <w:rPr>
              <w:rStyle w:val="Znaknadpisu1"/>
              <w:rFonts w:ascii="Times New Roman" w:hAnsi="Times New Roman" w:cs="Times New Roman"/>
            </w:rPr>
            <w:t>M</w:t>
          </w:r>
          <w:r w:rsidR="007944E5">
            <w:rPr>
              <w:rStyle w:val="Znaknadpisu1"/>
              <w:rFonts w:ascii="Times New Roman" w:hAnsi="Times New Roman" w:cs="Times New Roman"/>
            </w:rPr>
            <w:t>odels by</w:t>
          </w:r>
          <w:r>
            <w:rPr>
              <w:rStyle w:val="Znaknadpisu1"/>
              <w:rFonts w:ascii="Times New Roman" w:hAnsi="Times New Roman" w:cs="Times New Roman"/>
            </w:rPr>
            <w:t xml:space="preserve"> </w:t>
          </w:r>
          <w:r w:rsidR="005E40D0">
            <w:rPr>
              <w:rStyle w:val="Znaknadpisu1"/>
              <w:rFonts w:ascii="Times New Roman" w:hAnsi="Times New Roman" w:cs="Times New Roman"/>
            </w:rPr>
            <w:t>Tom G. Coleman</w:t>
          </w:r>
          <w:bookmarkEnd w:id="10"/>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5924156"/>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proofErr w:type="spellStart"/>
          <w:r>
            <w:rPr>
              <w:rFonts w:ascii="Arial" w:eastAsia="Times New Roman" w:hAnsi="Arial" w:cs="Arial"/>
              <w:color w:val="616161"/>
              <w:sz w:val="19"/>
              <w:szCs w:val="19"/>
              <w:lang w:val="cs-CZ"/>
            </w:rPr>
            <w:t>Hypothesis</w:t>
          </w:r>
          <w:proofErr w:type="spellEnd"/>
          <w:r>
            <w:rPr>
              <w:rFonts w:ascii="Arial" w:eastAsia="Times New Roman" w:hAnsi="Arial" w:cs="Arial"/>
              <w:color w:val="616161"/>
              <w:sz w:val="19"/>
              <w:szCs w:val="19"/>
              <w:lang w:val="cs-CZ"/>
            </w:rPr>
            <w:t xml:space="preserve">: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t>3</w:t>
          </w:r>
          <w:r>
            <w:fldChar w:fldCharType="end"/>
          </w:r>
          <w:r>
            <w:t xml:space="preserve">) and also the support for robust integration of complex systems as shown in my implementation of a complex model of physiology – </w:t>
          </w:r>
          <w:proofErr w:type="spellStart"/>
          <w:r>
            <w:t>Physiomodel</w:t>
          </w:r>
          <w:proofErr w:type="spellEnd"/>
          <w:r>
            <w:t xml:space="preserve">, which is described in section </w:t>
          </w:r>
          <w:r>
            <w:fldChar w:fldCharType="begin"/>
          </w:r>
          <w:r>
            <w:instrText xml:space="preserve"> REF _Ref411702902 \r \h </w:instrText>
          </w:r>
          <w:r>
            <w:fldChar w:fldCharType="separate"/>
          </w:r>
          <w:r>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5924157"/>
          <w:r w:rsidRPr="00E562DD">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5924158"/>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 xml:space="preserve">highest </w:t>
          </w:r>
          <w:r w:rsidRPr="00E562DD">
            <w:rPr>
              <w:rFonts w:ascii="Times New Roman" w:hAnsi="Times New Roman" w:cs="Times New Roman"/>
            </w:rPr>
            <w:lastRenderedPageBreak/>
            <w:t>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5924159"/>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lastRenderedPageBreak/>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lastRenderedPageBreak/>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xml:space="preserve">’ there will be visible all input and output connectors. </w:t>
          </w:r>
          <w:r w:rsidR="001249CD" w:rsidRPr="00E562DD">
            <w:rPr>
              <w:rFonts w:ascii="Times New Roman" w:hAnsi="Times New Roman" w:cs="Times New Roman"/>
            </w:rPr>
            <w:lastRenderedPageBreak/>
            <w:t>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68" w:name="_Ref411702997"/>
          <w:bookmarkStart w:id="69" w:name="_Toc415924160"/>
          <w:r w:rsidRPr="00E562DD">
            <w:rPr>
              <w:rStyle w:val="Znaknadpisu1"/>
              <w:rFonts w:ascii="Times New Roman" w:hAnsi="Times New Roman" w:cs="Times New Roman"/>
            </w:rPr>
            <w:t>Physiolibrary</w:t>
          </w:r>
          <w:bookmarkEnd w:id="64"/>
          <w:bookmarkEnd w:id="65"/>
          <w:bookmarkEnd w:id="66"/>
          <w:bookmarkEnd w:id="67"/>
          <w:bookmarkEnd w:id="68"/>
          <w:bookmarkEnd w:id="69"/>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0" w:name="_Ref406932420"/>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w:t>
                </w:r>
                <w:bookmarkStart w:id="71" w:name="_GoBack"/>
                <w:bookmarkEnd w:id="71"/>
                <w:r w:rsidRPr="00E562DD">
                  <w:rPr>
                    <w:rFonts w:ascii="Times New Roman" w:eastAsia="Calibri" w:hAnsi="Times New Roman" w:cs="Times New Roman"/>
                    <w:sz w:val="20"/>
                  </w:rPr>
                  <w:t>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EC1746" w:rsidP="00EC1746">
                <w:pPr>
                  <w:jc w:val="both"/>
                  <w:rPr>
                    <w:rFonts w:ascii="Times New Roman" w:eastAsia="Calibri" w:hAnsi="Times New Roman" w:cs="Times New Roman"/>
                    <w:sz w:val="20"/>
                  </w:rPr>
                </w:pPr>
                <w:r>
                  <w:rPr>
                    <w:rFonts w:ascii="Times New Roman" w:eastAsia="Calibri" w:hAnsi="Times New Roman" w:cs="Times New Roman"/>
                    <w:bCs/>
                    <w:color w:val="000000"/>
                    <w:sz w:val="20"/>
                  </w:rPr>
                  <w:t>mole fraction</w:t>
                </w:r>
              </w:p>
            </w:tc>
            <w:tc>
              <w:tcPr>
                <w:tcW w:w="1134" w:type="dxa"/>
                <w:tcBorders>
                  <w:top w:val="nil"/>
                  <w:left w:val="nil"/>
                </w:tcBorders>
              </w:tcPr>
              <w:p w:rsidR="00FB1197" w:rsidRPr="00E562DD" w:rsidRDefault="00FB1197" w:rsidP="00EC1746">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w:t>
                </w:r>
                <w:r w:rsidR="00EC1746">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sidR="00EC1746">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55A04025" wp14:editId="7FC9ABDF">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6D38172" wp14:editId="2B19E0EF">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D165EA" w:rsidRPr="00E562DD">
            <w:rPr>
              <w:rFonts w:ascii="Times New Roman" w:hAnsi="Times New Roman" w:cs="Times New Roman"/>
            </w:rPr>
            <w:t xml:space="preserve">Table </w:t>
          </w:r>
          <w:r w:rsidR="00D165EA">
            <w:rPr>
              <w:rFonts w:ascii="Times New Roman" w:hAnsi="Times New Roman" w:cs="Times New Roman"/>
              <w:noProof/>
            </w:rPr>
            <w:t>3</w:t>
          </w:r>
          <w:r w:rsidR="00D165EA">
            <w:rPr>
              <w:rFonts w:ascii="Times New Roman" w:hAnsi="Times New Roman" w:cs="Times New Roman"/>
              <w:highlight w:val="yellow"/>
            </w:rPr>
            <w:fldChar w:fldCharType="end"/>
          </w:r>
          <w:r w:rsidRPr="00E562DD">
            <w:rPr>
              <w:rFonts w:ascii="Times New Roman" w:hAnsi="Times New Roman" w:cs="Times New Roman"/>
            </w:rPr>
            <w:t xml:space="preserve">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2"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2"/>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B47FE0"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B47FE0"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B47FE0"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D707AB" wp14:editId="464DF29A">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760E2BA" wp14:editId="1AE6B8D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04CC2BB" wp14:editId="3BD73821">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5" o:title=""/>
                    </v:shape>
                    <o:OLEObject Type="Embed" ProgID="PBrush" ShapeID="_x0000_i1025" DrawAspect="Content" ObjectID="_1491770032"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A912CAB" wp14:editId="3E6B7E6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CDE016D" wp14:editId="2BE986AB">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19" o:title=""/>
                    </v:shape>
                    <o:OLEObject Type="Embed" ProgID="PBrush" ShapeID="_x0000_i1026" DrawAspect="Content" ObjectID="_1491770033"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1" o:title=""/>
                    </v:shape>
                    <o:OLEObject Type="Embed" ProgID="PBrush" ShapeID="_x0000_i1027" DrawAspect="Content" ObjectID="_1491770034"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E02051" wp14:editId="0944A73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9D05A2D" wp14:editId="39203EB9">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51318E6" wp14:editId="68AEF34A">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6" o:title=""/>
                    </v:shape>
                    <o:OLEObject Type="Embed" ProgID="PBrush" ShapeID="_x0000_i1028" DrawAspect="Content" ObjectID="_1491770035"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B83F84" wp14:editId="2969786E">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E3DE6C2" wp14:editId="37CA6F4D">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0pt;height:54pt" o:ole="">
                      <v:imagedata r:id="rId30" o:title=""/>
                    </v:shape>
                    <o:OLEObject Type="Embed" ProgID="PBrush" ShapeID="_x0000_i1029" DrawAspect="Content" ObjectID="_1491770036" r:id="rId31"/>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2" o:title=""/>
                    </v:shape>
                    <o:OLEObject Type="Embed" ProgID="PBrush" ShapeID="_x0000_i1030" DrawAspect="Content" ObjectID="_1491770037"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7" o:title=""/>
                    </v:shape>
                    <o:OLEObject Type="Embed" ProgID="PBrush" ShapeID="_x0000_i1031" DrawAspect="Content" ObjectID="_1491770038"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9" o:title=""/>
                    </v:shape>
                    <o:OLEObject Type="Embed" ProgID="PBrush" ShapeID="_x0000_i1032" DrawAspect="Content" ObjectID="_1491770039"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3" w:name="_Toc408842119"/>
          <w:bookmarkStart w:id="74" w:name="_Toc408844068"/>
          <w:bookmarkStart w:id="75" w:name="_Toc408845901"/>
          <w:bookmarkStart w:id="76" w:name="_Toc409289283"/>
          <w:bookmarkStart w:id="77" w:name="_Toc415924161"/>
          <w:r w:rsidRPr="00E562DD">
            <w:rPr>
              <w:rFonts w:ascii="Times New Roman" w:hAnsi="Times New Roman" w:cs="Times New Roman"/>
            </w:rPr>
            <w:lastRenderedPageBreak/>
            <w:t>Types</w:t>
          </w:r>
          <w:bookmarkEnd w:id="73"/>
          <w:bookmarkEnd w:id="74"/>
          <w:bookmarkEnd w:id="75"/>
          <w:bookmarkEnd w:id="76"/>
          <w:bookmarkEnd w:id="77"/>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8" w:name="_Blocks"/>
          <w:bookmarkStart w:id="79" w:name="_Toc408842120"/>
          <w:bookmarkStart w:id="80" w:name="_Toc408844069"/>
          <w:bookmarkStart w:id="81" w:name="_Toc408845902"/>
          <w:bookmarkStart w:id="82" w:name="_Toc409289284"/>
          <w:bookmarkStart w:id="83" w:name="_Toc415924162"/>
          <w:bookmarkEnd w:id="78"/>
          <w:r w:rsidRPr="00E562DD">
            <w:rPr>
              <w:rFonts w:ascii="Times New Roman" w:hAnsi="Times New Roman" w:cs="Times New Roman"/>
            </w:rPr>
            <w:t>Blocks</w:t>
          </w:r>
          <w:bookmarkEnd w:id="79"/>
          <w:bookmarkEnd w:id="80"/>
          <w:bookmarkEnd w:id="81"/>
          <w:bookmarkEnd w:id="82"/>
          <w:bookmarkEnd w:id="83"/>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w:t>
          </w:r>
          <w:r w:rsidR="00AA357B">
            <w:rPr>
              <w:rFonts w:ascii="Times New Roman" w:hAnsi="Times New Roman" w:cs="Times New Roman"/>
            </w:rPr>
            <w:lastRenderedPageBreak/>
            <w:t>(coordinate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4"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4"/>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5" w:name="_Ref408714012"/>
          <w:bookmarkStart w:id="86" w:name="_Toc408842121"/>
          <w:bookmarkStart w:id="87" w:name="_Toc408844070"/>
          <w:bookmarkStart w:id="88" w:name="_Toc408845903"/>
          <w:bookmarkStart w:id="89"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5</w:t>
          </w:r>
          <w:r w:rsidRPr="00E562DD">
            <w:rPr>
              <w:rFonts w:ascii="Times New Roman" w:hAnsi="Times New Roman" w:cs="Times New Roman"/>
            </w:rPr>
            <w:fldChar w:fldCharType="end"/>
          </w:r>
          <w:bookmarkEnd w:id="85"/>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0" w:name="_Ref411729939"/>
          <w:bookmarkStart w:id="91" w:name="_Toc415924163"/>
          <w:r w:rsidRPr="00E562DD">
            <w:rPr>
              <w:rFonts w:ascii="Times New Roman" w:hAnsi="Times New Roman" w:cs="Times New Roman"/>
            </w:rPr>
            <w:t>Steady states</w:t>
          </w:r>
          <w:bookmarkEnd w:id="86"/>
          <w:bookmarkEnd w:id="87"/>
          <w:bookmarkEnd w:id="88"/>
          <w:bookmarkEnd w:id="89"/>
          <w:bookmarkEnd w:id="90"/>
          <w:bookmarkEnd w:id="91"/>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2"/>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3" w:name="_Toc408842122"/>
          <w:bookmarkStart w:id="94" w:name="_Toc408844071"/>
          <w:bookmarkStart w:id="95" w:name="_Toc408845904"/>
          <w:bookmarkStart w:id="96" w:name="_Toc409289286"/>
          <w:bookmarkStart w:id="97" w:name="_Toc415924164"/>
          <w:r w:rsidRPr="00FB4072">
            <w:rPr>
              <w:rFonts w:ascii="Times New Roman" w:hAnsi="Times New Roman" w:cs="Times New Roman"/>
            </w:rPr>
            <w:t>Chemical domain</w:t>
          </w:r>
          <w:bookmarkEnd w:id="93"/>
          <w:bookmarkEnd w:id="94"/>
          <w:bookmarkEnd w:id="95"/>
          <w:bookmarkEnd w:id="96"/>
          <w:bookmarkEnd w:id="97"/>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w:t>
          </w:r>
          <w:r w:rsidR="00EC1746">
            <w:rPr>
              <w:rFonts w:ascii="Times New Roman" w:hAnsi="Times New Roman" w:cs="Times New Roman"/>
            </w:rPr>
            <w:t>e fraction</w:t>
          </w:r>
          <w:r w:rsidR="00FB36D0" w:rsidRPr="00FB4072">
            <w:rPr>
              <w:rFonts w:ascii="Times New Roman" w:hAnsi="Times New Roman" w:cs="Times New Roman"/>
            </w:rPr>
            <w:t xml:space="preserve"> [mol.</w:t>
          </w:r>
          <w:r w:rsidR="00EC1746">
            <w:rPr>
              <w:rFonts w:ascii="Times New Roman" w:hAnsi="Times New Roman" w:cs="Times New Roman"/>
            </w:rPr>
            <w:t>mol</w:t>
          </w:r>
          <w:r w:rsidR="00FB36D0" w:rsidRPr="00FB4072">
            <w:rPr>
              <w:rFonts w:ascii="Times New Roman" w:hAnsi="Times New Roman" w:cs="Times New Roman"/>
              <w:vertAlign w:val="superscript"/>
            </w:rPr>
            <w:t>-</w:t>
          </w:r>
          <w:r w:rsidR="00EC1746">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w:t>
          </w:r>
          <w:r w:rsidR="00BF0A58">
            <w:rPr>
              <w:rFonts w:ascii="Times New Roman" w:hAnsi="Times New Roman" w:cs="Times New Roman"/>
            </w:rPr>
            <w:t xml:space="preserve">. </w:t>
          </w:r>
          <w:r w:rsidRPr="00FB4072">
            <w:rPr>
              <w:rFonts w:ascii="Times New Roman" w:hAnsi="Times New Roman" w:cs="Times New Roman"/>
            </w:rPr>
            <w:t xml:space="preserve"> </w:t>
          </w:r>
          <w:r w:rsidR="00BF0A58">
            <w:rPr>
              <w:rFonts w:ascii="Times New Roman" w:hAnsi="Times New Roman" w:cs="Times New Roman"/>
            </w:rPr>
            <w:t xml:space="preserve">The molar flow and the mole fraction in one connector is always of the same </w:t>
          </w:r>
          <w:r w:rsidRPr="00FB4072">
            <w:rPr>
              <w:rFonts w:ascii="Times New Roman" w:hAnsi="Times New Roman" w:cs="Times New Roman"/>
            </w:rPr>
            <w:t>substance</w:t>
          </w:r>
          <w:r w:rsidR="00BF0A58">
            <w:rPr>
              <w:rFonts w:ascii="Times New Roman" w:hAnsi="Times New Roman" w:cs="Times New Roman"/>
            </w:rPr>
            <w:t xml:space="preserve"> called solute [</w:t>
          </w:r>
          <w:proofErr w:type="spellStart"/>
          <w:r w:rsidR="00BF0A58">
            <w:rPr>
              <w:rFonts w:ascii="Times New Roman" w:hAnsi="Times New Roman" w:cs="Times New Roman"/>
            </w:rPr>
            <w:t>mol</w:t>
          </w:r>
          <w:proofErr w:type="spellEnd"/>
          <w:r w:rsidR="00BF0A58">
            <w:rPr>
              <w:rFonts w:ascii="Times New Roman" w:hAnsi="Times New Roman" w:cs="Times New Roman"/>
            </w:rPr>
            <w:t>]</w:t>
          </w:r>
          <w:r w:rsidR="00FB36D0" w:rsidRPr="00FB4072">
            <w:rPr>
              <w:rFonts w:ascii="Times New Roman" w:hAnsi="Times New Roman" w:cs="Times New Roman"/>
            </w:rPr>
            <w:t xml:space="preserve"> and </w:t>
          </w:r>
          <w:r w:rsidR="00BF0A58">
            <w:rPr>
              <w:rFonts w:ascii="Times New Roman" w:hAnsi="Times New Roman" w:cs="Times New Roman"/>
            </w:rPr>
            <w:t xml:space="preserve">of the same solution. So </w:t>
          </w:r>
          <w:r w:rsidRPr="00FB4072">
            <w:rPr>
              <w:rFonts w:ascii="Times New Roman" w:hAnsi="Times New Roman" w:cs="Times New Roman"/>
            </w:rPr>
            <w:t>it logically leads to component, which accumulates th</w:t>
          </w:r>
          <w:r w:rsidR="00BF0A58">
            <w:rPr>
              <w:rFonts w:ascii="Times New Roman" w:hAnsi="Times New Roman" w:cs="Times New Roman"/>
            </w:rPr>
            <w:t>is</w:t>
          </w:r>
          <w:r w:rsidRPr="00FB4072">
            <w:rPr>
              <w:rFonts w:ascii="Times New Roman" w:hAnsi="Times New Roman" w:cs="Times New Roman"/>
            </w:rPr>
            <w:t xml:space="preserve"> substance</w:t>
          </w:r>
          <w:r w:rsidR="00BF0A58">
            <w:rPr>
              <w:rFonts w:ascii="Times New Roman" w:hAnsi="Times New Roman" w:cs="Times New Roman"/>
            </w:rPr>
            <w:t xml:space="preserve"> in the solution and calculate the mole fraction</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w:t>
          </w:r>
          <w:r w:rsidR="00BF0A58">
            <w:rPr>
              <w:rFonts w:ascii="Times New Roman" w:hAnsi="Times New Roman" w:cs="Times New Roman"/>
            </w:rPr>
            <w:t>mole fraction</w:t>
          </w:r>
          <w:r w:rsidRPr="00FB4072">
            <w:rPr>
              <w:rFonts w:ascii="Times New Roman" w:hAnsi="Times New Roman" w:cs="Times New Roman"/>
            </w:rPr>
            <w:t xml:space="preserve">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98"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8"/>
                <w:r w:rsidR="00FC027A">
                  <w:t>, Substance</w:t>
                </w:r>
              </w:p>
            </w:tc>
          </w:tr>
          <w:tr w:rsidR="00FC13DA" w:rsidTr="00FC027A">
            <w:trPr>
              <w:trHeight w:val="594"/>
            </w:trPr>
            <w:tc>
              <w:tcPr>
                <w:tcW w:w="7230" w:type="dxa"/>
                <w:vAlign w:val="center"/>
              </w:tcPr>
              <w:p w:rsidR="00FC13DA" w:rsidRDefault="00BF0A58" w:rsidP="00BF0A58">
                <w:pPr>
                  <w:keepNext/>
                  <w:jc w:val="both"/>
                  <w:rPr>
                    <w:rFonts w:ascii="Times New Roman" w:eastAsia="Times New Roman"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=solute(t)/solution(t)</m:t>
                    </m:r>
                  </m:oMath>
                </m:oMathPara>
              </w:p>
            </w:tc>
            <w:tc>
              <w:tcPr>
                <w:tcW w:w="1165" w:type="dxa"/>
                <w:vAlign w:val="center"/>
              </w:tcPr>
              <w:p w:rsidR="00FC13DA" w:rsidRDefault="00FC13DA" w:rsidP="00911E3F">
                <w:pPr>
                  <w:pStyle w:val="Titulek"/>
                  <w:jc w:val="both"/>
                </w:pPr>
                <w:bookmarkStart w:id="99"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9"/>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0"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0"/>
                <w:r w:rsidR="00FC027A">
                  <w:t>, Heat Flow</w:t>
                </w:r>
              </w:p>
            </w:tc>
          </w:tr>
          <w:tr w:rsidR="007232ED" w:rsidTr="00FC027A">
            <w:trPr>
              <w:trHeight w:val="999"/>
            </w:trPr>
            <w:tc>
              <w:tcPr>
                <w:tcW w:w="7230" w:type="dxa"/>
                <w:vAlign w:val="center"/>
              </w:tcPr>
              <w:p w:rsidR="007232ED" w:rsidRDefault="00B47FE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1" w:name="_Ref407015552"/>
                <w:bookmarkStart w:id="102"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1"/>
                <w:r w:rsidR="00FC027A">
                  <w:t xml:space="preserve">, </w:t>
                </w:r>
                <w:proofErr w:type="spellStart"/>
                <w:r w:rsidR="00FC027A">
                  <w:t>Van’t</w:t>
                </w:r>
                <w:proofErr w:type="spellEnd"/>
                <w:r w:rsidR="00FC027A">
                  <w:t xml:space="preserve"> Hoff</w:t>
                </w:r>
                <w:bookmarkEnd w:id="102"/>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EC1746">
            <w:rPr>
              <w:rFonts w:ascii="Times New Roman" w:hAnsi="Times New Roman" w:cs="Times New Roman"/>
            </w:rPr>
            <w:t>mol.mol</w:t>
          </w:r>
          <w:r w:rsidR="00EC1746">
            <w:rPr>
              <w:vertAlign w:val="superscript"/>
            </w:rPr>
            <w:t>-1</w:t>
          </w:r>
          <w:r w:rsidR="00EC1746">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EC1746">
            <w:rPr>
              <w:rFonts w:ascii="Times New Roman" w:hAnsi="Times New Roman" w:cs="Times New Roman"/>
            </w:rPr>
            <w:t>mol.mol</w:t>
          </w:r>
          <w:r w:rsidR="00EC1746">
            <w:rPr>
              <w:vertAlign w:val="superscript"/>
            </w:rPr>
            <w:t>-1</w:t>
          </w:r>
          <w:r w:rsidR="00EC1746">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EC1746">
            <w:t xml:space="preserve">] </w:t>
          </w:r>
          <w:r w:rsidR="002A004F">
            <w:rPr>
              <w:rFonts w:ascii="Times New Roman" w:hAnsi="Times New Roman" w:cs="Times New Roman"/>
            </w:rPr>
            <w:t>is a differenc</w:t>
          </w:r>
          <w:r w:rsidR="00FB36D0">
            <w:rPr>
              <w:rFonts w:ascii="Times New Roman" w:hAnsi="Times New Roman" w:cs="Times New Roman"/>
            </w:rPr>
            <w:t xml:space="preserve">e between forward reaction rate </w:t>
          </w:r>
          <w:r w:rsidR="002A004F">
            <w:rPr>
              <w:rFonts w:ascii="Times New Roman" w:hAnsi="Times New Roman" w:cs="Times New Roman"/>
            </w:rPr>
            <w:t>and backward reaction rate</w:t>
          </w:r>
          <w:r w:rsidR="00EC1746">
            <w:rPr>
              <w:rFonts w:ascii="Times New Roman" w:hAnsi="Times New Roman" w:cs="Times New Roman"/>
            </w:rPr>
            <w:t xml:space="preserve"> in an </w:t>
          </w:r>
          <w:r w:rsidR="00EC1746">
            <w:t>amount of solution</w:t>
          </w:r>
          <w:r w:rsidR="00EC1746">
            <w:rPr>
              <w:rFonts w:ascii="Times New Roman" w:hAnsi="Times New Roman" w:cs="Times New Roman"/>
            </w:rPr>
            <w:t xml:space="preserve"> [</w:t>
          </w:r>
          <w:proofErr w:type="spellStart"/>
          <w:r w:rsidR="00EC1746">
            <w:rPr>
              <w:rFonts w:ascii="Times New Roman" w:hAnsi="Times New Roman" w:cs="Times New Roman"/>
            </w:rPr>
            <w:t>mol</w:t>
          </w:r>
          <w:proofErr w:type="spellEnd"/>
          <w:r w:rsidR="00EC1746">
            <w:rPr>
              <w:rFonts w:ascii="Times New Roman" w:hAnsi="Times New Roman" w:cs="Times New Roman"/>
            </w:rPr>
            <w:t>]</w:t>
          </w:r>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EC1746">
            <w:rPr>
              <w:rFonts w:ascii="Times New Roman" w:hAnsi="Times New Roman" w:cs="Times New Roman"/>
            </w:rPr>
            <w:t>mole fraction</w:t>
          </w:r>
          <w:r w:rsidR="002A004F">
            <w:rPr>
              <w:rFonts w:ascii="Times New Roman" w:hAnsi="Times New Roman" w:cs="Times New Roman"/>
            </w:rPr>
            <w:t xml:space="preserve"> </w:t>
          </w:r>
          <w:r w:rsidR="00FB36D0">
            <w:rPr>
              <w:rFonts w:ascii="Times New Roman" w:hAnsi="Times New Roman" w:cs="Times New Roman"/>
            </w:rPr>
            <w:t>[mol.</w:t>
          </w:r>
          <w:r w:rsidR="00EC1746">
            <w:rPr>
              <w:rFonts w:ascii="Times New Roman" w:hAnsi="Times New Roman" w:cs="Times New Roman"/>
            </w:rPr>
            <w:t>mol</w:t>
          </w:r>
          <w:r w:rsidR="00EC1746">
            <w:rPr>
              <w:vertAlign w:val="superscript"/>
            </w:rPr>
            <w:t>-1</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w:t>
          </w:r>
          <w:r w:rsidR="00EC1746">
            <w:rPr>
              <w:rFonts w:ascii="Times New Roman" w:hAnsi="Times New Roman" w:cs="Times New Roman"/>
            </w:rPr>
            <w:t xml:space="preserve">mole fraction </w:t>
          </w:r>
          <w:r w:rsidR="00FB36D0">
            <w:rPr>
              <w:rFonts w:ascii="Times New Roman" w:hAnsi="Times New Roman" w:cs="Times New Roman"/>
            </w:rPr>
            <w:t>[mol.m</w:t>
          </w:r>
          <w:r w:rsidR="00EC1746">
            <w:rPr>
              <w:rFonts w:ascii="Times New Roman" w:hAnsi="Times New Roman" w:cs="Times New Roman"/>
            </w:rPr>
            <w:t>ol</w:t>
          </w:r>
          <w:r w:rsidR="00FB36D0">
            <w:rPr>
              <w:vertAlign w:val="superscript"/>
            </w:rPr>
            <w:t>-</w:t>
          </w:r>
          <w:r w:rsidR="00EC1746">
            <w:rPr>
              <w:vertAlign w:val="superscript"/>
            </w:rPr>
            <w:t>1</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w:t>
          </w:r>
          <w:r w:rsidR="001D0190">
            <w:rPr>
              <w:rFonts w:ascii="Times New Roman" w:hAnsi="Times New Roman" w:cs="Times New Roman"/>
            </w:rPr>
            <w:t>γ</w:t>
          </w:r>
          <w:r w:rsidR="007D7D7E">
            <w:rPr>
              <w:rFonts w:ascii="Times New Roman" w:hAnsi="Times New Roman" w:cs="Times New Roman"/>
            </w:rPr>
            <w:t xml:space="preserve">, which are </w:t>
          </w:r>
          <w:r w:rsidR="00064FB1">
            <w:rPr>
              <w:rFonts w:ascii="Times New Roman" w:hAnsi="Times New Roman" w:cs="Times New Roman"/>
            </w:rPr>
            <w:t>typically set default to</w:t>
          </w:r>
          <w:r w:rsidR="007D7D7E">
            <w:rPr>
              <w:rFonts w:ascii="Times New Roman" w:hAnsi="Times New Roman" w:cs="Times New Roman"/>
            </w:rPr>
            <w:t xml:space="preserve"> one.</w:t>
          </w:r>
          <w:r w:rsidR="006E0E7E">
            <w:rPr>
              <w:rFonts w:ascii="Times New Roman" w:hAnsi="Times New Roman" w:cs="Times New Roman"/>
            </w:rPr>
            <w:t xml:space="preserv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B47FE0" w:rsidP="00F976A0">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e>
                          <m:sup>
                            <m:r>
                              <w:rPr>
                                <w:rFonts w:ascii="Cambria Math" w:hAnsi="Cambria Math" w:cs="Times New Roman"/>
                              </w:rPr>
                              <m:t>ri</m:t>
                            </m:r>
                          </m:sup>
                        </m:sSup>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sup>
                            <m:r>
                              <w:rPr>
                                <w:rFonts w:ascii="Cambria Math" w:hAnsi="Cambria Math" w:cs="Times New Roman"/>
                              </w:rPr>
                              <m:t>pj</m:t>
                            </m:r>
                          </m:sup>
                        </m:sSup>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3" w:name="_Ref406950750"/>
                <w:bookmarkStart w:id="104"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3"/>
                <w:r w:rsidR="00FC027A">
                  <w:t>, Reaction</w:t>
                </w:r>
                <w:bookmarkEnd w:id="104"/>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5"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5"/>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spellEnd"/>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r w:rsidR="00760548">
            <w:rPr>
              <w:rFonts w:ascii="Times New Roman" w:hAnsi="Times New Roman" w:cs="Times New Roman"/>
            </w:rPr>
            <w:t xml:space="preserve">The special correction need to be done for solutions with significant volume of solutes by a parameter called solvent fraction. A solvent fraction </w:t>
          </w:r>
          <w:r w:rsidR="00760548" w:rsidRPr="006E0E7E">
            <w:rPr>
              <w:rFonts w:ascii="Times New Roman" w:hAnsi="Times New Roman" w:cs="Times New Roman"/>
              <w:i/>
            </w:rPr>
            <w:t>sf</w:t>
          </w:r>
          <w:r w:rsidR="00760548">
            <w:rPr>
              <w:rFonts w:ascii="Times New Roman" w:hAnsi="Times New Roman" w:cs="Times New Roman"/>
            </w:rPr>
            <w:t xml:space="preserve"> is the molar ratio between all solution moles (e.g. 52.3 </w:t>
          </w:r>
          <w:proofErr w:type="spellStart"/>
          <w:r w:rsidR="00760548">
            <w:rPr>
              <w:rFonts w:ascii="Times New Roman" w:hAnsi="Times New Roman" w:cs="Times New Roman"/>
            </w:rPr>
            <w:t>mol</w:t>
          </w:r>
          <w:proofErr w:type="spellEnd"/>
          <w:r w:rsidR="00760548">
            <w:rPr>
              <w:rFonts w:ascii="Times New Roman" w:hAnsi="Times New Roman" w:cs="Times New Roman"/>
            </w:rPr>
            <w:t xml:space="preserve">/L in blood plasma, or 40 </w:t>
          </w:r>
          <w:proofErr w:type="spellStart"/>
          <w:r w:rsidR="00760548">
            <w:rPr>
              <w:rFonts w:ascii="Times New Roman" w:hAnsi="Times New Roman" w:cs="Times New Roman"/>
            </w:rPr>
            <w:t>mol</w:t>
          </w:r>
          <w:proofErr w:type="spellEnd"/>
          <w:r w:rsidR="00760548">
            <w:rPr>
              <w:rFonts w:ascii="Times New Roman" w:hAnsi="Times New Roman" w:cs="Times New Roman"/>
            </w:rPr>
            <w:t xml:space="preserve">/L in red blood cells) and amount of pure solvent (e.g. 55.6 </w:t>
          </w:r>
          <w:proofErr w:type="spellStart"/>
          <w:r w:rsidR="00760548">
            <w:rPr>
              <w:rFonts w:ascii="Times New Roman" w:hAnsi="Times New Roman" w:cs="Times New Roman"/>
            </w:rPr>
            <w:t>mol</w:t>
          </w:r>
          <w:proofErr w:type="spellEnd"/>
          <w:r w:rsidR="00760548">
            <w:rPr>
              <w:rFonts w:ascii="Times New Roman" w:hAnsi="Times New Roman" w:cs="Times New Roman"/>
            </w:rPr>
            <w:t>/L for water).</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B47FE0"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/sf</m:t>
                    </m:r>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6"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6"/>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07"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7"/>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B47FE0"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08" w:name="_Ref407019810"/>
                <w:bookmarkStart w:id="109"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8"/>
                <w:r w:rsidR="00FC027A">
                  <w:t xml:space="preserve">, </w:t>
                </w:r>
                <w:proofErr w:type="spellStart"/>
                <w:r w:rsidR="00FC027A">
                  <w:t>Electroneutrality</w:t>
                </w:r>
                <w:bookmarkEnd w:id="109"/>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w:t>
          </w:r>
          <w:r>
            <w:rPr>
              <w:rFonts w:ascii="Times New Roman" w:hAnsi="Times New Roman" w:cs="Times New Roman"/>
            </w:rPr>
            <w:lastRenderedPageBreak/>
            <w:t>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B47FE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0" w:name="_Ref406968198"/>
                <w:bookmarkStart w:id="111"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0"/>
                <w:r w:rsidR="00FC027A">
                  <w:t>, Membrane</w:t>
                </w:r>
                <w:bookmarkEnd w:id="111"/>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w:t>
          </w:r>
          <w:r w:rsidR="003C61B4">
            <w:rPr>
              <w:rFonts w:ascii="Times New Roman" w:hAnsi="Times New Roman" w:cs="Times New Roman"/>
            </w:rPr>
            <w:lastRenderedPageBreak/>
            <w:t>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2"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2"/>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B47FE0"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3"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3"/>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w:lastRenderedPageBreak/>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4"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4"/>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5" w:name="_Toc408842123"/>
          <w:bookmarkStart w:id="116" w:name="_Toc408844072"/>
          <w:bookmarkStart w:id="117" w:name="_Toc408845905"/>
          <w:bookmarkStart w:id="118" w:name="_Toc409289287"/>
          <w:bookmarkStart w:id="119" w:name="_Toc415924165"/>
          <w:r w:rsidRPr="00E562DD">
            <w:rPr>
              <w:rFonts w:ascii="Times New Roman" w:hAnsi="Times New Roman" w:cs="Times New Roman"/>
            </w:rPr>
            <w:t>Osmotic domain</w:t>
          </w:r>
          <w:bookmarkEnd w:id="115"/>
          <w:bookmarkEnd w:id="116"/>
          <w:bookmarkEnd w:id="117"/>
          <w:bookmarkEnd w:id="118"/>
          <w:bookmarkEnd w:id="119"/>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So the flow variable inside the osmotic connector is 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w:t>
          </w:r>
          <w:r w:rsidR="004C01C2">
            <w:rPr>
              <w:rFonts w:ascii="Times New Roman" w:hAnsi="Times New Roman" w:cs="Times New Roman"/>
            </w:rPr>
            <w:t xml:space="preserve"> (</w:t>
          </w:r>
          <w:proofErr w:type="spellStart"/>
          <w:r w:rsidR="004C01C2">
            <w:rPr>
              <w:rFonts w:ascii="Times New Roman" w:hAnsi="Times New Roman" w:cs="Times New Roman"/>
            </w:rPr>
            <w:t>mmol</w:t>
          </w:r>
          <w:proofErr w:type="spellEnd"/>
          <w:r w:rsidR="004C01C2">
            <w:rPr>
              <w:rFonts w:ascii="Times New Roman" w:hAnsi="Times New Roman" w:cs="Times New Roman"/>
            </w:rPr>
            <w:t>/L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0"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0"/>
                <w:r w:rsidR="00FC027A">
                  <w:t>, Osmotic Cell</w:t>
                </w:r>
              </w:p>
            </w:tc>
          </w:tr>
          <w:tr w:rsidR="00FB4072" w:rsidTr="00FB4072">
            <w:trPr>
              <w:trHeight w:val="594"/>
            </w:trPr>
            <w:tc>
              <w:tcPr>
                <w:tcW w:w="7230" w:type="dxa"/>
                <w:vAlign w:val="center"/>
              </w:tcPr>
              <w:p w:rsidR="00FB4072" w:rsidRDefault="00B47FE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1"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1"/>
                <w:r w:rsidR="00FC027A">
                  <w:t xml:space="preserve">, </w:t>
                </w:r>
                <w:proofErr w:type="spellStart"/>
                <w:r w:rsidR="00FC027A">
                  <w:t>Osmolarity</w:t>
                </w:r>
                <w:proofErr w:type="spellEnd"/>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2" w:name="_Ref407706467"/>
                <w:bookmarkStart w:id="123"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2"/>
                <w:r w:rsidR="00FC027A">
                  <w:t>, Permeability</w:t>
                </w:r>
                <w:bookmarkEnd w:id="123"/>
              </w:p>
            </w:tc>
          </w:tr>
          <w:tr w:rsidR="008407C4" w:rsidTr="00FC027A">
            <w:trPr>
              <w:trHeight w:val="567"/>
            </w:trPr>
            <w:tc>
              <w:tcPr>
                <w:tcW w:w="6804" w:type="dxa"/>
                <w:vAlign w:val="center"/>
              </w:tcPr>
              <w:p w:rsidR="008407C4" w:rsidRDefault="00B47FE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4" w:name="_Ref407706897"/>
                <w:bookmarkStart w:id="125"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4"/>
                <w:r w:rsidR="00FC027A">
                  <w:t>, Osmotic Pressure</w:t>
                </w:r>
                <w:bookmarkEnd w:id="125"/>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w:t>
          </w:r>
          <w:r w:rsidR="00E56034">
            <w:rPr>
              <w:rFonts w:ascii="Times New Roman" w:hAnsi="Times New Roman" w:cs="Times New Roman"/>
            </w:rPr>
            <w:lastRenderedPageBreak/>
            <w:t xml:space="preserve">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B47FE0"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6"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6"/>
                <w:r w:rsidR="00FC027A">
                  <w:t>, Ideal Filtration</w:t>
                </w:r>
              </w:p>
            </w:tc>
          </w:tr>
          <w:tr w:rsidR="006B5221" w:rsidTr="00FC027A">
            <w:trPr>
              <w:trHeight w:val="723"/>
            </w:trPr>
            <w:tc>
              <w:tcPr>
                <w:tcW w:w="7088" w:type="dxa"/>
                <w:vAlign w:val="center"/>
              </w:tcPr>
              <w:p w:rsidR="006B5221" w:rsidRDefault="00B47FE0"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27"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7"/>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28"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8"/>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29"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9"/>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proofErr w:type="spellStart"/>
          <w:r w:rsidR="00427146" w:rsidRPr="00427146">
            <w:rPr>
              <w:rFonts w:ascii="Times New Roman" w:hAnsi="Times New Roman" w:cs="Times New Roman"/>
              <w:i/>
            </w:rPr>
            <w:t>fract</w:t>
          </w:r>
          <w:proofErr w:type="spellEnd"/>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0" w:name="_Toc408842124"/>
          <w:bookmarkStart w:id="131" w:name="_Toc408844073"/>
          <w:bookmarkStart w:id="132" w:name="_Toc408845906"/>
          <w:bookmarkStart w:id="133" w:name="_Toc409289288"/>
          <w:bookmarkStart w:id="134" w:name="_Toc415924166"/>
          <w:r w:rsidRPr="00E562DD">
            <w:rPr>
              <w:rFonts w:ascii="Times New Roman" w:hAnsi="Times New Roman" w:cs="Times New Roman"/>
            </w:rPr>
            <w:t>Thermal domain</w:t>
          </w:r>
          <w:bookmarkEnd w:id="130"/>
          <w:bookmarkEnd w:id="131"/>
          <w:bookmarkEnd w:id="132"/>
          <w:bookmarkEnd w:id="133"/>
          <w:bookmarkEnd w:id="134"/>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w:lastRenderedPageBreak/>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5"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5"/>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6"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6"/>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37"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7"/>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38" w:name="_Ref408222815"/>
                <w:bookmarkStart w:id="139"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38"/>
                <w:r w:rsidR="00FC027A">
                  <w:t>, Stream</w:t>
                </w:r>
                <w:bookmarkEnd w:id="139"/>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B47FE0"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0" w:name="_Ref408238917"/>
                <w:bookmarkStart w:id="141"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0"/>
                <w:r w:rsidR="00FC027A">
                  <w:t>, Ideal Radiator</w:t>
                </w:r>
                <w:bookmarkEnd w:id="141"/>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2"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2"/>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3" w:name="_Toc408842125"/>
          <w:bookmarkStart w:id="144" w:name="_Toc408844074"/>
          <w:bookmarkStart w:id="145" w:name="_Toc408845907"/>
          <w:bookmarkStart w:id="146" w:name="_Toc409289289"/>
          <w:bookmarkStart w:id="147" w:name="_Toc415924167"/>
          <w:r w:rsidRPr="00E562DD">
            <w:rPr>
              <w:rFonts w:ascii="Times New Roman" w:hAnsi="Times New Roman" w:cs="Times New Roman"/>
            </w:rPr>
            <w:t>Hydraulic domain</w:t>
          </w:r>
          <w:bookmarkEnd w:id="143"/>
          <w:bookmarkEnd w:id="144"/>
          <w:bookmarkEnd w:id="145"/>
          <w:bookmarkEnd w:id="146"/>
          <w:bookmarkEnd w:id="147"/>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48"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8"/>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49" w:name="_Ref408240831"/>
                <w:bookmarkStart w:id="150"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49"/>
                <w:r w:rsidR="00D823CA">
                  <w:t xml:space="preserve">, </w:t>
                </w:r>
                <w:proofErr w:type="spellStart"/>
                <w:r w:rsidR="00D823CA">
                  <w:t>ElasticVessel</w:t>
                </w:r>
                <w:bookmarkEnd w:id="150"/>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xml:space="preserve">. Flow goes from higher to lower pressure. </w:t>
          </w:r>
          <w:r>
            <w:rPr>
              <w:rFonts w:ascii="Times New Roman" w:hAnsi="Times New Roman" w:cs="Times New Roman"/>
            </w:rPr>
            <w:lastRenderedPageBreak/>
            <w:t>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1"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1"/>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B47FE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2" w:name="_Ref408302351"/>
                <w:bookmarkStart w:id="153"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2"/>
                <w:r w:rsidR="00D823CA">
                  <w:t>, Hydrostatic</w:t>
                </w:r>
                <w:bookmarkEnd w:id="153"/>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4"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4"/>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5"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5"/>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6" w:name="_Toc408842126"/>
          <w:bookmarkStart w:id="157" w:name="_Toc408844075"/>
          <w:bookmarkStart w:id="158" w:name="_Toc408845908"/>
          <w:bookmarkStart w:id="159" w:name="_Toc409289290"/>
          <w:bookmarkStart w:id="160" w:name="_Toc415924168"/>
          <w:r>
            <w:rPr>
              <w:rFonts w:ascii="Times New Roman" w:hAnsi="Times New Roman" w:cs="Times New Roman"/>
            </w:rPr>
            <w:t>Population domain</w:t>
          </w:r>
          <w:bookmarkEnd w:id="156"/>
          <w:bookmarkEnd w:id="157"/>
          <w:bookmarkEnd w:id="158"/>
          <w:bookmarkEnd w:id="159"/>
          <w:bookmarkEnd w:id="160"/>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1" w:name="_Ref408439075"/>
                <w:bookmarkStart w:id="162"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1"/>
                <w:r w:rsidR="00D823CA">
                  <w:t>, Population</w:t>
                </w:r>
                <w:bookmarkEnd w:id="162"/>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3"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3"/>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4" w:name="_Toc408844076"/>
      <w:bookmarkStart w:id="165" w:name="_Toc409289291"/>
      <w:bookmarkStart w:id="166" w:name="_Ref411702902"/>
      <w:bookmarkStart w:id="167" w:name="_Ref411730094"/>
      <w:bookmarkStart w:id="168" w:name="_Ref414119805"/>
      <w:bookmarkStart w:id="169" w:name="_Ref414120743"/>
      <w:bookmarkStart w:id="170" w:name="_Toc415924169"/>
      <w:proofErr w:type="spellStart"/>
      <w:r w:rsidRPr="003A5773">
        <w:rPr>
          <w:rStyle w:val="Znaknadpisu1"/>
          <w:rFonts w:ascii="Times New Roman" w:hAnsi="Times New Roman" w:cs="Times New Roman"/>
        </w:rPr>
        <w:lastRenderedPageBreak/>
        <w:t>Physiomodel</w:t>
      </w:r>
      <w:bookmarkEnd w:id="164"/>
      <w:bookmarkEnd w:id="165"/>
      <w:bookmarkEnd w:id="166"/>
      <w:bookmarkEnd w:id="167"/>
      <w:bookmarkEnd w:id="168"/>
      <w:bookmarkEnd w:id="169"/>
      <w:bookmarkEnd w:id="170"/>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5924170"/>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605DFD">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90" w:name="_Ref414302023"/>
      <w:r>
        <w:t>C</w:t>
      </w:r>
      <w:r w:rsidR="007343A6">
        <w:t>omparison with HumMod v1.6</w:t>
      </w:r>
      <w:bookmarkEnd w:id="190"/>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HumMod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xml:space="preserve">, </w:t>
      </w:r>
      <w:proofErr w:type="spellStart"/>
      <w:r>
        <w:t>ElasticVessel</w:t>
      </w:r>
      <w:proofErr w:type="spellEnd"/>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HumMod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t>Physiomodel</w:t>
      </w:r>
      <w:proofErr w:type="spellEnd"/>
      <w: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1" w:name="_Toc415924171"/>
      <w:r>
        <w:rPr>
          <w:rStyle w:val="Znaknadpisu1"/>
          <w:rFonts w:ascii="Times New Roman" w:hAnsi="Times New Roman" w:cs="Times New Roman"/>
        </w:rPr>
        <w:t>Body Water</w:t>
      </w:r>
      <w:bookmarkEnd w:id="191"/>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2"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2"/>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3"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3"/>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4"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4"/>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5" w:name="_Toc409289299"/>
      <w:r w:rsidRPr="00345A7A">
        <w:t>Extracellular proteins</w:t>
      </w:r>
      <w:bookmarkEnd w:id="195"/>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6" w:name="_Ref409452626"/>
      <w:bookmarkStart w:id="197"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6"/>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7"/>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8" w:name="_Ref409452963"/>
      <w:bookmarkStart w:id="199"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8"/>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9"/>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200" w:name="_Ref409453019"/>
      <w:bookmarkStart w:id="201"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0"/>
      <w:r>
        <w:t>, Subsystem of Extracellular Proteins</w:t>
      </w:r>
      <w:bookmarkEnd w:id="201"/>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2" w:name="_Toc409289300"/>
      <w:r w:rsidRPr="00345A7A">
        <w:t>Gastro intestinal water absorption</w:t>
      </w:r>
      <w:bookmarkEnd w:id="202"/>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3"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3"/>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4" w:name="_Toc409289301"/>
      <w:r w:rsidRPr="00345A7A">
        <w:t>Upper/Middle/Lower torso water</w:t>
      </w:r>
      <w:bookmarkEnd w:id="204"/>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5"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5"/>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6" w:name="_Toc409289302"/>
      <w:r w:rsidRPr="00345A7A">
        <w:t>Kidney</w:t>
      </w:r>
      <w:r w:rsidR="007D270F">
        <w:t xml:space="preserve"> water excretion</w:t>
      </w:r>
      <w:bookmarkEnd w:id="20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207" w:name="_Toc409289303"/>
      <w:r>
        <w:t>Hydrostatic</w:t>
      </w:r>
      <w:r w:rsidR="007D270F">
        <w:t xml:space="preserve"> spillover</w:t>
      </w:r>
      <w:bookmarkEnd w:id="207"/>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08" w:name="_Ref414302036"/>
      <w:r>
        <w:t>Relational comparison with HumMod 1.6.1</w:t>
      </w:r>
      <w:bookmarkEnd w:id="208"/>
    </w:p>
    <w:p w:rsidR="00F61137" w:rsidRDefault="00F61137" w:rsidP="00F61137">
      <w:r>
        <w:t xml:space="preserve">The main differences between HumMod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w:t>
      </w:r>
      <w:proofErr w:type="spellStart"/>
      <w:r>
        <w:t>Physiomodel</w:t>
      </w:r>
      <w:proofErr w:type="spellEnd"/>
      <w:r>
        <w:t xml:space="preserve">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w:t>
      </w:r>
      <w:proofErr w:type="spellStart"/>
      <w:r>
        <w:t>Physiomodel</w:t>
      </w:r>
      <w:proofErr w:type="spellEnd"/>
      <w:r>
        <w:t xml:space="preserve"> it is also improved the relation of losing water by vaporization in respiratory pathways. In HumMod 1.6 is assumed that all water in expired air becomes from vaporization. However, there can be significant humidity of the inspired air. So the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209" w:name="_Toc409289305"/>
      <w:bookmarkStart w:id="210" w:name="_Ref412813307"/>
      <w:bookmarkStart w:id="211" w:name="_Ref412813310"/>
      <w:bookmarkStart w:id="212" w:name="_Toc415924172"/>
      <w:r w:rsidRPr="003A5773">
        <w:rPr>
          <w:rStyle w:val="Znaknadpisu1"/>
          <w:rFonts w:ascii="Times New Roman" w:hAnsi="Times New Roman" w:cs="Times New Roman"/>
        </w:rPr>
        <w:t>Hormones</w:t>
      </w:r>
      <w:bookmarkEnd w:id="209"/>
      <w:bookmarkEnd w:id="210"/>
      <w:bookmarkEnd w:id="211"/>
      <w:bookmarkEnd w:id="212"/>
    </w:p>
    <w:p w:rsidR="00752A9E" w:rsidRDefault="001F6B45" w:rsidP="00911E3F">
      <w:pPr>
        <w:pStyle w:val="Nadpis3"/>
        <w:jc w:val="both"/>
      </w:pPr>
      <w:bookmarkStart w:id="213" w:name="_Toc409289307"/>
      <w:r>
        <w:t xml:space="preserve">Anti-Diuretic Hormone (ADH, </w:t>
      </w:r>
      <w:r w:rsidR="00752A9E" w:rsidRPr="007D270F">
        <w:t>Vasopressin</w:t>
      </w:r>
      <w:bookmarkEnd w:id="213"/>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4"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4"/>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5"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5"/>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6" w:name="_Toc409289306"/>
      <w:bookmarkStart w:id="217" w:name="_Toc409289308"/>
      <w:proofErr w:type="spellStart"/>
      <w:r>
        <w:t>Atriopeptin</w:t>
      </w:r>
      <w:bookmarkEnd w:id="216"/>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8"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8"/>
      <w:r>
        <w:t>, Atrium Natriuretic Peptide</w:t>
      </w:r>
    </w:p>
    <w:p w:rsidR="001F6B45" w:rsidRDefault="001F6B45" w:rsidP="00911E3F">
      <w:pPr>
        <w:pStyle w:val="Nadpis3"/>
        <w:jc w:val="both"/>
      </w:pPr>
      <w:bookmarkStart w:id="219" w:name="_Toc409289312"/>
      <w:proofErr w:type="spellStart"/>
      <w:r>
        <w:t>Catecholamines</w:t>
      </w:r>
      <w:bookmarkEnd w:id="219"/>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0" w:name="_Toc409289313"/>
      <w:r>
        <w:t>Erythropoietin</w:t>
      </w:r>
      <w:bookmarkEnd w:id="220"/>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1" w:name="_Toc409289309"/>
      <w:r w:rsidRPr="007D270F">
        <w:t>Insulin</w:t>
      </w:r>
      <w:r>
        <w:t xml:space="preserve"> and glucagon</w:t>
      </w:r>
      <w:bookmarkEnd w:id="221"/>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2" w:name="_Toc409289310"/>
      <w:r w:rsidRPr="007D270F">
        <w:t>Leptin</w:t>
      </w:r>
      <w:bookmarkEnd w:id="222"/>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7"/>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3" w:name="_Toc409289311"/>
      <w:r w:rsidRPr="007D270F">
        <w:t>Thyroid hormones</w:t>
      </w:r>
      <w:bookmarkEnd w:id="223"/>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24" w:name="_Ref414302041"/>
      <w:r>
        <w:t>C</w:t>
      </w:r>
      <w:r w:rsidR="00B04BF4">
        <w:t>omparison with HumMod 1.6</w:t>
      </w:r>
      <w:bookmarkEnd w:id="224"/>
    </w:p>
    <w:p w:rsidR="00B04BF4" w:rsidRDefault="00B04BF4" w:rsidP="00B04BF4">
      <w:r>
        <w:t xml:space="preserve">There are also some small corrections of hormonal equations in </w:t>
      </w:r>
      <w:proofErr w:type="spellStart"/>
      <w:r>
        <w:t>Physiomodel</w:t>
      </w:r>
      <w:proofErr w:type="spellEnd"/>
      <w:r>
        <w:t>,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WHO), which are defined by the solution extract as a result of described purification. In </w:t>
      </w:r>
      <w:proofErr w:type="spellStart"/>
      <w:r>
        <w:t>Physiomodel</w:t>
      </w:r>
      <w:proofErr w:type="spellEnd"/>
      <w: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5" w:name="_Toc409289314"/>
      <w:bookmarkStart w:id="226" w:name="_Toc415924173"/>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5"/>
      <w:bookmarkEnd w:id="226"/>
    </w:p>
    <w:p w:rsidR="00A42A08" w:rsidRDefault="00A42A08" w:rsidP="00911E3F">
      <w:pPr>
        <w:pStyle w:val="Nadpis3"/>
        <w:jc w:val="both"/>
      </w:pPr>
      <w:bookmarkStart w:id="227" w:name="_Toc409289315"/>
      <w:bookmarkStart w:id="228" w:name="_Ref411275309"/>
      <w:bookmarkStart w:id="229" w:name="_Ref413744727"/>
      <w:bookmarkStart w:id="230" w:name="_Ref414302297"/>
      <w:r w:rsidRPr="007D270F">
        <w:t>Acid-base</w:t>
      </w:r>
      <w:bookmarkEnd w:id="227"/>
      <w:bookmarkEnd w:id="228"/>
      <w:bookmarkEnd w:id="229"/>
      <w:bookmarkEnd w:id="230"/>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 xml:space="preserve">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1"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1"/>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2" w:name="_Ref410726698"/>
      <w:r>
        <w:t xml:space="preserve">Table </w:t>
      </w:r>
      <w:r>
        <w:fldChar w:fldCharType="begin"/>
      </w:r>
      <w:r>
        <w:instrText xml:space="preserve"> SEQ Table \* ARABIC </w:instrText>
      </w:r>
      <w:r>
        <w:fldChar w:fldCharType="separate"/>
      </w:r>
      <w:r>
        <w:rPr>
          <w:noProof/>
        </w:rPr>
        <w:t>12</w:t>
      </w:r>
      <w:r>
        <w:fldChar w:fldCharType="end"/>
      </w:r>
      <w:bookmarkEnd w:id="232"/>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proofErr w:type="spellStart"/>
            <w:r w:rsidRPr="005F2AC7">
              <w:rPr>
                <w:rFonts w:cs="Times New Roman"/>
              </w:rPr>
              <w:t>AcAc</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3" w:name="_Toc409289316"/>
      <w:r>
        <w:t>Kidney acid-base regulation</w:t>
      </w:r>
      <w:bookmarkEnd w:id="233"/>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4" w:name="_Toc409289317"/>
      <w:r w:rsidR="007D270F">
        <w:t>dium</w:t>
      </w:r>
      <w:bookmarkEnd w:id="234"/>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5"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5"/>
      <w:r>
        <w:t>, Sodium in extracellular fluid</w:t>
      </w:r>
    </w:p>
    <w:p w:rsidR="00781A0D" w:rsidRDefault="00781A0D" w:rsidP="00911E3F">
      <w:pPr>
        <w:keepNext/>
        <w:jc w:val="both"/>
      </w:pPr>
    </w:p>
    <w:p w:rsidR="00781A0D" w:rsidRDefault="00781A0D" w:rsidP="00911E3F">
      <w:pPr>
        <w:pStyle w:val="Titulek"/>
        <w:jc w:val="both"/>
      </w:pPr>
      <w:bookmarkStart w:id="236"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6"/>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7" w:name="_Toc409289318"/>
      <w:r>
        <w:t>Potassium</w:t>
      </w:r>
      <w:bookmarkEnd w:id="237"/>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8"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8"/>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9" w:name="_Toc409289319"/>
      <w:r>
        <w:t>Phosphates and Sulfates</w:t>
      </w:r>
      <w:bookmarkEnd w:id="239"/>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822BCE" w:rsidP="000B56EB">
      <w:pPr>
        <w:pStyle w:val="Nadpis3"/>
      </w:pPr>
      <w:bookmarkStart w:id="240" w:name="_Ref414302047"/>
      <w:r>
        <w:lastRenderedPageBreak/>
        <w:t>C</w:t>
      </w:r>
      <w:r w:rsidR="000B56EB">
        <w:t>omparison with HumMod 1.6</w:t>
      </w:r>
      <w:bookmarkEnd w:id="240"/>
    </w:p>
    <w:p w:rsidR="000B56EB" w:rsidRDefault="000B56EB" w:rsidP="000B56EB">
      <w:r>
        <w:t xml:space="preserve">Acid-base in </w:t>
      </w:r>
      <w:proofErr w:type="spellStart"/>
      <w:r>
        <w:t>Physiomodel</w:t>
      </w:r>
      <w:proofErr w:type="spellEnd"/>
      <w:r>
        <w:t xml:space="preserve"> is totally different as in HumMod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will generate sufficient the weak ions charges with the </w:t>
      </w:r>
      <w:proofErr w:type="spellStart"/>
      <w:r>
        <w:t>electroneutrality</w:t>
      </w:r>
      <w:proofErr w:type="spellEnd"/>
      <w:r>
        <w:t xml:space="preserve">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xml:space="preserve">.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HumMod 1.6, because there was not calculation of weak ions charges except bicarbonate. And what is worse, the inorganic phosphate is calculated as a strong ion, which does not change the charge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HumMod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1" w:name="_Toc409289320"/>
      <w:bookmarkStart w:id="242" w:name="_Ref414302320"/>
      <w:bookmarkStart w:id="243" w:name="_Toc415924174"/>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1"/>
      <w:bookmarkEnd w:id="242"/>
      <w:bookmarkEnd w:id="243"/>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4" w:name="_Toc409289321"/>
      <w:r w:rsidRPr="006079D3">
        <w:t>Ventilation</w:t>
      </w:r>
      <w:bookmarkEnd w:id="24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45" w:name="_Toc409289322"/>
      <w:r w:rsidRPr="006079D3">
        <w:t>Oxygen</w:t>
      </w:r>
      <w:bookmarkEnd w:id="24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6"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6"/>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1D5ABC" w:rsidRDefault="00822BCE" w:rsidP="001D5ABC">
      <w:pPr>
        <w:pStyle w:val="Nadpis3"/>
      </w:pPr>
      <w:bookmarkStart w:id="247" w:name="_Ref414302052"/>
      <w:bookmarkStart w:id="248" w:name="_Toc409289324"/>
      <w:r>
        <w:t>C</w:t>
      </w:r>
      <w:r w:rsidR="001D5ABC">
        <w:t>omparison with HumMod 1.6</w:t>
      </w:r>
      <w:bookmarkEnd w:id="247"/>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49" w:name="_Toc415924175"/>
      <w:r w:rsidRPr="003A5773">
        <w:rPr>
          <w:rStyle w:val="Znaknadpisu1"/>
          <w:rFonts w:ascii="Times New Roman" w:hAnsi="Times New Roman" w:cs="Times New Roman"/>
        </w:rPr>
        <w:t>Nutrients and Metabolism</w:t>
      </w:r>
      <w:bookmarkEnd w:id="248"/>
      <w:bookmarkEnd w:id="249"/>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 xml:space="preserve">groups of organic compounds: </w:t>
      </w:r>
      <w:proofErr w:type="spellStart"/>
      <w:r w:rsidR="00B47FE0">
        <w:t>sa</w:t>
      </w:r>
      <w:r w:rsidR="00F93069">
        <w:t>charides</w:t>
      </w:r>
      <w:proofErr w:type="spellEnd"/>
      <w:r w:rsidR="00F93069">
        <w:t xml:space="preserve">,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50" w:name="_Toc409289325"/>
      <w:r w:rsidRPr="006079D3">
        <w:t>Cellular metabolism</w:t>
      </w:r>
      <w:bookmarkEnd w:id="250"/>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1" w:name="_Toc409289326"/>
      <w:r>
        <w:t>Liver metabolism</w:t>
      </w:r>
      <w:bookmarkEnd w:id="251"/>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xml:space="preserve">, </w:t>
      </w:r>
      <w:proofErr w:type="spellStart"/>
      <w:r w:rsidR="00E61D74">
        <w:t>ketogenesis</w:t>
      </w:r>
      <w:proofErr w:type="spellEnd"/>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w:t>
      </w:r>
      <w:proofErr w:type="spellStart"/>
      <w:r w:rsidR="00164065">
        <w:t>lipogenesis</w:t>
      </w:r>
      <w:proofErr w:type="spellEnd"/>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2"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2"/>
      <w:r>
        <w:t>, Liver transformations of base nutrients</w:t>
      </w:r>
    </w:p>
    <w:p w:rsidR="006079D3" w:rsidRDefault="006079D3" w:rsidP="00911E3F">
      <w:pPr>
        <w:pStyle w:val="Nadpis3"/>
        <w:jc w:val="both"/>
      </w:pPr>
      <w:bookmarkStart w:id="253" w:name="_Toc409289328"/>
      <w:r>
        <w:t>Lipids</w:t>
      </w:r>
      <w:bookmarkEnd w:id="253"/>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4" w:name="_Toc409289329"/>
      <w:r>
        <w:t>Proteins, amino-acids and urea</w:t>
      </w:r>
      <w:bookmarkEnd w:id="254"/>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605DFD">
        <w:rPr>
          <w:noProof/>
        </w:rPr>
        <w:t>7</w:t>
      </w:r>
      <w:r>
        <w:fldChar w:fldCharType="end"/>
      </w:r>
      <w:r>
        <w:t xml:space="preserve">, </w:t>
      </w:r>
      <w:proofErr w:type="spellStart"/>
      <w:r>
        <w:t>Keto</w:t>
      </w:r>
      <w:proofErr w:type="spellEnd"/>
      <w:r>
        <w:t xml:space="preserve"> acids</w:t>
      </w:r>
    </w:p>
    <w:p w:rsidR="00822BCE" w:rsidRDefault="00822BCE" w:rsidP="00822BCE">
      <w:pPr>
        <w:pStyle w:val="Nadpis3"/>
      </w:pPr>
      <w:bookmarkStart w:id="255" w:name="_Ref415238969"/>
      <w:r>
        <w:lastRenderedPageBreak/>
        <w:t>Comparison with HumMod 1.6</w:t>
      </w:r>
      <w:bookmarkEnd w:id="255"/>
    </w:p>
    <w:p w:rsidR="00822BCE" w:rsidRDefault="00822BCE" w:rsidP="00822BCE">
      <w:r>
        <w:t xml:space="preserve">The nutrients metabolism in </w:t>
      </w:r>
      <w:proofErr w:type="spellStart"/>
      <w:r>
        <w:t>Physiomodel</w:t>
      </w:r>
      <w:proofErr w:type="spellEnd"/>
      <w:r>
        <w:t xml:space="preserve">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w:t>
      </w:r>
      <w:proofErr w:type="spellStart"/>
      <w:r>
        <w:t>cal</w:t>
      </w:r>
      <w:proofErr w:type="spellEnd"/>
      <w:r>
        <w:t xml:space="preserve">/min. In Modelica </w:t>
      </w:r>
      <w:proofErr w:type="gramStart"/>
      <w:r w:rsidR="00B47FE0">
        <w:t>an</w:t>
      </w:r>
      <w:proofErr w:type="gramEnd"/>
      <w:r w:rsidR="00B47FE0">
        <w:t xml:space="preserve"> user </w:t>
      </w:r>
      <w:r>
        <w:t xml:space="preserve">is not approved to connect incompatible physical quantity or physical units without conversion. So it should automatically prevent this type of error in </w:t>
      </w:r>
      <w:proofErr w:type="spellStart"/>
      <w:r>
        <w:t>Physiomodel</w:t>
      </w:r>
      <w:proofErr w:type="spellEnd"/>
      <w:r>
        <w:t xml:space="preserve">, because in </w:t>
      </w:r>
      <w:proofErr w:type="spellStart"/>
      <w:r>
        <w:t>Physiomodel</w:t>
      </w:r>
      <w:proofErr w:type="spellEnd"/>
      <w:r>
        <w:t xml:space="preserve"> is glucose 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t>ketogenesis</w:t>
      </w:r>
      <w:proofErr w:type="spellEnd"/>
      <w:r>
        <w:t xml:space="preserve"> in liver. These situations are solved in </w:t>
      </w:r>
      <w:proofErr w:type="spellStart"/>
      <w:r>
        <w:t>Physiomodel</w:t>
      </w:r>
      <w:proofErr w:type="spellEnd"/>
      <w:r>
        <w:t xml:space="preserve"> rotating the slope of the middle point to more horizontal direction as shown in </w:t>
      </w:r>
      <w:r>
        <w:fldChar w:fldCharType="begin"/>
      </w:r>
      <w:r>
        <w:instrText xml:space="preserve"> REF _Ref414350542 \h </w:instrText>
      </w:r>
      <w:r>
        <w:fldChar w:fldCharType="separate"/>
      </w:r>
      <w:r>
        <w:t xml:space="preserve">Figure </w:t>
      </w:r>
      <w:r>
        <w:rPr>
          <w:noProof/>
        </w:rPr>
        <w:t>8</w:t>
      </w:r>
      <w:r>
        <w:fldChar w:fldCharType="end"/>
      </w:r>
      <w:r>
        <w:t xml:space="preserve"> and </w:t>
      </w:r>
      <w:r>
        <w:fldChar w:fldCharType="begin"/>
      </w:r>
      <w:r>
        <w:instrText xml:space="preserve"> REF _Ref414350613 \h </w:instrText>
      </w:r>
      <w:r>
        <w:fldChar w:fldCharType="separate"/>
      </w:r>
      <w:r>
        <w:t xml:space="preserve">Figure </w:t>
      </w:r>
      <w:r>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56" w:name="_Ref414350542"/>
      <w:r>
        <w:t xml:space="preserve">Figure </w:t>
      </w:r>
      <w:r>
        <w:fldChar w:fldCharType="begin"/>
      </w:r>
      <w:r>
        <w:instrText xml:space="preserve"> SEQ Figure \* ARABIC </w:instrText>
      </w:r>
      <w:r>
        <w:fldChar w:fldCharType="separate"/>
      </w:r>
      <w:r w:rsidR="00605DFD">
        <w:rPr>
          <w:noProof/>
        </w:rPr>
        <w:t>8</w:t>
      </w:r>
      <w:r>
        <w:fldChar w:fldCharType="end"/>
      </w:r>
      <w:bookmarkEnd w:id="256"/>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57" w:name="_Ref414350613"/>
      <w:r>
        <w:t xml:space="preserve">Figure </w:t>
      </w:r>
      <w:r>
        <w:fldChar w:fldCharType="begin"/>
      </w:r>
      <w:r>
        <w:instrText xml:space="preserve"> SEQ Figure \* ARABIC </w:instrText>
      </w:r>
      <w:r>
        <w:fldChar w:fldCharType="separate"/>
      </w:r>
      <w:r w:rsidR="00605DFD">
        <w:rPr>
          <w:noProof/>
        </w:rPr>
        <w:t>9</w:t>
      </w:r>
      <w:r>
        <w:fldChar w:fldCharType="end"/>
      </w:r>
      <w:bookmarkEnd w:id="257"/>
      <w:r>
        <w:t xml:space="preserve">, </w:t>
      </w:r>
      <w:proofErr w:type="spellStart"/>
      <w:r>
        <w:t>LM_Metabolism.KetoAcids.GlucagonEffect</w:t>
      </w:r>
      <w:proofErr w:type="spellEnd"/>
    </w:p>
    <w:p w:rsidR="00C4790F" w:rsidRPr="000032C0" w:rsidRDefault="00C4790F" w:rsidP="00A95A2B">
      <w:pPr>
        <w:rPr>
          <w:rFonts w:ascii="Courier New" w:hAnsi="Courier New" w:cs="Courier New"/>
        </w:rPr>
      </w:pPr>
      <w:r>
        <w:t xml:space="preserve">For </w:t>
      </w:r>
      <w:proofErr w:type="spellStart"/>
      <w:r>
        <w:t>Physiomodel</w:t>
      </w:r>
      <w:proofErr w:type="spellEnd"/>
      <w:r>
        <w:t xml:space="preserve">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58" w:name="_Toc409289330"/>
      <w:bookmarkStart w:id="259" w:name="_Toc415924176"/>
      <w:r w:rsidRPr="003A5773">
        <w:rPr>
          <w:rStyle w:val="Znaknadpisu1"/>
          <w:rFonts w:ascii="Times New Roman" w:hAnsi="Times New Roman" w:cs="Times New Roman"/>
        </w:rPr>
        <w:t>Thermoregulation</w:t>
      </w:r>
      <w:bookmarkEnd w:id="258"/>
      <w:bookmarkEnd w:id="259"/>
    </w:p>
    <w:p w:rsidR="009C309A" w:rsidRDefault="009C309A" w:rsidP="00911E3F">
      <w:pPr>
        <w:pStyle w:val="Nadpis3"/>
        <w:jc w:val="both"/>
      </w:pPr>
      <w:bookmarkStart w:id="260" w:name="_Toc409289331"/>
      <w:r>
        <w:t>Heat</w:t>
      </w:r>
      <w:bookmarkEnd w:id="26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lastRenderedPageBreak/>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1" w:name="_Toc409289332"/>
      <w:r>
        <w:t>Evaporation</w:t>
      </w:r>
      <w:bookmarkEnd w:id="26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62" w:name="_Ref415238981"/>
      <w:r>
        <w:t>Comparison with HumMod 1.6</w:t>
      </w:r>
      <w:bookmarkEnd w:id="262"/>
    </w:p>
    <w:p w:rsidR="00C06A54" w:rsidRPr="00822BCE" w:rsidRDefault="00941989" w:rsidP="00C06A54">
      <w:r>
        <w:t xml:space="preserve">Thermoregulation has </w:t>
      </w:r>
      <w:r w:rsidR="00C06A54">
        <w:t xml:space="preserve">only one small difference between </w:t>
      </w:r>
      <w:proofErr w:type="spellStart"/>
      <w:r w:rsidR="00C06A54">
        <w:t>Physiomodel</w:t>
      </w:r>
      <w:proofErr w:type="spellEnd"/>
      <w:r w:rsidR="00C06A54">
        <w:t xml:space="preserve"> and HumMod 1.6</w:t>
      </w:r>
      <w:r>
        <w:t xml:space="preserve"> -</w:t>
      </w:r>
      <w:r w:rsidR="00C06A54">
        <w:t xml:space="preserve"> in fatigue of sweat glands. The usage of fuel in sweat glands is in </w:t>
      </w:r>
      <w:proofErr w:type="spellStart"/>
      <w:r w:rsidR="00C06A54">
        <w:t>Physiomodel</w:t>
      </w:r>
      <w:proofErr w:type="spellEnd"/>
      <w:r w:rsidR="00C06A54">
        <w:t xml:space="preserve">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63" w:name="_Toc409289336"/>
      <w:bookmarkStart w:id="264" w:name="_Toc415924177"/>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3"/>
      <w:bookmarkEnd w:id="264"/>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65" w:name="_Ref415238991"/>
      <w:r>
        <w:t>Comparison with HumMod 1.6</w:t>
      </w:r>
      <w:bookmarkEnd w:id="265"/>
    </w:p>
    <w:p w:rsidR="00FF2922" w:rsidRDefault="00941989" w:rsidP="00941989">
      <w:r>
        <w:t xml:space="preserve">In </w:t>
      </w:r>
      <w:proofErr w:type="spellStart"/>
      <w:r>
        <w:t>Physiomodel</w:t>
      </w:r>
      <w:proofErr w:type="spellEnd"/>
      <w:r>
        <w:t xml:space="preserve">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605DFD">
        <w:t>5.1</w:t>
      </w:r>
      <w:r w:rsidR="00605DFD">
        <w:fldChar w:fldCharType="end"/>
      </w:r>
      <w:r w:rsidR="00605DFD">
        <w:t>.</w:t>
      </w:r>
    </w:p>
    <w:p w:rsidR="00605DFD" w:rsidRDefault="00605DFD" w:rsidP="00941989">
      <w:r>
        <w:t xml:space="preserve">The next difference is correction of the shape of oxygen effect in the same central chemoreceptors, where the change between </w:t>
      </w:r>
      <w:proofErr w:type="spellStart"/>
      <w:r>
        <w:t>Physiomodel</w:t>
      </w:r>
      <w:proofErr w:type="spellEnd"/>
      <w:r>
        <w:t xml:space="preserve"> and HumMod curves are </w:t>
      </w:r>
      <w:proofErr w:type="spellStart"/>
      <w:r>
        <w:t>ploted</w:t>
      </w:r>
      <w:proofErr w:type="spellEnd"/>
      <w:r>
        <w:t xml:space="preserve"> in</w:t>
      </w:r>
      <w:r w:rsidR="00AB49AD">
        <w:t xml:space="preserve"> </w:t>
      </w:r>
      <w:r w:rsidR="00AB49AD">
        <w:fldChar w:fldCharType="begin"/>
      </w:r>
      <w:r w:rsidR="00AB49AD">
        <w:instrText xml:space="preserve"> REF _Ref415238282 \h </w:instrText>
      </w:r>
      <w:r w:rsidR="00AB49AD">
        <w:fldChar w:fldCharType="separate"/>
      </w:r>
      <w:r w:rsidR="00AB49AD">
        <w:t xml:space="preserve">Figure </w:t>
      </w:r>
      <w:r w:rsidR="00AB49AD">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4">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66" w:name="_Ref415238282"/>
      <w:r>
        <w:t xml:space="preserve">Figure </w:t>
      </w:r>
      <w:r>
        <w:fldChar w:fldCharType="begin"/>
      </w:r>
      <w:r>
        <w:instrText xml:space="preserve"> SEQ Figure \* ARABIC </w:instrText>
      </w:r>
      <w:r>
        <w:fldChar w:fldCharType="separate"/>
      </w:r>
      <w:r>
        <w:rPr>
          <w:noProof/>
        </w:rPr>
        <w:t>10</w:t>
      </w:r>
      <w:r>
        <w:fldChar w:fldCharType="end"/>
      </w:r>
      <w:bookmarkEnd w:id="266"/>
      <w:r>
        <w:t>, Co</w:t>
      </w:r>
      <w:r w:rsidR="00AB49AD">
        <w:t>r</w:t>
      </w:r>
      <w:r>
        <w:t>rection of oxygen effect</w:t>
      </w:r>
      <w:r>
        <w:rPr>
          <w:noProof/>
        </w:rPr>
        <w:t xml:space="preserve"> on central chemoreceptors.</w:t>
      </w:r>
    </w:p>
    <w:p w:rsidR="000B56EB" w:rsidRPr="000B56EB" w:rsidRDefault="000B56EB" w:rsidP="000B56EB">
      <w:bookmarkStart w:id="267" w:name="_Toc408842159"/>
      <w:bookmarkStart w:id="268" w:name="_Toc408845957"/>
      <w:bookmarkStart w:id="269" w:name="_Toc409289340"/>
      <w:bookmarkStart w:id="270"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1" w:name="_Toc415924178"/>
      <w:r w:rsidRPr="003A5773">
        <w:rPr>
          <w:rStyle w:val="Znaknadpisu1"/>
          <w:rFonts w:ascii="Times New Roman" w:hAnsi="Times New Roman" w:cs="Times New Roman"/>
        </w:rPr>
        <w:lastRenderedPageBreak/>
        <w:t>Discussion</w:t>
      </w:r>
      <w:bookmarkEnd w:id="267"/>
      <w:bookmarkEnd w:id="268"/>
      <w:bookmarkEnd w:id="269"/>
      <w:bookmarkEnd w:id="270"/>
      <w:bookmarkEnd w:id="271"/>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72" w:name="_Ref415232619"/>
      <w:bookmarkStart w:id="273" w:name="_Toc415924179"/>
      <w:r>
        <w:t>Physiological expandability</w:t>
      </w:r>
      <w:bookmarkEnd w:id="272"/>
      <w:bookmarkEnd w:id="273"/>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w:t>
      </w:r>
      <w:r w:rsidR="00544AB7">
        <w:t>has</w:t>
      </w:r>
      <w:r w:rsidR="0033440C">
        <w:t xml:space="preserv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37044C" w:rsidP="00CB3E16">
      <w:pPr>
        <w:pStyle w:val="Nadpis2"/>
      </w:pPr>
      <w:bookmarkStart w:id="274" w:name="_Toc415924180"/>
      <w:r>
        <w:t>E</w:t>
      </w:r>
      <w:r w:rsidR="00CB3E16">
        <w:t>xpandability</w:t>
      </w:r>
      <w:r w:rsidR="00826533">
        <w:t xml:space="preserve"> in fie</w:t>
      </w:r>
      <w:r w:rsidR="001A44A5">
        <w:t>ld of physical chemistry</w:t>
      </w:r>
      <w:bookmarkEnd w:id="274"/>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and entropies of formation</w:t>
      </w:r>
      <w:r w:rsidR="00C710ED">
        <w:t xml:space="preserve"> (</w:t>
      </w:r>
      <w:proofErr w:type="spellStart"/>
      <w:r w:rsidR="003B284F">
        <w:t>Δ</w:t>
      </w:r>
      <w:r w:rsidR="003B284F">
        <w:rPr>
          <w:vertAlign w:val="subscript"/>
        </w:rPr>
        <w:t>f</w:t>
      </w:r>
      <w:r w:rsidR="00C710ED">
        <w:t>S</w:t>
      </w:r>
      <w:proofErr w:type="spellEnd"/>
      <w:r w:rsidR="00C710ED">
        <w:t>)</w:t>
      </w:r>
      <w:r w:rsidR="0064041F">
        <w:t xml:space="preserve">. </w:t>
      </w:r>
      <w:r w:rsidR="007A20F2">
        <w:t xml:space="preserve"> </w:t>
      </w:r>
      <w:r w:rsidR="00C710ED">
        <w:t>From these data can be expressed the Gibbs energy of formation (</w:t>
      </w:r>
      <w:proofErr w:type="spellStart"/>
      <w:r w:rsidR="003B284F">
        <w:t>Δ</w:t>
      </w:r>
      <w:r w:rsidR="003B284F">
        <w:rPr>
          <w:vertAlign w:val="subscript"/>
        </w:rPr>
        <w:t>f</w:t>
      </w:r>
      <w:r w:rsidR="00C710ED">
        <w:t>G</w:t>
      </w:r>
      <w:proofErr w:type="spellEnd"/>
      <w:r w:rsidR="00C710ED">
        <w:t xml:space="preserve">) for the substance at temperature T as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B47FE0"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m:t>
                </m:r>
                <m:r>
                  <w:rPr>
                    <w:rFonts w:ascii="Cambria Math" w:hAnsi="Cambria Math" w:cs="Times New Roman"/>
                  </w:rPr>
                  <m:t>-</m:t>
                </m:r>
                <m:r>
                  <w:rPr>
                    <w:rFonts w:ascii="Cambria Math" w:hAnsi="Cambria Math" w:cs="Times New Roman"/>
                  </w:rPr>
                  <m:t>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5" w:name="_Ref413791469"/>
            <w:r>
              <w:t xml:space="preserve">Equation </w:t>
            </w:r>
            <w:r>
              <w:fldChar w:fldCharType="begin"/>
            </w:r>
            <w:r>
              <w:instrText xml:space="preserve"> SEQ Equation \* ARABIC </w:instrText>
            </w:r>
            <w:r>
              <w:fldChar w:fldCharType="separate"/>
            </w:r>
            <w:r>
              <w:rPr>
                <w:noProof/>
              </w:rPr>
              <w:t>10</w:t>
            </w:r>
            <w:r>
              <w:fldChar w:fldCharType="end"/>
            </w:r>
            <w:bookmarkEnd w:id="275"/>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t xml:space="preserve">Also the next chemical reaction parameter </w:t>
      </w:r>
      <w:proofErr w:type="spellStart"/>
      <w:r>
        <w:t>k</w:t>
      </w:r>
      <w:r w:rsidRPr="00AF4B06">
        <w:rPr>
          <w:vertAlign w:val="subscript"/>
        </w:rPr>
        <w:t>f</w:t>
      </w:r>
      <w:proofErr w:type="spellEnd"/>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w:t>
      </w:r>
      <w:proofErr w:type="spellStart"/>
      <w:r w:rsidR="007C355B">
        <w:t>Δ</w:t>
      </w:r>
      <w:r w:rsidR="007C355B" w:rsidRPr="00F82EFD">
        <w:rPr>
          <w:vertAlign w:val="subscript"/>
        </w:rPr>
        <w:t>f</w:t>
      </w:r>
      <w:r w:rsidR="007C355B">
        <w:t>G</w:t>
      </w:r>
      <w:r w:rsidR="007C355B">
        <w:rPr>
          <w:vertAlign w:val="subscript"/>
        </w:rPr>
        <w:t>s</w:t>
      </w:r>
      <w:proofErr w:type="spellEnd"/>
      <w:r w:rsidR="007C355B">
        <w:t xml:space="preserve"> is the sum of Gibbs formation energies of substrates and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B47FE0"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6" w:name="_Ref413790426"/>
            <w:bookmarkStart w:id="277" w:name="_Ref413790403"/>
            <w:r>
              <w:t xml:space="preserve">Equation </w:t>
            </w:r>
            <w:r>
              <w:fldChar w:fldCharType="begin"/>
            </w:r>
            <w:r>
              <w:instrText xml:space="preserve"> SEQ Equation \* ARABIC </w:instrText>
            </w:r>
            <w:r>
              <w:fldChar w:fldCharType="separate"/>
            </w:r>
            <w:r>
              <w:rPr>
                <w:noProof/>
              </w:rPr>
              <w:t>10</w:t>
            </w:r>
            <w:r>
              <w:fldChar w:fldCharType="end"/>
            </w:r>
            <w:bookmarkEnd w:id="276"/>
            <w:r w:rsidR="005638BD">
              <w:t>, Transition state theory</w:t>
            </w:r>
            <w:bookmarkEnd w:id="277"/>
          </w:p>
        </w:tc>
      </w:tr>
    </w:tbl>
    <w:p w:rsidR="00AF4B06" w:rsidRPr="008C2976" w:rsidRDefault="005B551B" w:rsidP="008C2976">
      <w:r>
        <w:t xml:space="preserve">The difference </w:t>
      </w:r>
      <w:proofErr w:type="spellStart"/>
      <w:r>
        <w:t>Δ</w:t>
      </w:r>
      <w:r>
        <w:rPr>
          <w:vertAlign w:val="subscript"/>
        </w:rPr>
        <w:t>r</w:t>
      </w:r>
      <w:r>
        <w:t>G</w:t>
      </w:r>
      <w:proofErr w:type="spellEnd"/>
      <w:r>
        <w:rPr>
          <w:vertAlign w:val="superscript"/>
        </w:rPr>
        <w:t>‡</w:t>
      </w:r>
      <w:r>
        <w:t> = </w:t>
      </w:r>
      <w:proofErr w:type="spellStart"/>
      <w:r>
        <w:t>Δ</w:t>
      </w:r>
      <w:r w:rsidRPr="00F82EFD">
        <w:rPr>
          <w:vertAlign w:val="subscript"/>
        </w:rPr>
        <w:t>f</w:t>
      </w:r>
      <w:r>
        <w:t>G</w:t>
      </w:r>
      <w:r>
        <w:rPr>
          <w:vertAlign w:val="subscript"/>
        </w:rPr>
        <w:t>t</w:t>
      </w:r>
      <w:proofErr w:type="spellEnd"/>
      <w:r>
        <w:t xml:space="preserve"> </w:t>
      </w:r>
      <w:r>
        <w:noBreakHyphen/>
        <w:t xml:space="preserve"> </w:t>
      </w:r>
      <w:proofErr w:type="spellStart"/>
      <w:r>
        <w:t>Δ</w:t>
      </w:r>
      <w:r w:rsidRPr="00F82EFD">
        <w:rPr>
          <w:vertAlign w:val="subscript"/>
        </w:rPr>
        <w:t>f</w:t>
      </w:r>
      <w:r>
        <w:t>G</w:t>
      </w:r>
      <w:r>
        <w:rPr>
          <w:vertAlign w:val="subscript"/>
        </w:rPr>
        <w:t>s</w:t>
      </w:r>
      <w:proofErr w:type="spellEnd"/>
      <w:r>
        <w:t xml:space="preserve"> is called activation energy of the reaction. </w:t>
      </w:r>
      <w:r w:rsidR="007C355B">
        <w:t>However</w:t>
      </w:r>
      <w:r>
        <w:t>,</w:t>
      </w:r>
      <w:r w:rsidR="007C355B">
        <w:t xml:space="preserve"> this calculation still need to have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w:t>
      </w:r>
      <w:r>
        <w:t xml:space="preserve">or </w:t>
      </w:r>
      <w:proofErr w:type="spellStart"/>
      <w:r>
        <w:t>Δ</w:t>
      </w:r>
      <w:r>
        <w:rPr>
          <w:vertAlign w:val="subscript"/>
        </w:rPr>
        <w:t>r</w:t>
      </w:r>
      <w:r>
        <w:t>G</w:t>
      </w:r>
      <w:proofErr w:type="spellEnd"/>
      <w:r>
        <w:rPr>
          <w:vertAlign w:val="superscript"/>
        </w:rPr>
        <w:t xml:space="preserve">‡ </w:t>
      </w:r>
      <w:r w:rsidR="007C355B">
        <w:t>as parameter</w:t>
      </w:r>
      <w:r>
        <w:t>.</w:t>
      </w:r>
      <w:r w:rsidR="007C355B">
        <w:t xml:space="preserve"> </w:t>
      </w:r>
      <w:r w:rsidR="00FA2D9B">
        <w:t xml:space="preserve">This exchange of parameter </w:t>
      </w:r>
      <w:proofErr w:type="spellStart"/>
      <w:r w:rsidR="00FA2D9B">
        <w:t>k</w:t>
      </w:r>
      <w:r w:rsidR="00FA2D9B">
        <w:rPr>
          <w:vertAlign w:val="subscript"/>
        </w:rPr>
        <w:t>f</w:t>
      </w:r>
      <w:proofErr w:type="spellEnd"/>
      <w:r w:rsidR="00FA2D9B">
        <w:t xml:space="preserve"> for parameter </w:t>
      </w:r>
      <w:proofErr w:type="spellStart"/>
      <w:r w:rsidR="00FA2D9B">
        <w:t>Δ</w:t>
      </w:r>
      <w:r w:rsidR="00FA2D9B">
        <w:rPr>
          <w:vertAlign w:val="subscript"/>
        </w:rPr>
        <w:t>r</w:t>
      </w:r>
      <w:r w:rsidR="00FA2D9B">
        <w:t>G</w:t>
      </w:r>
      <w:proofErr w:type="spellEnd"/>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8" w:name="_Toc415924181"/>
      <w:r>
        <w:t>Computer Science expandability</w:t>
      </w:r>
      <w:bookmarkEnd w:id="278"/>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w:t>
      </w:r>
      <w:proofErr w:type="spellStart"/>
      <w:r w:rsidR="004E73F2">
        <w:rPr>
          <w:rFonts w:ascii="Times New Roman" w:hAnsi="Times New Roman" w:cs="Times New Roman"/>
        </w:rPr>
        <w:t>total</w:t>
      </w:r>
      <w:r w:rsidR="00021D5F">
        <w:rPr>
          <w:rFonts w:ascii="Times New Roman" w:hAnsi="Times New Roman" w:cs="Times New Roman"/>
        </w:rPr>
        <w:t>s</w:t>
      </w:r>
      <w:r w:rsidR="00B077E4">
        <w:rPr>
          <w:rFonts w:ascii="Times New Roman" w:hAnsi="Times New Roman" w:cs="Times New Roman"/>
        </w:rPr>
        <w:t>Coef</w:t>
      </w:r>
      <w:proofErr w:type="spellEnd"/>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4"/>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r>
        <w:rPr>
          <w:rStyle w:val="Znakapoznpodarou"/>
          <w:rFonts w:ascii="Times New Roman" w:hAnsi="Times New Roman" w:cs="Times New Roman"/>
        </w:rPr>
        <w:footnoteReference w:id="5"/>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w:t>
      </w:r>
      <w:proofErr w:type="spellStart"/>
      <w:r w:rsidR="003C573B">
        <w:rPr>
          <w:rFonts w:ascii="Times New Roman" w:hAnsi="Times New Roman" w:cs="Times New Roman"/>
        </w:rPr>
        <w:t>totalsCoef</w:t>
      </w:r>
      <w:proofErr w:type="spellEnd"/>
      <w:r w:rsidR="003C573B">
        <w:rPr>
          <w:rFonts w:ascii="Times New Roman" w:hAnsi="Times New Roman" w:cs="Times New Roman"/>
        </w:rPr>
        <w:t xml:space="preserve">”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proofErr w:type="spellStart"/>
      <w:r w:rsidR="00337B81">
        <w:rPr>
          <w:rFonts w:ascii="Times New Roman" w:hAnsi="Times New Roman" w:cs="Times New Roman"/>
        </w:rPr>
        <w:t>totalsCoef</w:t>
      </w:r>
      <w:proofErr w:type="spellEnd"/>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proofErr w:type="spellStart"/>
      <w:r w:rsidR="00337B81">
        <w:rPr>
          <w:rFonts w:ascii="Times New Roman" w:hAnsi="Times New Roman" w:cs="Times New Roman"/>
        </w:rPr>
        <w:t>totalsCoef</w:t>
      </w:r>
      <w:proofErr w:type="spellEnd"/>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w:t>
      </w:r>
      <w:proofErr w:type="spellStart"/>
      <w:r w:rsidR="003D1087">
        <w:rPr>
          <w:rFonts w:ascii="Times New Roman" w:hAnsi="Times New Roman" w:cs="Times New Roman"/>
        </w:rPr>
        <w:t>Carbon”,”Oxygen</w:t>
      </w:r>
      <w:proofErr w:type="spellEnd"/>
      <w:r w:rsidR="003D1087">
        <w:rPr>
          <w:rFonts w:ascii="Times New Roman" w:hAnsi="Times New Roman" w:cs="Times New Roman"/>
        </w:rPr>
        <w:t xml:space="preserve">”} and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D1087">
        <w:rPr>
          <w:rFonts w:ascii="Times New Roman" w:hAnsi="Times New Roman" w:cs="Times New Roman"/>
        </w:rPr>
        <w:t>={1,2}.</w:t>
      </w:r>
    </w:p>
    <w:p w:rsidR="00E3680F" w:rsidRDefault="00E3680F" w:rsidP="00E3680F">
      <w:pPr>
        <w:pStyle w:val="Nadpis2"/>
      </w:pPr>
      <w:bookmarkStart w:id="279" w:name="_Toc415924182"/>
      <w:r>
        <w:t>Mathematical expandability</w:t>
      </w:r>
      <w:bookmarkEnd w:id="279"/>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80" w:name="_Toc415924183"/>
      <w:r>
        <w:t>(In)</w:t>
      </w:r>
      <w:r w:rsidR="008C2976">
        <w:t>Consistency</w:t>
      </w:r>
      <w:bookmarkEnd w:id="280"/>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proofErr w:type="spellStart"/>
      <w:r w:rsidR="001F7203">
        <w:rPr>
          <w:rFonts w:ascii="Times New Roman" w:hAnsi="Times New Roman" w:cs="Times New Roman"/>
          <w:highlight w:val="yellow"/>
        </w:rPr>
        <w:t>refenences</w:t>
      </w:r>
      <w:proofErr w:type="spellEnd"/>
      <w:r w:rsidR="001F7203">
        <w:rPr>
          <w:rFonts w:ascii="Times New Roman" w:hAnsi="Times New Roman" w:cs="Times New Roman"/>
          <w:highlight w:val="yellow"/>
        </w:rPr>
        <w:t xml:space="preserve">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81" w:name="_Toc408842160"/>
      <w:bookmarkStart w:id="282" w:name="_Toc408845958"/>
      <w:bookmarkStart w:id="283" w:name="_Toc409289341"/>
      <w:bookmarkStart w:id="284" w:name="_Toc415924184"/>
      <w:r w:rsidRPr="003A5773">
        <w:rPr>
          <w:rStyle w:val="Znaknadpisu1"/>
          <w:rFonts w:ascii="Times New Roman" w:hAnsi="Times New Roman" w:cs="Times New Roman"/>
        </w:rPr>
        <w:t>Conclusion</w:t>
      </w:r>
      <w:bookmarkEnd w:id="281"/>
      <w:bookmarkEnd w:id="282"/>
      <w:bookmarkEnd w:id="283"/>
      <w:bookmarkEnd w:id="284"/>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proofErr w:type="spellStart"/>
      <w:r>
        <w:rPr>
          <w:rFonts w:ascii="Arial" w:eastAsia="Times New Roman" w:hAnsi="Arial" w:cs="Arial"/>
          <w:color w:val="616161"/>
          <w:sz w:val="19"/>
          <w:szCs w:val="19"/>
          <w:lang w:val="sk-SK"/>
        </w:rPr>
        <w:t>ýsledkom</w:t>
      </w:r>
      <w:proofErr w:type="spellEnd"/>
      <w:r>
        <w:rPr>
          <w:rFonts w:ascii="Arial" w:eastAsia="Times New Roman" w:hAnsi="Arial" w:cs="Arial"/>
          <w:color w:val="616161"/>
          <w:sz w:val="19"/>
          <w:szCs w:val="19"/>
          <w:lang w:val="sk-SK"/>
        </w:rPr>
        <w:t xml:space="preserve"> práce je podpora </w:t>
      </w:r>
      <w:proofErr w:type="spellStart"/>
      <w:r>
        <w:rPr>
          <w:rFonts w:ascii="Arial" w:eastAsia="Times New Roman" w:hAnsi="Arial" w:cs="Arial"/>
          <w:color w:val="616161"/>
          <w:sz w:val="19"/>
          <w:szCs w:val="19"/>
          <w:lang w:val="sk-SK"/>
        </w:rPr>
        <w:t>integratívnej</w:t>
      </w:r>
      <w:proofErr w:type="spellEnd"/>
      <w:r>
        <w:rPr>
          <w:rFonts w:ascii="Arial" w:eastAsia="Times New Roman" w:hAnsi="Arial" w:cs="Arial"/>
          <w:color w:val="616161"/>
          <w:sz w:val="19"/>
          <w:szCs w:val="19"/>
          <w:lang w:val="sk-SK"/>
        </w:rPr>
        <w:t xml:space="preserve"> fyziológie v </w:t>
      </w:r>
      <w:proofErr w:type="spellStart"/>
      <w:r>
        <w:rPr>
          <w:rFonts w:ascii="Arial" w:eastAsia="Times New Roman" w:hAnsi="Arial" w:cs="Arial"/>
          <w:color w:val="616161"/>
          <w:sz w:val="19"/>
          <w:szCs w:val="19"/>
          <w:lang w:val="sk-SK"/>
        </w:rPr>
        <w:t>modern</w:t>
      </w:r>
      <w:r>
        <w:rPr>
          <w:rFonts w:ascii="Arial" w:eastAsia="Times New Roman" w:hAnsi="Arial" w:cs="Arial"/>
          <w:color w:val="616161"/>
          <w:sz w:val="19"/>
          <w:szCs w:val="19"/>
          <w:lang w:val="cs-CZ"/>
        </w:rPr>
        <w:t>ých</w:t>
      </w:r>
      <w:proofErr w:type="spellEnd"/>
      <w:r>
        <w:rPr>
          <w:rFonts w:ascii="Arial" w:eastAsia="Times New Roman" w:hAnsi="Arial" w:cs="Arial"/>
          <w:color w:val="616161"/>
          <w:sz w:val="19"/>
          <w:szCs w:val="19"/>
          <w:lang w:val="cs-CZ"/>
        </w:rPr>
        <w:t xml:space="preserve"> </w:t>
      </w:r>
    </w:p>
    <w:p w:rsidR="003362FC" w:rsidRPr="003A5773" w:rsidRDefault="003362FC" w:rsidP="00911E3F">
      <w:pPr>
        <w:pStyle w:val="Nadpis1"/>
        <w:jc w:val="both"/>
        <w:rPr>
          <w:rStyle w:val="Znaknadpisu1"/>
          <w:rFonts w:ascii="Times New Roman" w:hAnsi="Times New Roman" w:cs="Times New Roman"/>
        </w:rPr>
      </w:pPr>
      <w:bookmarkStart w:id="285" w:name="_Toc408842161"/>
      <w:bookmarkStart w:id="286" w:name="_Toc408845959"/>
      <w:bookmarkStart w:id="287" w:name="_Toc409289342"/>
      <w:bookmarkStart w:id="288" w:name="_Toc415924185"/>
      <w:r>
        <w:rPr>
          <w:rStyle w:val="Znaknadpisu1"/>
          <w:rFonts w:ascii="Times New Roman" w:hAnsi="Times New Roman" w:cs="Times New Roman"/>
        </w:rPr>
        <w:t>References</w:t>
      </w:r>
      <w:bookmarkEnd w:id="285"/>
      <w:bookmarkEnd w:id="286"/>
      <w:bookmarkEnd w:id="287"/>
      <w:bookmarkEnd w:id="288"/>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39D" w:rsidRDefault="00AC139D">
      <w:pPr>
        <w:spacing w:after="0" w:line="240" w:lineRule="auto"/>
      </w:pPr>
      <w:r>
        <w:separator/>
      </w:r>
    </w:p>
  </w:endnote>
  <w:endnote w:type="continuationSeparator" w:id="0">
    <w:p w:rsidR="00AC139D" w:rsidRDefault="00AC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B47FE0" w:rsidRDefault="00B47FE0">
        <w:pPr>
          <w:pStyle w:val="Zpat"/>
        </w:pPr>
        <w:r>
          <w:fldChar w:fldCharType="begin"/>
        </w:r>
        <w:r>
          <w:instrText xml:space="preserve"> PAGE   \* MERGEFORMAT </w:instrText>
        </w:r>
        <w:r>
          <w:fldChar w:fldCharType="separate"/>
        </w:r>
        <w:r w:rsidR="00544AB7">
          <w:rPr>
            <w:noProof/>
          </w:rPr>
          <w:t>14</w:t>
        </w:r>
        <w:r>
          <w:rPr>
            <w:noProof/>
          </w:rPr>
          <w:fldChar w:fldCharType="end"/>
        </w:r>
      </w:p>
    </w:sdtContent>
  </w:sdt>
  <w:p w:rsidR="00B47FE0" w:rsidRDefault="00B47FE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39D" w:rsidRDefault="00AC139D">
      <w:pPr>
        <w:spacing w:after="0" w:line="240" w:lineRule="auto"/>
      </w:pPr>
      <w:r>
        <w:separator/>
      </w:r>
    </w:p>
  </w:footnote>
  <w:footnote w:type="continuationSeparator" w:id="0">
    <w:p w:rsidR="00AC139D" w:rsidRDefault="00AC139D">
      <w:pPr>
        <w:spacing w:after="0" w:line="240" w:lineRule="auto"/>
      </w:pPr>
      <w:r>
        <w:continuationSeparator/>
      </w:r>
    </w:p>
  </w:footnote>
  <w:footnote w:id="1">
    <w:p w:rsidR="00B47FE0" w:rsidRDefault="00B47FE0">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B47FE0" w:rsidRDefault="00B47FE0">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B47FE0" w:rsidRDefault="00B47FE0"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B47FE0" w:rsidRDefault="00B47FE0" w:rsidP="00330EC2">
      <w:pPr>
        <w:pStyle w:val="Textpoznpodarou"/>
      </w:pPr>
      <w:r>
        <w:rPr>
          <w:rStyle w:val="Znakapoznpodarou"/>
        </w:rPr>
        <w:footnoteRef/>
      </w:r>
      <w:r>
        <w:t xml:space="preserve"> Non-flow variable is each variable without Modelica prefix ‘flow’.</w:t>
      </w:r>
    </w:p>
  </w:footnote>
  <w:footnote w:id="5">
    <w:p w:rsidR="00B47FE0" w:rsidRDefault="00B47FE0"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8pt;height:6.6pt;visibility:visible" o:bullet="t">
        <v:imagedata r:id="rId1" o:title="OsmoticPorts"/>
      </v:shape>
    </w:pict>
  </w:numPicBullet>
  <w:numPicBullet w:numPicBulletId="1">
    <w:pict>
      <v:shape id="_x0000_i1039" type="#_x0000_t75" style="width:13.8pt;height:6.6pt;visibility:visible" o:bullet="t">
        <v:imagedata r:id="rId2" o:title="ThermalPorts"/>
      </v:shape>
    </w:pict>
  </w:numPicBullet>
  <w:numPicBullet w:numPicBulletId="2">
    <w:pict>
      <v:shape id="_x0000_i1040" type="#_x0000_t75" style="width:16.8pt;height:8.4pt;visibility:visible" o:bullet="t">
        <v:imagedata r:id="rId3" o:title="HydraulicPorts"/>
      </v:shape>
    </w:pict>
  </w:numPicBullet>
  <w:numPicBullet w:numPicBulletId="3">
    <w:pict>
      <v:shape id="_x0000_i1041"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44A5"/>
    <w:rsid w:val="001A4D6D"/>
    <w:rsid w:val="001B0AE4"/>
    <w:rsid w:val="001C0377"/>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2F06"/>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4AB7"/>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2BCE"/>
    <w:rsid w:val="008235AE"/>
    <w:rsid w:val="00823AAC"/>
    <w:rsid w:val="00826296"/>
    <w:rsid w:val="00826533"/>
    <w:rsid w:val="00826661"/>
    <w:rsid w:val="008270D6"/>
    <w:rsid w:val="00833903"/>
    <w:rsid w:val="0083396C"/>
    <w:rsid w:val="008344E5"/>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E3E"/>
    <w:rsid w:val="00AA03BD"/>
    <w:rsid w:val="00AA12E4"/>
    <w:rsid w:val="00AA2F9A"/>
    <w:rsid w:val="00AA357B"/>
    <w:rsid w:val="00AA5645"/>
    <w:rsid w:val="00AA58A6"/>
    <w:rsid w:val="00AA6911"/>
    <w:rsid w:val="00AB455D"/>
    <w:rsid w:val="00AB49AD"/>
    <w:rsid w:val="00AB4B0D"/>
    <w:rsid w:val="00AB6A63"/>
    <w:rsid w:val="00AB6F6A"/>
    <w:rsid w:val="00AB6F92"/>
    <w:rsid w:val="00AB7BCA"/>
    <w:rsid w:val="00AB7FDB"/>
    <w:rsid w:val="00AC080B"/>
    <w:rsid w:val="00AC0BD4"/>
    <w:rsid w:val="00AC139D"/>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077E4"/>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4790F"/>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B8B"/>
    <w:rsid w:val="00EA5E4F"/>
    <w:rsid w:val="00EB0191"/>
    <w:rsid w:val="00EB2D12"/>
    <w:rsid w:val="00EB3A04"/>
    <w:rsid w:val="00EB4643"/>
    <w:rsid w:val="00EB5257"/>
    <w:rsid w:val="00EB5541"/>
    <w:rsid w:val="00EB5CF1"/>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ADB03-D2FE-435B-B739-255E6B77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59561</TotalTime>
  <Pages>71</Pages>
  <Words>47900</Words>
  <Characters>282611</Characters>
  <Application>Microsoft Office Word</Application>
  <DocSecurity>0</DocSecurity>
  <Lines>2355</Lines>
  <Paragraphs>659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156</cp:revision>
  <dcterms:created xsi:type="dcterms:W3CDTF">2014-10-03T15:19:00Z</dcterms:created>
  <dcterms:modified xsi:type="dcterms:W3CDTF">2015-04-28T21:47:00Z</dcterms:modified>
</cp:coreProperties>
</file>