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E77B8"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E77B8"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AE77B8"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w:t>
                </w:r>
                <w:r w:rsidR="003362FC" w:rsidRPr="004628E0">
                  <w:rPr>
                    <w:rStyle w:val="Hypertextovodkaz"/>
                    <w:rFonts w:ascii="Times New Roman" w:hAnsi="Times New Roman" w:cs="Times New Roman"/>
                    <w:noProof/>
                  </w:rPr>
                  <w:t>i</w:t>
                </w:r>
                <w:r w:rsidR="003362FC" w:rsidRPr="004628E0">
                  <w:rPr>
                    <w:rStyle w:val="Hypertextovodkaz"/>
                    <w:rFonts w:ascii="Times New Roman" w:hAnsi="Times New Roman" w:cs="Times New Roman"/>
                    <w:noProof/>
                  </w:rPr>
                  <w:t>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AE77B8"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E77B8"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E77B8"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E77B8"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E77B8"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r w:rsidRPr="003A5773">
            <w:rPr>
              <w:rFonts w:ascii="Times New Roman" w:hAnsi="Times New Roman" w:cs="Times New Roman"/>
            </w:rPr>
            <w:t>Modelica Principles</w:t>
          </w:r>
          <w:bookmarkEnd w:id="7"/>
        </w:p>
        <w:p w:rsidR="003362FC" w:rsidRDefault="003362FC" w:rsidP="003362FC">
          <w:pPr>
            <w:rPr>
              <w:rFonts w:ascii="Times New Roman" w:hAnsi="Times New Roman" w:cs="Times New Roman"/>
            </w:rPr>
          </w:pPr>
          <w:r w:rsidRPr="003A5773">
            <w:rPr>
              <w:rFonts w:ascii="Times New Roman" w:hAnsi="Times New Roman" w:cs="Times New Roman"/>
            </w:rPr>
            <w:t>Object oriented programming</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The answer is by approximations. There must be always some limits of precisions, 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xml:space="preserve">. This 32-bit precision is </w:t>
          </w:r>
          <w:r w:rsidR="00512903">
            <w:rPr>
              <w:rFonts w:ascii="Times New Roman" w:hAnsi="Times New Roman" w:cs="Times New Roman"/>
            </w:rPr>
            <w:lastRenderedPageBreak/>
            <w:t>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9" w:name="_Toc399405491"/>
          <w:r w:rsidRPr="003A5773">
            <w:rPr>
              <w:rFonts w:ascii="Times New Roman" w:hAnsi="Times New Roman" w:cs="Times New Roman"/>
            </w:rPr>
            <w:t>Connections</w:t>
          </w:r>
          <w:bookmarkEnd w:id="9"/>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2"/>
          <w:r w:rsidRPr="003A5773">
            <w:rPr>
              <w:rFonts w:ascii="Times New Roman" w:hAnsi="Times New Roman" w:cs="Times New Roman"/>
            </w:rPr>
            <w:t>Steady states</w:t>
          </w:r>
          <w:bookmarkEnd w:id="10"/>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1" w:name="_Toc399405493"/>
          <w:r w:rsidRPr="003A5773">
            <w:rPr>
              <w:rStyle w:val="Znaknadpisu1"/>
              <w:rFonts w:ascii="Times New Roman" w:hAnsi="Times New Roman" w:cs="Times New Roman"/>
            </w:rPr>
            <w:lastRenderedPageBreak/>
            <w:t>Physiolibrary</w:t>
          </w:r>
          <w:bookmarkEnd w:id="11"/>
        </w:p>
        <w:p w:rsidR="003362FC" w:rsidRPr="003A5773" w:rsidRDefault="003362FC" w:rsidP="003362FC">
          <w:pPr>
            <w:pStyle w:val="Nadpis2"/>
            <w:rPr>
              <w:rFonts w:ascii="Times New Roman" w:hAnsi="Times New Roman" w:cs="Times New Roman"/>
            </w:rPr>
          </w:pPr>
          <w:bookmarkStart w:id="12" w:name="_Toc399405494"/>
          <w:r w:rsidRPr="003A5773">
            <w:rPr>
              <w:rFonts w:ascii="Times New Roman" w:hAnsi="Times New Roman" w:cs="Times New Roman"/>
            </w:rPr>
            <w:t>Chemical domain</w:t>
          </w:r>
          <w:bookmarkEnd w:id="1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3" w:name="_Toc399405495"/>
          <w:r w:rsidRPr="003A5773">
            <w:rPr>
              <w:rFonts w:ascii="Times New Roman" w:hAnsi="Times New Roman" w:cs="Times New Roman"/>
            </w:rPr>
            <w:t>Osmotic domain</w:t>
          </w:r>
          <w:bookmarkEnd w:id="13"/>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4" w:name="_Toc399405496"/>
          <w:r w:rsidRPr="003A5773">
            <w:rPr>
              <w:rFonts w:ascii="Times New Roman" w:hAnsi="Times New Roman" w:cs="Times New Roman"/>
            </w:rPr>
            <w:t>Thermal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5" w:name="_Toc399405497"/>
          <w:r w:rsidRPr="003A5773">
            <w:rPr>
              <w:rFonts w:ascii="Times New Roman" w:hAnsi="Times New Roman" w:cs="Times New Roman"/>
            </w:rPr>
            <w:t>Hydraulic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6" w:name="_Toc399405498"/>
          <w:r w:rsidRPr="003A5773">
            <w:rPr>
              <w:rFonts w:ascii="Times New Roman" w:hAnsi="Times New Roman" w:cs="Times New Roman"/>
            </w:rPr>
            <w:t>Examples</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Build by drag&amp;drop</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AE77B8"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7" w:name="_Toc399405499"/>
      <w:proofErr w:type="spellStart"/>
      <w:r w:rsidRPr="003A5773">
        <w:rPr>
          <w:rStyle w:val="Znaknadpisu1"/>
          <w:rFonts w:ascii="Times New Roman" w:hAnsi="Times New Roman" w:cs="Times New Roman"/>
        </w:rPr>
        <w:t>Physiomodel</w:t>
      </w:r>
      <w:bookmarkEnd w:id="17"/>
      <w:proofErr w:type="spellEnd"/>
    </w:p>
    <w:p w:rsidR="003362FC" w:rsidRPr="003A5773" w:rsidRDefault="003362FC" w:rsidP="003362FC">
      <w:pPr>
        <w:pStyle w:val="Nadpis2"/>
        <w:rPr>
          <w:rStyle w:val="Znaknadpisu1"/>
          <w:rFonts w:ascii="Times New Roman" w:hAnsi="Times New Roman" w:cs="Times New Roman"/>
        </w:rPr>
      </w:pPr>
      <w:bookmarkStart w:id="18" w:name="_Toc399405500"/>
      <w:r w:rsidRPr="003A5773">
        <w:rPr>
          <w:rStyle w:val="Znaknadpisu1"/>
          <w:rFonts w:ascii="Times New Roman" w:hAnsi="Times New Roman" w:cs="Times New Roman"/>
        </w:rPr>
        <w:t>Cardiovascular system</w:t>
      </w:r>
      <w:bookmarkEnd w:id="18"/>
    </w:p>
    <w:p w:rsidR="003362FC" w:rsidRPr="003A5773" w:rsidRDefault="003362FC" w:rsidP="003362FC">
      <w:pPr>
        <w:pStyle w:val="Nadpis3"/>
        <w:numPr>
          <w:ilvl w:val="0"/>
          <w:numId w:val="0"/>
        </w:numPr>
        <w:ind w:left="720"/>
        <w:rPr>
          <w:rFonts w:eastAsia="Times New Roman"/>
        </w:rPr>
      </w:pPr>
      <w:bookmarkStart w:id="19" w:name="_Toc399405501"/>
      <w:r w:rsidRPr="003A5773">
        <w:rPr>
          <w:rFonts w:eastAsia="Times New Roman"/>
        </w:rPr>
        <w:t>Heart</w:t>
      </w:r>
      <w:bookmarkEnd w:id="1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0" w:name="_Toc399405502"/>
      <w:r w:rsidRPr="003A5773">
        <w:rPr>
          <w:rFonts w:eastAsia="Times New Roman"/>
        </w:rPr>
        <w:t xml:space="preserve">Blood </w:t>
      </w:r>
      <w:r>
        <w:rPr>
          <w:rFonts w:eastAsia="Times New Roman"/>
        </w:rPr>
        <w:t>flow</w:t>
      </w:r>
      <w:bookmarkEnd w:id="20"/>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1" w:name="_Toc399405503"/>
      <w:r w:rsidRPr="003A5773">
        <w:rPr>
          <w:rFonts w:eastAsia="Times New Roman"/>
        </w:rPr>
        <w:t>Vasoconstriction</w:t>
      </w:r>
      <w:bookmarkEnd w:id="21"/>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lastRenderedPageBreak/>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is the hepatic blood flow determined by portal vein and hepatic artery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 xml:space="preserve">is known in typical or in changed histamine concentration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2" w:name="_Toc399405504"/>
      <w:r w:rsidRPr="003A5773">
        <w:t>Vessels Compliance</w:t>
      </w:r>
      <w:bookmarkEnd w:id="22"/>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3" w:name="_Toc399405505"/>
      <w:r w:rsidRPr="003A5773">
        <w:rPr>
          <w:rFonts w:eastAsia="Times New Roman"/>
        </w:rPr>
        <w:t>Muscle pump effect</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4" w:name="_Toc399405506"/>
      <w:r w:rsidRPr="003A5773">
        <w:t>Sequestered volume</w:t>
      </w:r>
      <w:bookmarkEnd w:id="24"/>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5" w:name="_Toc399405507"/>
      <w:r w:rsidRPr="003A5773">
        <w:rPr>
          <w:rFonts w:eastAsia="Times New Roman"/>
        </w:rPr>
        <w:t>Blood Volume regulations</w:t>
      </w:r>
      <w:bookmarkEnd w:id="25"/>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6" w:name="_Toc399405508"/>
      <w:proofErr w:type="spellStart"/>
      <w:r w:rsidRPr="003A5773">
        <w:rPr>
          <w:rFonts w:eastAsia="Times New Roman"/>
        </w:rPr>
        <w:t>Autoregulation</w:t>
      </w:r>
      <w:proofErr w:type="spellEnd"/>
      <w:r w:rsidRPr="003A5773">
        <w:rPr>
          <w:rFonts w:eastAsia="Times New Roman"/>
        </w:rPr>
        <w:t xml:space="preserve"> of circulation</w:t>
      </w:r>
      <w:bookmarkEnd w:id="26"/>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7" w:name="_Toc399405509"/>
      <w:r w:rsidRPr="003A5773">
        <w:rPr>
          <w:rFonts w:ascii="Times New Roman" w:hAnsi="Times New Roman" w:cs="Times New Roman"/>
        </w:rPr>
        <w:t>Osmolarity and Water distribution</w:t>
      </w:r>
      <w:bookmarkEnd w:id="27"/>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8" w:name="_Toc399405510"/>
      <w:r w:rsidRPr="003A5773">
        <w:rPr>
          <w:rFonts w:ascii="Times New Roman" w:hAnsi="Times New Roman" w:cs="Times New Roman"/>
        </w:rPr>
        <w:t>Extracellular proteins</w:t>
      </w:r>
      <w:bookmarkEnd w:id="28"/>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29" w:name="_Toc399405511"/>
      <w:r w:rsidRPr="003A5773">
        <w:rPr>
          <w:rFonts w:ascii="Times New Roman" w:hAnsi="Times New Roman" w:cs="Times New Roman"/>
        </w:rPr>
        <w:t>Gastro intestinal water absorption</w:t>
      </w:r>
      <w:bookmarkEnd w:id="29"/>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0">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0" w:name="_Toc399405512"/>
      <w:r w:rsidRPr="003A5773">
        <w:rPr>
          <w:rFonts w:ascii="Times New Roman" w:hAnsi="Times New Roman" w:cs="Times New Roman"/>
        </w:rPr>
        <w:t>Upper/Middle/Lower torso water</w:t>
      </w:r>
      <w:bookmarkEnd w:id="30"/>
    </w:p>
    <w:p w:rsidR="003362FC"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 xml:space="preserve">Water crowing the capillary wall is driven by </w:t>
      </w:r>
      <w:r w:rsidR="001F558E">
        <w:rPr>
          <w:rFonts w:ascii="Times New Roman" w:hAnsi="Times New Roman" w:cs="Times New Roman"/>
        </w:rPr>
        <w:t xml:space="preserve">hydrostatic-colloid pressure gradients, where the pressure elements are for each torso listed in </w:t>
      </w:r>
      <w:proofErr w:type="gramStart"/>
      <w:r w:rsidR="001F558E">
        <w:rPr>
          <w:rFonts w:ascii="Times New Roman" w:hAnsi="Times New Roman" w:cs="Times New Roman"/>
        </w:rPr>
        <w:t>table ?.</w:t>
      </w:r>
      <w:proofErr w:type="gramEnd"/>
    </w:p>
    <w:p w:rsidR="001F558E" w:rsidRPr="003A5773" w:rsidRDefault="001F558E" w:rsidP="001F558E">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proofErr w:type="spellStart"/>
      <w:r w:rsidR="000D66D7">
        <w:rPr>
          <w:rFonts w:ascii="Times New Roman" w:hAnsi="Times New Roman" w:cs="Times New Roman"/>
        </w:rPr>
        <w:t>k</w:t>
      </w:r>
      <w:r>
        <w:rPr>
          <w:rFonts w:ascii="Times New Roman" w:hAnsi="Times New Roman" w:cs="Times New Roman"/>
        </w:rPr>
        <w:t>Pa</w:t>
      </w:r>
      <w:proofErr w:type="spellEnd"/>
      <w:r w:rsidRPr="003A5773">
        <w:rPr>
          <w:rFonts w:ascii="Times New Roman" w:hAnsi="Times New Roman" w:cs="Times New Roman"/>
        </w:rPr>
        <w:t>]</w:t>
      </w:r>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1F558E" w:rsidP="007C7691">
            <w:pPr>
              <w:rPr>
                <w:rFonts w:ascii="Times New Roman" w:hAnsi="Times New Roman" w:cs="Times New Roman"/>
              </w:rPr>
            </w:pPr>
          </w:p>
        </w:tc>
        <w:tc>
          <w:tcPr>
            <w:tcW w:w="936" w:type="pct"/>
          </w:tcPr>
          <w:p w:rsidR="001F558E" w:rsidRPr="003A5773" w:rsidRDefault="001F558E" w:rsidP="007C76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7C7691">
            <w:pPr>
              <w:rPr>
                <w:rFonts w:ascii="Times New Roman" w:hAnsi="Times New Roman" w:cs="Times New Roman"/>
              </w:rPr>
            </w:pPr>
            <w:r>
              <w:rPr>
                <w:rFonts w:ascii="Times New Roman" w:hAnsi="Times New Roman" w:cs="Times New Roman"/>
              </w:rPr>
              <w:t>blood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Default="001F558E" w:rsidP="001F558E">
            <w:pPr>
              <w:rPr>
                <w:rFonts w:ascii="Times New Roman" w:hAnsi="Times New Roman" w:cs="Times New Roman"/>
              </w:rPr>
            </w:pPr>
            <w:r>
              <w:rPr>
                <w:rFonts w:ascii="Times New Roman" w:hAnsi="Times New Roman" w:cs="Times New Roman"/>
              </w:rPr>
              <w:t>blood coloid</w:t>
            </w:r>
          </w:p>
        </w:tc>
        <w:tc>
          <w:tcPr>
            <w:tcW w:w="936" w:type="pct"/>
          </w:tcPr>
          <w:p w:rsidR="000D66D7" w:rsidRPr="003A5773" w:rsidRDefault="000D66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1F558E">
            <w:pPr>
              <w:rPr>
                <w:rFonts w:ascii="Times New Roman" w:hAnsi="Times New Roman" w:cs="Times New Roman"/>
              </w:rPr>
            </w:pPr>
            <w:r>
              <w:rPr>
                <w:rFonts w:ascii="Times New Roman" w:hAnsi="Times New Roman" w:cs="Times New Roman"/>
              </w:rPr>
              <w:t>interstitium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proofErr w:type="spellStart"/>
            <w:r>
              <w:rPr>
                <w:rFonts w:ascii="Times New Roman" w:hAnsi="Times New Roman" w:cs="Times New Roman"/>
              </w:rPr>
              <w:t>kPa</w:t>
            </w:r>
            <w:proofErr w:type="spellEnd"/>
          </w:p>
        </w:tc>
        <w:tc>
          <w:tcPr>
            <w:tcW w:w="936" w:type="pct"/>
          </w:tcPr>
          <w:p w:rsidR="001F558E" w:rsidRPr="003A5773" w:rsidRDefault="001E3788"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 xml:space="preserve">0.6 </w:t>
            </w:r>
            <w:proofErr w:type="spellStart"/>
            <w:r w:rsidR="00E67CD7">
              <w:rPr>
                <w:rFonts w:ascii="Times New Roman" w:hAnsi="Times New Roman" w:cs="Times New Roman"/>
              </w:rPr>
              <w:t>kPa</w:t>
            </w:r>
            <w:proofErr w:type="spellEnd"/>
          </w:p>
        </w:tc>
        <w:tc>
          <w:tcPr>
            <w:tcW w:w="935" w:type="pct"/>
          </w:tcPr>
          <w:p w:rsidR="001F558E" w:rsidRPr="003A5773" w:rsidRDefault="00E67CD7"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-0.6 </w:t>
            </w:r>
            <w:proofErr w:type="spellStart"/>
            <w:r>
              <w:rPr>
                <w:rFonts w:ascii="Times New Roman" w:hAnsi="Times New Roman" w:cs="Times New Roman"/>
              </w:rPr>
              <w:t>kPa</w:t>
            </w:r>
            <w:proofErr w:type="spellEnd"/>
          </w:p>
        </w:tc>
      </w:tr>
      <w:tr w:rsidR="001E3788" w:rsidRPr="003A5773" w:rsidTr="00E67CD7">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interstitium coloid</w:t>
            </w:r>
          </w:p>
        </w:tc>
        <w:tc>
          <w:tcPr>
            <w:tcW w:w="936" w:type="pct"/>
            <w:tcBorders>
              <w:bottom w:val="single" w:sz="4" w:space="0" w:color="auto"/>
            </w:tcBorders>
          </w:tcPr>
          <w:p w:rsidR="001E3788"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1.6 </w:t>
            </w:r>
            <w:proofErr w:type="spellStart"/>
            <w:r>
              <w:rPr>
                <w:rFonts w:ascii="Times New Roman" w:hAnsi="Times New Roman" w:cs="Times New Roman"/>
              </w:rPr>
              <w:t>kPa</w:t>
            </w:r>
            <w:proofErr w:type="spellEnd"/>
          </w:p>
        </w:tc>
        <w:tc>
          <w:tcPr>
            <w:tcW w:w="936"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kPa</w:t>
            </w:r>
            <w:proofErr w:type="spellEnd"/>
          </w:p>
        </w:tc>
        <w:tc>
          <w:tcPr>
            <w:tcW w:w="935"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kPa</w:t>
            </w:r>
            <w:proofErr w:type="spellEnd"/>
          </w:p>
        </w:tc>
      </w:tr>
      <w:tr w:rsidR="001E3788" w:rsidRPr="003A5773" w:rsidTr="00E67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total gradient</w:t>
            </w:r>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0.7 </w:t>
            </w:r>
            <w:proofErr w:type="spellStart"/>
            <w:r>
              <w:rPr>
                <w:rFonts w:ascii="Times New Roman" w:hAnsi="Times New Roman" w:cs="Times New Roman"/>
              </w:rPr>
              <w:t>kPa</w:t>
            </w:r>
            <w:proofErr w:type="spellEnd"/>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0.3 </w:t>
            </w:r>
            <w:proofErr w:type="spellStart"/>
            <w:r>
              <w:rPr>
                <w:rFonts w:ascii="Times New Roman" w:hAnsi="Times New Roman" w:cs="Times New Roman"/>
              </w:rPr>
              <w:t>kPa</w:t>
            </w:r>
            <w:proofErr w:type="spellEnd"/>
          </w:p>
        </w:tc>
        <w:tc>
          <w:tcPr>
            <w:tcW w:w="935"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1E3788">
            <w:pPr>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[ml/(kPa.min)]</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E67CD7" w:rsidP="00E67CD7">
            <w:pPr>
              <w:rPr>
                <w:rFonts w:ascii="Times New Roman" w:hAnsi="Times New Roman" w:cs="Times New Roman"/>
              </w:rPr>
            </w:pPr>
            <w:bookmarkStart w:id="31" w:name="_GoBack" w:colFirst="0" w:colLast="3"/>
            <w:r>
              <w:rPr>
                <w:rFonts w:ascii="Times New Roman" w:hAnsi="Times New Roman" w:cs="Times New Roman"/>
              </w:rPr>
              <w:lastRenderedPageBreak/>
              <w:t>capillary wall filtrate</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bookmarkEnd w:id="31"/>
    </w:tbl>
    <w:p w:rsidR="001F558E" w:rsidRPr="003A5773" w:rsidRDefault="001F558E" w:rsidP="001F558E">
      <w:pPr>
        <w:rPr>
          <w:rFonts w:ascii="Times New Roman" w:hAnsi="Times New Roman" w:cs="Times New Roman"/>
        </w:rPr>
      </w:pPr>
    </w:p>
    <w:p w:rsidR="001F558E" w:rsidRPr="003A5773" w:rsidRDefault="001F558E"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of substances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lastRenderedPageBreak/>
        <w:t>Kidney</w:t>
      </w:r>
      <w:bookmarkEnd w:id="3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3" w:name="_Toc399405514"/>
      <w:r w:rsidRPr="003A5773">
        <w:rPr>
          <w:rStyle w:val="Znaknadpisu1"/>
          <w:rFonts w:ascii="Times New Roman" w:hAnsi="Times New Roman" w:cs="Times New Roman"/>
        </w:rPr>
        <w:t>Hormones</w:t>
      </w:r>
      <w:bookmarkEnd w:id="33"/>
    </w:p>
    <w:p w:rsidR="003362FC" w:rsidRPr="003A5773" w:rsidRDefault="003362FC" w:rsidP="003362FC">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3"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4"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6" w:name="_Toc399405517"/>
      <w:r w:rsidRPr="00FE49C8">
        <w:rPr>
          <w:rFonts w:ascii="Times New Roman" w:hAnsi="Times New Roman" w:cs="Times New Roman"/>
        </w:rPr>
        <w:t>Insulin</w:t>
      </w:r>
      <w:bookmarkEnd w:id="36"/>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5"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6">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7">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7" w:name="_Toc399405518"/>
      <w:r w:rsidRPr="003A5773">
        <w:rPr>
          <w:rStyle w:val="Znaknadpisu1"/>
          <w:rFonts w:ascii="Times New Roman" w:hAnsi="Times New Roman" w:cs="Times New Roman"/>
        </w:rPr>
        <w:t>Electrolytes</w:t>
      </w:r>
      <w:bookmarkEnd w:id="37"/>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8" w:name="_Toc399405523"/>
      <w:r w:rsidRPr="003A5773">
        <w:rPr>
          <w:rFonts w:ascii="Times New Roman" w:hAnsi="Times New Roman" w:cs="Times New Roman"/>
        </w:rPr>
        <w:t>Acid-base</w:t>
      </w:r>
      <w:bookmarkEnd w:id="38"/>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AE77B8"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3"/>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441" w:rsidRDefault="003C1441">
      <w:pPr>
        <w:spacing w:after="0" w:line="240" w:lineRule="auto"/>
      </w:pPr>
      <w:r>
        <w:separator/>
      </w:r>
    </w:p>
  </w:endnote>
  <w:endnote w:type="continuationSeparator" w:id="0">
    <w:p w:rsidR="003C1441" w:rsidRDefault="003C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7C7691" w:rsidRDefault="007C7691">
        <w:pPr>
          <w:pStyle w:val="Zpat"/>
        </w:pPr>
        <w:r>
          <w:fldChar w:fldCharType="begin"/>
        </w:r>
        <w:r>
          <w:instrText xml:space="preserve"> PAGE   \* MERGEFORMAT </w:instrText>
        </w:r>
        <w:r>
          <w:fldChar w:fldCharType="separate"/>
        </w:r>
        <w:r w:rsidR="00511147">
          <w:rPr>
            <w:noProof/>
          </w:rPr>
          <w:t>4</w:t>
        </w:r>
        <w:r>
          <w:rPr>
            <w:noProof/>
          </w:rPr>
          <w:fldChar w:fldCharType="end"/>
        </w:r>
      </w:p>
    </w:sdtContent>
  </w:sdt>
  <w:p w:rsidR="007C7691" w:rsidRDefault="007C769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441" w:rsidRDefault="003C1441">
      <w:pPr>
        <w:spacing w:after="0" w:line="240" w:lineRule="auto"/>
      </w:pPr>
      <w:r>
        <w:separator/>
      </w:r>
    </w:p>
  </w:footnote>
  <w:footnote w:type="continuationSeparator" w:id="0">
    <w:p w:rsidR="003C1441" w:rsidRDefault="003C1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13A17"/>
    <w:rsid w:val="00014676"/>
    <w:rsid w:val="00024011"/>
    <w:rsid w:val="00026872"/>
    <w:rsid w:val="000379F2"/>
    <w:rsid w:val="000452C6"/>
    <w:rsid w:val="000655A9"/>
    <w:rsid w:val="000911CF"/>
    <w:rsid w:val="00092FF6"/>
    <w:rsid w:val="000A75F0"/>
    <w:rsid w:val="000B53EE"/>
    <w:rsid w:val="000D66D7"/>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507"/>
    <w:rsid w:val="001E1874"/>
    <w:rsid w:val="001E3788"/>
    <w:rsid w:val="001F558E"/>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03FCC"/>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1441"/>
    <w:rsid w:val="003C2FAE"/>
    <w:rsid w:val="003D3F9B"/>
    <w:rsid w:val="003E5E8E"/>
    <w:rsid w:val="003E64D0"/>
    <w:rsid w:val="003E7149"/>
    <w:rsid w:val="004003A8"/>
    <w:rsid w:val="004027ED"/>
    <w:rsid w:val="00402CD7"/>
    <w:rsid w:val="00403FED"/>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1147"/>
    <w:rsid w:val="00512903"/>
    <w:rsid w:val="005146D3"/>
    <w:rsid w:val="0052230E"/>
    <w:rsid w:val="00533AF0"/>
    <w:rsid w:val="005401AB"/>
    <w:rsid w:val="0054257F"/>
    <w:rsid w:val="00550C78"/>
    <w:rsid w:val="00553002"/>
    <w:rsid w:val="00557C24"/>
    <w:rsid w:val="005616D7"/>
    <w:rsid w:val="005659A7"/>
    <w:rsid w:val="0057351B"/>
    <w:rsid w:val="005831F8"/>
    <w:rsid w:val="00592194"/>
    <w:rsid w:val="005A7E4B"/>
    <w:rsid w:val="005B5622"/>
    <w:rsid w:val="005B57F1"/>
    <w:rsid w:val="005B735D"/>
    <w:rsid w:val="005C1636"/>
    <w:rsid w:val="005C34DA"/>
    <w:rsid w:val="005C57F9"/>
    <w:rsid w:val="005E00FE"/>
    <w:rsid w:val="005E5FDA"/>
    <w:rsid w:val="005F590C"/>
    <w:rsid w:val="0060057A"/>
    <w:rsid w:val="00610D1C"/>
    <w:rsid w:val="0061560E"/>
    <w:rsid w:val="00626B11"/>
    <w:rsid w:val="00631200"/>
    <w:rsid w:val="00634713"/>
    <w:rsid w:val="00660FA1"/>
    <w:rsid w:val="0066288B"/>
    <w:rsid w:val="0066362A"/>
    <w:rsid w:val="00680887"/>
    <w:rsid w:val="006A264E"/>
    <w:rsid w:val="006E01CA"/>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1277"/>
    <w:rsid w:val="00782755"/>
    <w:rsid w:val="007840EB"/>
    <w:rsid w:val="00784DAD"/>
    <w:rsid w:val="00790042"/>
    <w:rsid w:val="007940BB"/>
    <w:rsid w:val="007966C9"/>
    <w:rsid w:val="007A2E22"/>
    <w:rsid w:val="007B2417"/>
    <w:rsid w:val="007C7691"/>
    <w:rsid w:val="007D311C"/>
    <w:rsid w:val="007E20CA"/>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E48F4"/>
    <w:rsid w:val="00AE539E"/>
    <w:rsid w:val="00AE77B8"/>
    <w:rsid w:val="00B063F8"/>
    <w:rsid w:val="00B2353D"/>
    <w:rsid w:val="00B240E3"/>
    <w:rsid w:val="00B30844"/>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77D19"/>
    <w:rsid w:val="00C9161E"/>
    <w:rsid w:val="00C92C70"/>
    <w:rsid w:val="00CA65FB"/>
    <w:rsid w:val="00CA71FC"/>
    <w:rsid w:val="00CA749F"/>
    <w:rsid w:val="00CB078F"/>
    <w:rsid w:val="00CD00B7"/>
    <w:rsid w:val="00CD35CE"/>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5753E"/>
    <w:rsid w:val="00E5780E"/>
    <w:rsid w:val="00E61D74"/>
    <w:rsid w:val="00E62533"/>
    <w:rsid w:val="00E67BBC"/>
    <w:rsid w:val="00E67CD7"/>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957FB"/>
    <w:rsid w:val="00F9581A"/>
    <w:rsid w:val="00FA382A"/>
    <w:rsid w:val="00FA7371"/>
    <w:rsid w:val="00FD7902"/>
    <w:rsid w:val="00FE49C8"/>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hqlibdoc.who.int/trs/WHO_TRS_760_(part1).pdf?ua=1"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uropepmc.org/abstract/MED/2856717" TargetMode="External"/><Relationship Id="rId22" Type="http://schemas.openxmlformats.org/officeDocument/2006/relationships/image" Target="media/image13.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70E3-8BC1-4E66-8100-D249F855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6835</TotalTime>
  <Pages>34</Pages>
  <Words>16231</Words>
  <Characters>95768</Characters>
  <Application>Microsoft Office Word</Application>
  <DocSecurity>0</DocSecurity>
  <Lines>798</Lines>
  <Paragraphs>223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cp:revision>
  <dcterms:created xsi:type="dcterms:W3CDTF">2014-10-03T15:19:00Z</dcterms:created>
  <dcterms:modified xsi:type="dcterms:W3CDTF">2014-10-27T20:04:00Z</dcterms:modified>
</cp:coreProperties>
</file>