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EA901" w14:textId="77777777" w:rsidR="00E661AB" w:rsidRDefault="00E661AB">
      <w:pPr>
        <w:spacing w:before="800"/>
        <w:jc w:val="center"/>
        <w:rPr>
          <w:rFonts w:ascii="Amasis MT Pro Black" w:hAnsi="Amasis MT Pro Black"/>
          <w:b/>
          <w:bCs/>
          <w:color w:val="0D3B4F"/>
          <w:sz w:val="48"/>
          <w:szCs w:val="48"/>
        </w:rPr>
      </w:pPr>
    </w:p>
    <w:p w14:paraId="05AFB2BB" w14:textId="77777777" w:rsidR="006406BA" w:rsidRDefault="006406BA">
      <w:pPr>
        <w:spacing w:before="800"/>
        <w:jc w:val="center"/>
        <w:rPr>
          <w:rFonts w:ascii="Amasis MT Pro Black" w:hAnsi="Amasis MT Pro Black"/>
          <w:b/>
          <w:bCs/>
          <w:color w:val="0D3B4F"/>
          <w:sz w:val="48"/>
          <w:szCs w:val="48"/>
        </w:rPr>
      </w:pPr>
    </w:p>
    <w:p w14:paraId="06ADECB4" w14:textId="4721E3D8" w:rsidR="00D531A0" w:rsidRPr="00E661AB" w:rsidRDefault="00B900B3">
      <w:pPr>
        <w:spacing w:before="800"/>
        <w:jc w:val="center"/>
        <w:rPr>
          <w:rFonts w:ascii="Amasis MT Pro Black" w:hAnsi="Amasis MT Pro Black"/>
        </w:rPr>
      </w:pPr>
      <w:r>
        <w:rPr>
          <w:rFonts w:ascii="Amasis MT Pro Black" w:hAnsi="Amasis MT Pro Black"/>
          <w:b/>
          <w:bCs/>
          <w:color w:val="0D3B4F"/>
          <w:sz w:val="48"/>
          <w:szCs w:val="48"/>
        </w:rPr>
        <w:t>DataPyme Consulting, S.L.</w:t>
      </w:r>
    </w:p>
    <w:p w14:paraId="06ADECB5" w14:textId="77777777" w:rsidR="00D531A0" w:rsidRPr="006406BA" w:rsidRDefault="00B900B3">
      <w:pPr>
        <w:spacing w:before="200"/>
        <w:jc w:val="center"/>
        <w:rPr>
          <w:sz w:val="24"/>
          <w:szCs w:val="24"/>
        </w:rPr>
      </w:pPr>
      <w:r>
        <w:rPr>
          <w:color w:val="0D3B4F"/>
          <w:sz w:val="24"/>
          <w:szCs w:val="24"/>
        </w:rPr>
        <w:t>Diseño de una empresa de consultoría tecnológica orientada a la toma de decisiones basada en datos (Data-Driven), y planteamiento de un proyecto interno de Business Intelligence</w:t>
      </w:r>
    </w:p>
    <w:p w14:paraId="06ADECB6" w14:textId="6BBD46EA" w:rsidR="00D531A0" w:rsidRDefault="00E661AB">
      <w:pPr>
        <w:spacing w:before="1400"/>
        <w:jc w:val="center"/>
      </w:pPr>
      <w:r>
        <w:t xml:space="preserve">Reto 9 </w:t>
      </w:r>
    </w:p>
    <w:p w14:paraId="06ADECB7" w14:textId="799A1722" w:rsidR="00D531A0" w:rsidRPr="006406BA" w:rsidRDefault="00B900B3">
      <w:pPr>
        <w:spacing w:before="800"/>
        <w:jc w:val="center"/>
        <w:rPr>
          <w:sz w:val="24"/>
          <w:szCs w:val="24"/>
        </w:rPr>
      </w:pPr>
      <w:r>
        <w:rPr>
          <w:b/>
          <w:bCs/>
          <w:sz w:val="24"/>
          <w:szCs w:val="24"/>
        </w:rPr>
        <w:t>Alumna:</w:t>
      </w:r>
      <w:r>
        <w:rPr>
          <w:sz w:val="24"/>
          <w:szCs w:val="24"/>
        </w:rPr>
        <w:t xml:space="preserve"> Maren Basterretxea</w:t>
      </w:r>
    </w:p>
    <w:p w14:paraId="06ADECB8" w14:textId="3185F2CE" w:rsidR="00D531A0" w:rsidRPr="006406BA" w:rsidRDefault="00B900B3">
      <w:pPr>
        <w:jc w:val="center"/>
        <w:rPr>
          <w:sz w:val="24"/>
          <w:szCs w:val="24"/>
        </w:rPr>
      </w:pPr>
      <w:r>
        <w:rPr>
          <w:b/>
          <w:bCs/>
          <w:sz w:val="24"/>
          <w:szCs w:val="24"/>
        </w:rPr>
        <w:t>Curso académico:</w:t>
      </w:r>
      <w:r>
        <w:rPr>
          <w:sz w:val="24"/>
          <w:szCs w:val="24"/>
        </w:rPr>
        <w:t xml:space="preserve"> 2026/2027</w:t>
      </w:r>
    </w:p>
    <w:p w14:paraId="06ADECBA" w14:textId="77777777" w:rsidR="00D531A0" w:rsidRDefault="00B900B3">
      <w:r>
        <w:br w:type="page"/>
      </w:r>
    </w:p>
    <w:p w14:paraId="06ADECBB" w14:textId="77777777" w:rsidR="00D531A0" w:rsidRDefault="00B900B3">
      <w:pPr>
        <w:pStyle w:val="Ttulo1"/>
        <w:spacing w:before="360" w:after="200"/>
      </w:pPr>
      <w:bookmarkStart w:id="0" w:name="_Toc241477529"/>
      <w:r>
        <w:rPr>
          <w:b/>
          <w:bCs/>
          <w:color w:val="0D3B4F"/>
        </w:rPr>
        <w:lastRenderedPageBreak/>
        <w:t>Índice</w:t>
      </w:r>
      <w:bookmarkEnd w:id="0"/>
    </w:p>
    <w:sdt>
      <w:sdtPr>
        <w:alias w:val="Índice"/>
        <w:id w:val="2073769466"/>
      </w:sdtPr>
      <w:sdtContent>
        <w:p w14:paraId="6EA3BF84" w14:textId="1B378A48" w:rsidR="00E661AB" w:rsidRDefault="00B900B3">
          <w:pPr>
            <w:pStyle w:val="TDC1"/>
            <w:tabs>
              <w:tab w:val="right" w:leader="dot" w:pos="9628"/>
            </w:tabs>
            <w:rPr>
              <w:noProof/>
            </w:rPr>
          </w:pPr>
          <w:r>
            <w:fldChar w:fldCharType="begin"/>
          </w:r>
          <w:r>
            <w:instrText>TOC \h \o "1-3"</w:instrText>
          </w:r>
          <w:r>
            <w:fldChar w:fldCharType="separate"/>
          </w:r>
          <w:hyperlink w:anchor="_Toc241477530" w:history="1">
            <w:r w:rsidR="00E661AB">
              <w:rPr>
                <w:rStyle w:val="Hipervnculo"/>
                <w:b/>
                <w:bCs/>
                <w:noProof/>
              </w:rPr>
              <w:t>0. Introducción</w:t>
            </w:r>
            <w:r w:rsidR="00E661AB">
              <w:rPr>
                <w:noProof/>
              </w:rPr>
              <w:tab/>
            </w:r>
            <w:r w:rsidR="00E661AB">
              <w:rPr>
                <w:noProof/>
              </w:rPr>
              <w:fldChar w:fldCharType="begin"/>
            </w:r>
            <w:r w:rsidR="00E661AB">
              <w:rPr>
                <w:noProof/>
              </w:rPr>
              <w:instrText xml:space="preserve"> PAGEREF _Toc241477530 \h </w:instrText>
            </w:r>
            <w:r w:rsidR="00E661AB">
              <w:rPr>
                <w:noProof/>
              </w:rPr>
            </w:r>
            <w:r w:rsidR="00E661AB">
              <w:rPr>
                <w:noProof/>
              </w:rPr>
              <w:fldChar w:fldCharType="separate"/>
            </w:r>
            <w:r w:rsidR="00E661AB">
              <w:rPr>
                <w:noProof/>
              </w:rPr>
              <w:t>4</w:t>
            </w:r>
            <w:r w:rsidR="00E661AB">
              <w:rPr>
                <w:noProof/>
              </w:rPr>
              <w:fldChar w:fldCharType="end"/>
            </w:r>
          </w:hyperlink>
        </w:p>
        <w:p w14:paraId="1AF716A1" w14:textId="07824E10" w:rsidR="00E661AB" w:rsidRDefault="00E661AB">
          <w:pPr>
            <w:pStyle w:val="TDC1"/>
            <w:tabs>
              <w:tab w:val="right" w:leader="dot" w:pos="9628"/>
            </w:tabs>
            <w:rPr>
              <w:noProof/>
            </w:rPr>
          </w:pPr>
          <w:hyperlink w:anchor="_Toc241477531" w:history="1">
            <w:r>
              <w:rPr>
                <w:rStyle w:val="Hipervnculo"/>
                <w:b/>
                <w:bCs/>
                <w:noProof/>
              </w:rPr>
              <w:t>1. Explicación general de la empresa</w:t>
            </w:r>
            <w:r>
              <w:rPr>
                <w:noProof/>
              </w:rPr>
              <w:tab/>
            </w:r>
            <w:r>
              <w:rPr>
                <w:noProof/>
              </w:rPr>
              <w:fldChar w:fldCharType="begin"/>
            </w:r>
            <w:r>
              <w:rPr>
                <w:noProof/>
              </w:rPr>
              <w:instrText xml:space="preserve"> PAGEREF _Toc241477531 \h </w:instrText>
            </w:r>
            <w:r>
              <w:rPr>
                <w:noProof/>
              </w:rPr>
            </w:r>
            <w:r>
              <w:rPr>
                <w:noProof/>
              </w:rPr>
              <w:fldChar w:fldCharType="separate"/>
            </w:r>
            <w:r>
              <w:rPr>
                <w:noProof/>
              </w:rPr>
              <w:t>4</w:t>
            </w:r>
            <w:r>
              <w:rPr>
                <w:noProof/>
              </w:rPr>
              <w:fldChar w:fldCharType="end"/>
            </w:r>
          </w:hyperlink>
        </w:p>
        <w:p w14:paraId="142BD2B7" w14:textId="7903F1FB" w:rsidR="00E661AB" w:rsidRDefault="00E661AB">
          <w:pPr>
            <w:pStyle w:val="TDC2"/>
            <w:tabs>
              <w:tab w:val="right" w:leader="dot" w:pos="9628"/>
            </w:tabs>
            <w:rPr>
              <w:noProof/>
            </w:rPr>
          </w:pPr>
          <w:hyperlink w:anchor="_Toc241477532" w:history="1">
            <w:r>
              <w:rPr>
                <w:rStyle w:val="Hipervnculo"/>
                <w:b/>
                <w:bCs/>
                <w:noProof/>
              </w:rPr>
              <w:t>1.1. Presentación de la empresa</w:t>
            </w:r>
            <w:r>
              <w:rPr>
                <w:noProof/>
              </w:rPr>
              <w:tab/>
            </w:r>
            <w:r>
              <w:rPr>
                <w:noProof/>
              </w:rPr>
              <w:fldChar w:fldCharType="begin"/>
            </w:r>
            <w:r>
              <w:rPr>
                <w:noProof/>
              </w:rPr>
              <w:instrText xml:space="preserve"> PAGEREF _Toc241477532 \h </w:instrText>
            </w:r>
            <w:r>
              <w:rPr>
                <w:noProof/>
              </w:rPr>
            </w:r>
            <w:r>
              <w:rPr>
                <w:noProof/>
              </w:rPr>
              <w:fldChar w:fldCharType="separate"/>
            </w:r>
            <w:r>
              <w:rPr>
                <w:noProof/>
              </w:rPr>
              <w:t>4</w:t>
            </w:r>
            <w:r>
              <w:rPr>
                <w:noProof/>
              </w:rPr>
              <w:fldChar w:fldCharType="end"/>
            </w:r>
          </w:hyperlink>
        </w:p>
        <w:p w14:paraId="703F811B" w14:textId="3C0B6720" w:rsidR="00E661AB" w:rsidRDefault="00E661AB">
          <w:pPr>
            <w:pStyle w:val="TDC3"/>
            <w:tabs>
              <w:tab w:val="right" w:leader="dot" w:pos="9628"/>
            </w:tabs>
            <w:rPr>
              <w:noProof/>
            </w:rPr>
          </w:pPr>
          <w:hyperlink w:anchor="_Toc241477533" w:history="1">
            <w:r>
              <w:rPr>
                <w:rStyle w:val="Hipervnculo"/>
                <w:b/>
                <w:bCs/>
                <w:noProof/>
              </w:rPr>
              <w:t>Tamaño y datos generales</w:t>
            </w:r>
            <w:r>
              <w:rPr>
                <w:noProof/>
              </w:rPr>
              <w:tab/>
            </w:r>
            <w:r>
              <w:rPr>
                <w:noProof/>
              </w:rPr>
              <w:fldChar w:fldCharType="begin"/>
            </w:r>
            <w:r>
              <w:rPr>
                <w:noProof/>
              </w:rPr>
              <w:instrText xml:space="preserve"> PAGEREF _Toc241477533 \h </w:instrText>
            </w:r>
            <w:r>
              <w:rPr>
                <w:noProof/>
              </w:rPr>
            </w:r>
            <w:r>
              <w:rPr>
                <w:noProof/>
              </w:rPr>
              <w:fldChar w:fldCharType="separate"/>
            </w:r>
            <w:r>
              <w:rPr>
                <w:noProof/>
              </w:rPr>
              <w:t>5</w:t>
            </w:r>
            <w:r>
              <w:rPr>
                <w:noProof/>
              </w:rPr>
              <w:fldChar w:fldCharType="end"/>
            </w:r>
          </w:hyperlink>
        </w:p>
        <w:p w14:paraId="4F48E5B7" w14:textId="7824157A" w:rsidR="00E661AB" w:rsidRDefault="00E661AB">
          <w:pPr>
            <w:pStyle w:val="TDC3"/>
            <w:tabs>
              <w:tab w:val="right" w:leader="dot" w:pos="9628"/>
            </w:tabs>
            <w:rPr>
              <w:noProof/>
            </w:rPr>
          </w:pPr>
          <w:hyperlink w:anchor="_Toc241477534" w:history="1">
            <w:r>
              <w:rPr>
                <w:rStyle w:val="Hipervnculo"/>
                <w:b/>
                <w:bCs/>
                <w:noProof/>
              </w:rPr>
              <w:t>Tipo de empresa: clasificación</w:t>
            </w:r>
            <w:r>
              <w:rPr>
                <w:noProof/>
              </w:rPr>
              <w:tab/>
            </w:r>
            <w:r>
              <w:rPr>
                <w:noProof/>
              </w:rPr>
              <w:fldChar w:fldCharType="begin"/>
            </w:r>
            <w:r>
              <w:rPr>
                <w:noProof/>
              </w:rPr>
              <w:instrText xml:space="preserve"> PAGEREF _Toc241477534 \h </w:instrText>
            </w:r>
            <w:r>
              <w:rPr>
                <w:noProof/>
              </w:rPr>
            </w:r>
            <w:r>
              <w:rPr>
                <w:noProof/>
              </w:rPr>
              <w:fldChar w:fldCharType="separate"/>
            </w:r>
            <w:r>
              <w:rPr>
                <w:noProof/>
              </w:rPr>
              <w:t>5</w:t>
            </w:r>
            <w:r>
              <w:rPr>
                <w:noProof/>
              </w:rPr>
              <w:fldChar w:fldCharType="end"/>
            </w:r>
          </w:hyperlink>
        </w:p>
        <w:p w14:paraId="3AA16F87" w14:textId="3BE6F828" w:rsidR="00E661AB" w:rsidRDefault="00E661AB">
          <w:pPr>
            <w:pStyle w:val="TDC3"/>
            <w:tabs>
              <w:tab w:val="right" w:leader="dot" w:pos="9628"/>
            </w:tabs>
            <w:rPr>
              <w:noProof/>
            </w:rPr>
          </w:pPr>
          <w:hyperlink w:anchor="_Toc241477535" w:history="1">
            <w:r>
              <w:rPr>
                <w:rStyle w:val="Hipervnculo"/>
                <w:b/>
                <w:bCs/>
                <w:noProof/>
              </w:rPr>
              <w:t>Justificación de la forma jurídica y del modelo B2B</w:t>
            </w:r>
            <w:r>
              <w:rPr>
                <w:noProof/>
              </w:rPr>
              <w:tab/>
            </w:r>
            <w:r>
              <w:rPr>
                <w:noProof/>
              </w:rPr>
              <w:fldChar w:fldCharType="begin"/>
            </w:r>
            <w:r>
              <w:rPr>
                <w:noProof/>
              </w:rPr>
              <w:instrText xml:space="preserve"> PAGEREF _Toc241477535 \h </w:instrText>
            </w:r>
            <w:r>
              <w:rPr>
                <w:noProof/>
              </w:rPr>
            </w:r>
            <w:r>
              <w:rPr>
                <w:noProof/>
              </w:rPr>
              <w:fldChar w:fldCharType="separate"/>
            </w:r>
            <w:r>
              <w:rPr>
                <w:noProof/>
              </w:rPr>
              <w:t>5</w:t>
            </w:r>
            <w:r>
              <w:rPr>
                <w:noProof/>
              </w:rPr>
              <w:fldChar w:fldCharType="end"/>
            </w:r>
          </w:hyperlink>
        </w:p>
        <w:p w14:paraId="5E4063E9" w14:textId="50497725" w:rsidR="00E661AB" w:rsidRDefault="00E661AB">
          <w:pPr>
            <w:pStyle w:val="TDC3"/>
            <w:tabs>
              <w:tab w:val="right" w:leader="dot" w:pos="9628"/>
            </w:tabs>
            <w:rPr>
              <w:noProof/>
            </w:rPr>
          </w:pPr>
          <w:hyperlink w:anchor="_Toc241477536" w:history="1">
            <w:r>
              <w:rPr>
                <w:rStyle w:val="Hipervnculo"/>
                <w:b/>
                <w:bCs/>
                <w:noProof/>
              </w:rPr>
              <w:t>Misión, visión y valores</w:t>
            </w:r>
            <w:r>
              <w:rPr>
                <w:noProof/>
              </w:rPr>
              <w:tab/>
            </w:r>
            <w:r>
              <w:rPr>
                <w:noProof/>
              </w:rPr>
              <w:fldChar w:fldCharType="begin"/>
            </w:r>
            <w:r>
              <w:rPr>
                <w:noProof/>
              </w:rPr>
              <w:instrText xml:space="preserve"> PAGEREF _Toc241477536 \h </w:instrText>
            </w:r>
            <w:r>
              <w:rPr>
                <w:noProof/>
              </w:rPr>
            </w:r>
            <w:r>
              <w:rPr>
                <w:noProof/>
              </w:rPr>
              <w:fldChar w:fldCharType="separate"/>
            </w:r>
            <w:r>
              <w:rPr>
                <w:noProof/>
              </w:rPr>
              <w:t>6</w:t>
            </w:r>
            <w:r>
              <w:rPr>
                <w:noProof/>
              </w:rPr>
              <w:fldChar w:fldCharType="end"/>
            </w:r>
          </w:hyperlink>
        </w:p>
        <w:p w14:paraId="6745C1A0" w14:textId="39B2AE53" w:rsidR="00E661AB" w:rsidRDefault="00E661AB">
          <w:pPr>
            <w:pStyle w:val="TDC3"/>
            <w:tabs>
              <w:tab w:val="right" w:leader="dot" w:pos="9628"/>
            </w:tabs>
            <w:rPr>
              <w:noProof/>
            </w:rPr>
          </w:pPr>
          <w:hyperlink w:anchor="_Toc241477537" w:history="1">
            <w:r>
              <w:rPr>
                <w:rStyle w:val="Hipervnculo"/>
                <w:b/>
                <w:bCs/>
                <w:noProof/>
              </w:rPr>
              <w:t>Mercado y competencia</w:t>
            </w:r>
            <w:r>
              <w:rPr>
                <w:noProof/>
              </w:rPr>
              <w:tab/>
            </w:r>
            <w:r>
              <w:rPr>
                <w:noProof/>
              </w:rPr>
              <w:fldChar w:fldCharType="begin"/>
            </w:r>
            <w:r>
              <w:rPr>
                <w:noProof/>
              </w:rPr>
              <w:instrText xml:space="preserve"> PAGEREF _Toc241477537 \h </w:instrText>
            </w:r>
            <w:r>
              <w:rPr>
                <w:noProof/>
              </w:rPr>
            </w:r>
            <w:r>
              <w:rPr>
                <w:noProof/>
              </w:rPr>
              <w:fldChar w:fldCharType="separate"/>
            </w:r>
            <w:r>
              <w:rPr>
                <w:noProof/>
              </w:rPr>
              <w:t>6</w:t>
            </w:r>
            <w:r>
              <w:rPr>
                <w:noProof/>
              </w:rPr>
              <w:fldChar w:fldCharType="end"/>
            </w:r>
          </w:hyperlink>
        </w:p>
        <w:p w14:paraId="7B5CFADC" w14:textId="77777777" w:rsidR="0013518E" w:rsidRDefault="00B900B3">
          <w:pPr>
            <w:pStyle w:val="TDC3"/>
            <w:tabs>
              <w:tab w:val="right" w:leader="dot" w:pos="9628"/>
            </w:tabs>
            <w:rPr>
              <w:noProof/>
            </w:rPr>
          </w:pPr>
          <w:hyperlink w:anchor="_Toc91001" w:history="1">
            <w:r>
              <w:rPr>
                <w:rStyle w:val="Hipervnculo"/>
                <w:b/>
                <w:bCs/>
                <w:noProof/>
              </w:rPr>
              <w:t>Enfoque Data-Driven de DataPyme Consulting</w:t>
            </w:r>
            <w:r>
              <w:rPr>
                <w:noProof/>
              </w:rPr>
              <w:tab/>
            </w:r>
            <w:r>
              <w:rPr>
                <w:noProof/>
              </w:rPr>
              <w:fldChar w:fldCharType="begin"/>
            </w:r>
            <w:r>
              <w:rPr>
                <w:noProof/>
              </w:rPr>
              <w:instrText xml:space="preserve"> PAGEREF _Toc91001 \h </w:instrText>
            </w:r>
            <w:r>
              <w:rPr>
                <w:noProof/>
              </w:rPr>
            </w:r>
            <w:r>
              <w:rPr>
                <w:noProof/>
              </w:rPr>
              <w:fldChar w:fldCharType="separate"/>
            </w:r>
            <w:r>
              <w:rPr>
                <w:noProof/>
              </w:rPr>
              <w:t>7</w:t>
            </w:r>
            <w:r>
              <w:rPr>
                <w:noProof/>
              </w:rPr>
              <w:fldChar w:fldCharType="end"/>
            </w:r>
          </w:hyperlink>
        </w:p>
        <w:p w14:paraId="7A220B1C" w14:textId="3A3BD003" w:rsidR="00E661AB" w:rsidRDefault="00E661AB">
          <w:pPr>
            <w:pStyle w:val="TDC2"/>
            <w:tabs>
              <w:tab w:val="right" w:leader="dot" w:pos="9628"/>
            </w:tabs>
            <w:rPr>
              <w:noProof/>
            </w:rPr>
          </w:pPr>
          <w:hyperlink w:anchor="_Toc241477538" w:history="1">
            <w:r>
              <w:rPr>
                <w:rStyle w:val="Hipervnculo"/>
                <w:b/>
                <w:bCs/>
                <w:noProof/>
              </w:rPr>
              <w:t>1.2. Departamentos y áreas funcionales</w:t>
            </w:r>
            <w:r>
              <w:rPr>
                <w:noProof/>
              </w:rPr>
              <w:tab/>
            </w:r>
            <w:r>
              <w:rPr>
                <w:noProof/>
              </w:rPr>
              <w:fldChar w:fldCharType="begin"/>
            </w:r>
            <w:r>
              <w:rPr>
                <w:noProof/>
              </w:rPr>
              <w:instrText xml:space="preserve"> PAGEREF _Toc241477538 \h </w:instrText>
            </w:r>
            <w:r>
              <w:rPr>
                <w:noProof/>
              </w:rPr>
            </w:r>
            <w:r>
              <w:rPr>
                <w:noProof/>
              </w:rPr>
              <w:fldChar w:fldCharType="separate"/>
            </w:r>
            <w:r>
              <w:rPr>
                <w:noProof/>
              </w:rPr>
              <w:t>8</w:t>
            </w:r>
            <w:r>
              <w:rPr>
                <w:noProof/>
              </w:rPr>
              <w:fldChar w:fldCharType="end"/>
            </w:r>
          </w:hyperlink>
        </w:p>
        <w:p w14:paraId="07113845" w14:textId="7871D809" w:rsidR="00E661AB" w:rsidRDefault="00E661AB">
          <w:pPr>
            <w:pStyle w:val="TDC3"/>
            <w:tabs>
              <w:tab w:val="right" w:leader="dot" w:pos="9628"/>
            </w:tabs>
            <w:rPr>
              <w:noProof/>
            </w:rPr>
          </w:pPr>
          <w:hyperlink w:anchor="_Toc241477539" w:history="1">
            <w:r>
              <w:rPr>
                <w:rStyle w:val="Hipervnculo"/>
                <w:b/>
                <w:bCs/>
                <w:noProof/>
              </w:rPr>
              <w:t>Dirección General / Gerencia</w:t>
            </w:r>
            <w:r>
              <w:rPr>
                <w:noProof/>
              </w:rPr>
              <w:tab/>
            </w:r>
            <w:r>
              <w:rPr>
                <w:noProof/>
              </w:rPr>
              <w:fldChar w:fldCharType="begin"/>
            </w:r>
            <w:r>
              <w:rPr>
                <w:noProof/>
              </w:rPr>
              <w:instrText xml:space="preserve"> PAGEREF _Toc241477539 \h </w:instrText>
            </w:r>
            <w:r>
              <w:rPr>
                <w:noProof/>
              </w:rPr>
            </w:r>
            <w:r>
              <w:rPr>
                <w:noProof/>
              </w:rPr>
              <w:fldChar w:fldCharType="separate"/>
            </w:r>
            <w:r>
              <w:rPr>
                <w:noProof/>
              </w:rPr>
              <w:t>8</w:t>
            </w:r>
            <w:r>
              <w:rPr>
                <w:noProof/>
              </w:rPr>
              <w:fldChar w:fldCharType="end"/>
            </w:r>
          </w:hyperlink>
        </w:p>
        <w:p w14:paraId="3AA875B9" w14:textId="578DF375" w:rsidR="00E661AB" w:rsidRDefault="00E661AB">
          <w:pPr>
            <w:pStyle w:val="TDC3"/>
            <w:tabs>
              <w:tab w:val="right" w:leader="dot" w:pos="9628"/>
            </w:tabs>
            <w:rPr>
              <w:noProof/>
            </w:rPr>
          </w:pPr>
          <w:hyperlink w:anchor="_Toc241477540" w:history="1">
            <w:r>
              <w:rPr>
                <w:rStyle w:val="Hipervnculo"/>
                <w:b/>
                <w:bCs/>
                <w:noProof/>
              </w:rPr>
              <w:t>Comercial y Desarrollo de Negocio</w:t>
            </w:r>
            <w:r>
              <w:rPr>
                <w:noProof/>
              </w:rPr>
              <w:tab/>
            </w:r>
            <w:r>
              <w:rPr>
                <w:noProof/>
              </w:rPr>
              <w:fldChar w:fldCharType="begin"/>
            </w:r>
            <w:r>
              <w:rPr>
                <w:noProof/>
              </w:rPr>
              <w:instrText xml:space="preserve"> PAGEREF _Toc241477540 \h </w:instrText>
            </w:r>
            <w:r>
              <w:rPr>
                <w:noProof/>
              </w:rPr>
            </w:r>
            <w:r>
              <w:rPr>
                <w:noProof/>
              </w:rPr>
              <w:fldChar w:fldCharType="separate"/>
            </w:r>
            <w:r>
              <w:rPr>
                <w:noProof/>
              </w:rPr>
              <w:t>9</w:t>
            </w:r>
            <w:r>
              <w:rPr>
                <w:noProof/>
              </w:rPr>
              <w:fldChar w:fldCharType="end"/>
            </w:r>
          </w:hyperlink>
        </w:p>
        <w:p w14:paraId="6BB91F0F" w14:textId="5130F3A1" w:rsidR="00E661AB" w:rsidRDefault="00E661AB">
          <w:pPr>
            <w:pStyle w:val="TDC3"/>
            <w:tabs>
              <w:tab w:val="right" w:leader="dot" w:pos="9628"/>
            </w:tabs>
            <w:rPr>
              <w:noProof/>
            </w:rPr>
          </w:pPr>
          <w:hyperlink w:anchor="_Toc241477541" w:history="1">
            <w:r>
              <w:rPr>
                <w:rStyle w:val="Hipervnculo"/>
                <w:b/>
                <w:bCs/>
                <w:noProof/>
              </w:rPr>
              <w:t>Consultoría y Proyectos (Delivery)</w:t>
            </w:r>
            <w:r>
              <w:rPr>
                <w:noProof/>
              </w:rPr>
              <w:tab/>
            </w:r>
            <w:r>
              <w:rPr>
                <w:noProof/>
              </w:rPr>
              <w:fldChar w:fldCharType="begin"/>
            </w:r>
            <w:r>
              <w:rPr>
                <w:noProof/>
              </w:rPr>
              <w:instrText xml:space="preserve"> PAGEREF _Toc241477541 \h </w:instrText>
            </w:r>
            <w:r>
              <w:rPr>
                <w:noProof/>
              </w:rPr>
            </w:r>
            <w:r>
              <w:rPr>
                <w:noProof/>
              </w:rPr>
              <w:fldChar w:fldCharType="separate"/>
            </w:r>
            <w:r>
              <w:rPr>
                <w:noProof/>
              </w:rPr>
              <w:t>9</w:t>
            </w:r>
            <w:r>
              <w:rPr>
                <w:noProof/>
              </w:rPr>
              <w:fldChar w:fldCharType="end"/>
            </w:r>
          </w:hyperlink>
        </w:p>
        <w:p w14:paraId="37E96F05" w14:textId="259F3800" w:rsidR="00E661AB" w:rsidRDefault="00E661AB">
          <w:pPr>
            <w:pStyle w:val="TDC3"/>
            <w:tabs>
              <w:tab w:val="right" w:leader="dot" w:pos="9628"/>
            </w:tabs>
            <w:rPr>
              <w:noProof/>
            </w:rPr>
          </w:pPr>
          <w:hyperlink w:anchor="_Toc241477542" w:history="1">
            <w:r>
              <w:rPr>
                <w:rStyle w:val="Hipervnculo"/>
                <w:b/>
                <w:bCs/>
                <w:noProof/>
              </w:rPr>
              <w:t>Marketing y Comunicación</w:t>
            </w:r>
            <w:r>
              <w:rPr>
                <w:noProof/>
              </w:rPr>
              <w:tab/>
            </w:r>
            <w:r>
              <w:rPr>
                <w:noProof/>
              </w:rPr>
              <w:fldChar w:fldCharType="begin"/>
            </w:r>
            <w:r>
              <w:rPr>
                <w:noProof/>
              </w:rPr>
              <w:instrText xml:space="preserve"> PAGEREF _Toc241477542 \h </w:instrText>
            </w:r>
            <w:r>
              <w:rPr>
                <w:noProof/>
              </w:rPr>
            </w:r>
            <w:r>
              <w:rPr>
                <w:noProof/>
              </w:rPr>
              <w:fldChar w:fldCharType="separate"/>
            </w:r>
            <w:r>
              <w:rPr>
                <w:noProof/>
              </w:rPr>
              <w:t>10</w:t>
            </w:r>
            <w:r>
              <w:rPr>
                <w:noProof/>
              </w:rPr>
              <w:fldChar w:fldCharType="end"/>
            </w:r>
          </w:hyperlink>
        </w:p>
        <w:p w14:paraId="1154F44D" w14:textId="2FD716ED" w:rsidR="00E661AB" w:rsidRDefault="00E661AB">
          <w:pPr>
            <w:pStyle w:val="TDC3"/>
            <w:tabs>
              <w:tab w:val="right" w:leader="dot" w:pos="9628"/>
            </w:tabs>
            <w:rPr>
              <w:noProof/>
            </w:rPr>
          </w:pPr>
          <w:hyperlink w:anchor="_Toc241477543" w:history="1">
            <w:r>
              <w:rPr>
                <w:rStyle w:val="Hipervnculo"/>
                <w:b/>
                <w:bCs/>
                <w:noProof/>
              </w:rPr>
              <w:t>Administración, Finanzas y Contabilidad</w:t>
            </w:r>
            <w:r>
              <w:rPr>
                <w:noProof/>
              </w:rPr>
              <w:tab/>
            </w:r>
            <w:r>
              <w:rPr>
                <w:noProof/>
              </w:rPr>
              <w:fldChar w:fldCharType="begin"/>
            </w:r>
            <w:r>
              <w:rPr>
                <w:noProof/>
              </w:rPr>
              <w:instrText xml:space="preserve"> PAGEREF _Toc241477543 \h </w:instrText>
            </w:r>
            <w:r>
              <w:rPr>
                <w:noProof/>
              </w:rPr>
            </w:r>
            <w:r>
              <w:rPr>
                <w:noProof/>
              </w:rPr>
              <w:fldChar w:fldCharType="separate"/>
            </w:r>
            <w:r>
              <w:rPr>
                <w:noProof/>
              </w:rPr>
              <w:t>10</w:t>
            </w:r>
            <w:r>
              <w:rPr>
                <w:noProof/>
              </w:rPr>
              <w:fldChar w:fldCharType="end"/>
            </w:r>
          </w:hyperlink>
        </w:p>
        <w:p w14:paraId="032CED84" w14:textId="6A7BC83A" w:rsidR="00E661AB" w:rsidRDefault="00E661AB">
          <w:pPr>
            <w:pStyle w:val="TDC3"/>
            <w:tabs>
              <w:tab w:val="right" w:leader="dot" w:pos="9628"/>
            </w:tabs>
            <w:rPr>
              <w:noProof/>
            </w:rPr>
          </w:pPr>
          <w:hyperlink w:anchor="_Toc241477544" w:history="1">
            <w:r>
              <w:rPr>
                <w:rStyle w:val="Hipervnculo"/>
                <w:b/>
                <w:bCs/>
                <w:noProof/>
              </w:rPr>
              <w:t>Recursos Humanos y Talento</w:t>
            </w:r>
            <w:r>
              <w:rPr>
                <w:noProof/>
              </w:rPr>
              <w:tab/>
            </w:r>
            <w:r>
              <w:rPr>
                <w:noProof/>
              </w:rPr>
              <w:fldChar w:fldCharType="begin"/>
            </w:r>
            <w:r>
              <w:rPr>
                <w:noProof/>
              </w:rPr>
              <w:instrText xml:space="preserve"> PAGEREF _Toc241477544 \h </w:instrText>
            </w:r>
            <w:r>
              <w:rPr>
                <w:noProof/>
              </w:rPr>
            </w:r>
            <w:r>
              <w:rPr>
                <w:noProof/>
              </w:rPr>
              <w:fldChar w:fldCharType="separate"/>
            </w:r>
            <w:r>
              <w:rPr>
                <w:noProof/>
              </w:rPr>
              <w:t>11</w:t>
            </w:r>
            <w:r>
              <w:rPr>
                <w:noProof/>
              </w:rPr>
              <w:fldChar w:fldCharType="end"/>
            </w:r>
          </w:hyperlink>
        </w:p>
        <w:p w14:paraId="6DA095A0" w14:textId="5B485B74" w:rsidR="00E661AB" w:rsidRDefault="00E661AB">
          <w:pPr>
            <w:pStyle w:val="TDC3"/>
            <w:tabs>
              <w:tab w:val="right" w:leader="dot" w:pos="9628"/>
            </w:tabs>
            <w:rPr>
              <w:noProof/>
            </w:rPr>
          </w:pPr>
          <w:hyperlink w:anchor="_Toc241477545" w:history="1">
            <w:r>
              <w:rPr>
                <w:rStyle w:val="Hipervnculo"/>
                <w:b/>
                <w:bCs/>
                <w:noProof/>
              </w:rPr>
              <w:t>Sistemas e IT (Soporte interno)</w:t>
            </w:r>
            <w:r>
              <w:rPr>
                <w:noProof/>
              </w:rPr>
              <w:tab/>
            </w:r>
            <w:r>
              <w:rPr>
                <w:noProof/>
              </w:rPr>
              <w:fldChar w:fldCharType="begin"/>
            </w:r>
            <w:r>
              <w:rPr>
                <w:noProof/>
              </w:rPr>
              <w:instrText xml:space="preserve"> PAGEREF _Toc241477545 \h </w:instrText>
            </w:r>
            <w:r>
              <w:rPr>
                <w:noProof/>
              </w:rPr>
            </w:r>
            <w:r>
              <w:rPr>
                <w:noProof/>
              </w:rPr>
              <w:fldChar w:fldCharType="separate"/>
            </w:r>
            <w:r>
              <w:rPr>
                <w:noProof/>
              </w:rPr>
              <w:t>11</w:t>
            </w:r>
            <w:r>
              <w:rPr>
                <w:noProof/>
              </w:rPr>
              <w:fldChar w:fldCharType="end"/>
            </w:r>
          </w:hyperlink>
        </w:p>
        <w:p w14:paraId="3910BB24" w14:textId="77777777" w:rsidR="0013518E" w:rsidRDefault="00B900B3">
          <w:pPr>
            <w:pStyle w:val="TDC3"/>
            <w:tabs>
              <w:tab w:val="right" w:leader="dot" w:pos="9628"/>
            </w:tabs>
            <w:rPr>
              <w:noProof/>
            </w:rPr>
          </w:pPr>
          <w:hyperlink w:anchor="_Toc91002" w:history="1">
            <w:r>
              <w:rPr>
                <w:rStyle w:val="Hipervnculo"/>
                <w:b/>
                <w:bCs/>
                <w:noProof/>
              </w:rPr>
              <w:t>Métricas accionables frente a métricas de vanidad</w:t>
            </w:r>
            <w:r>
              <w:rPr>
                <w:noProof/>
              </w:rPr>
              <w:tab/>
            </w:r>
            <w:r>
              <w:rPr>
                <w:noProof/>
              </w:rPr>
              <w:fldChar w:fldCharType="begin"/>
            </w:r>
            <w:r>
              <w:rPr>
                <w:noProof/>
              </w:rPr>
              <w:instrText xml:space="preserve"> PAGEREF _Toc91002 \h </w:instrText>
            </w:r>
            <w:r>
              <w:rPr>
                <w:noProof/>
              </w:rPr>
            </w:r>
            <w:r>
              <w:rPr>
                <w:noProof/>
              </w:rPr>
              <w:fldChar w:fldCharType="separate"/>
            </w:r>
            <w:r>
              <w:rPr>
                <w:noProof/>
              </w:rPr>
              <w:t>12</w:t>
            </w:r>
            <w:r>
              <w:rPr>
                <w:noProof/>
              </w:rPr>
              <w:fldChar w:fldCharType="end"/>
            </w:r>
          </w:hyperlink>
        </w:p>
        <w:p w14:paraId="44990F91" w14:textId="6DBA932E" w:rsidR="00E661AB" w:rsidRDefault="00E661AB">
          <w:pPr>
            <w:pStyle w:val="TDC2"/>
            <w:tabs>
              <w:tab w:val="right" w:leader="dot" w:pos="9628"/>
            </w:tabs>
            <w:rPr>
              <w:noProof/>
            </w:rPr>
          </w:pPr>
          <w:hyperlink w:anchor="_Toc241477546" w:history="1">
            <w:r>
              <w:rPr>
                <w:rStyle w:val="Hipervnculo"/>
                <w:b/>
                <w:bCs/>
                <w:noProof/>
              </w:rPr>
              <w:t>1.3. Niveles jerárquicos de la empresa</w:t>
            </w:r>
            <w:r>
              <w:rPr>
                <w:noProof/>
              </w:rPr>
              <w:tab/>
            </w:r>
            <w:r>
              <w:rPr>
                <w:noProof/>
              </w:rPr>
              <w:fldChar w:fldCharType="begin"/>
            </w:r>
            <w:r>
              <w:rPr>
                <w:noProof/>
              </w:rPr>
              <w:instrText xml:space="preserve"> PAGEREF _Toc241477546 \h </w:instrText>
            </w:r>
            <w:r>
              <w:rPr>
                <w:noProof/>
              </w:rPr>
            </w:r>
            <w:r>
              <w:rPr>
                <w:noProof/>
              </w:rPr>
              <w:fldChar w:fldCharType="separate"/>
            </w:r>
            <w:r>
              <w:rPr>
                <w:noProof/>
              </w:rPr>
              <w:t>12</w:t>
            </w:r>
            <w:r>
              <w:rPr>
                <w:noProof/>
              </w:rPr>
              <w:fldChar w:fldCharType="end"/>
            </w:r>
          </w:hyperlink>
        </w:p>
        <w:p w14:paraId="3EF70292" w14:textId="77D33DDA" w:rsidR="00E661AB" w:rsidRDefault="00E661AB">
          <w:pPr>
            <w:pStyle w:val="TDC3"/>
            <w:tabs>
              <w:tab w:val="right" w:leader="dot" w:pos="9628"/>
            </w:tabs>
            <w:rPr>
              <w:noProof/>
            </w:rPr>
          </w:pPr>
          <w:hyperlink w:anchor="_Toc241477547" w:history="1">
            <w:r>
              <w:rPr>
                <w:rStyle w:val="Hipervnculo"/>
                <w:b/>
                <w:bCs/>
                <w:noProof/>
              </w:rPr>
              <w:t>Nivel estratégico</w:t>
            </w:r>
            <w:r>
              <w:rPr>
                <w:noProof/>
              </w:rPr>
              <w:tab/>
            </w:r>
            <w:r>
              <w:rPr>
                <w:noProof/>
              </w:rPr>
              <w:fldChar w:fldCharType="begin"/>
            </w:r>
            <w:r>
              <w:rPr>
                <w:noProof/>
              </w:rPr>
              <w:instrText xml:space="preserve"> PAGEREF _Toc241477547 \h </w:instrText>
            </w:r>
            <w:r>
              <w:rPr>
                <w:noProof/>
              </w:rPr>
            </w:r>
            <w:r>
              <w:rPr>
                <w:noProof/>
              </w:rPr>
              <w:fldChar w:fldCharType="separate"/>
            </w:r>
            <w:r>
              <w:rPr>
                <w:noProof/>
              </w:rPr>
              <w:t>13</w:t>
            </w:r>
            <w:r>
              <w:rPr>
                <w:noProof/>
              </w:rPr>
              <w:fldChar w:fldCharType="end"/>
            </w:r>
          </w:hyperlink>
        </w:p>
        <w:p w14:paraId="252A6D2A" w14:textId="4E40FB7E" w:rsidR="00E661AB" w:rsidRDefault="00E661AB">
          <w:pPr>
            <w:pStyle w:val="TDC3"/>
            <w:tabs>
              <w:tab w:val="right" w:leader="dot" w:pos="9628"/>
            </w:tabs>
            <w:rPr>
              <w:noProof/>
            </w:rPr>
          </w:pPr>
          <w:hyperlink w:anchor="_Toc241477548" w:history="1">
            <w:r>
              <w:rPr>
                <w:rStyle w:val="Hipervnculo"/>
                <w:b/>
                <w:bCs/>
                <w:noProof/>
              </w:rPr>
              <w:t>Nivel táctico</w:t>
            </w:r>
            <w:r>
              <w:rPr>
                <w:noProof/>
              </w:rPr>
              <w:tab/>
            </w:r>
            <w:r>
              <w:rPr>
                <w:noProof/>
              </w:rPr>
              <w:fldChar w:fldCharType="begin"/>
            </w:r>
            <w:r>
              <w:rPr>
                <w:noProof/>
              </w:rPr>
              <w:instrText xml:space="preserve"> PAGEREF _Toc241477548 \h </w:instrText>
            </w:r>
            <w:r>
              <w:rPr>
                <w:noProof/>
              </w:rPr>
            </w:r>
            <w:r>
              <w:rPr>
                <w:noProof/>
              </w:rPr>
              <w:fldChar w:fldCharType="separate"/>
            </w:r>
            <w:r>
              <w:rPr>
                <w:noProof/>
              </w:rPr>
              <w:t>13</w:t>
            </w:r>
            <w:r>
              <w:rPr>
                <w:noProof/>
              </w:rPr>
              <w:fldChar w:fldCharType="end"/>
            </w:r>
          </w:hyperlink>
        </w:p>
        <w:p w14:paraId="67AA9ABB" w14:textId="5C81C688" w:rsidR="00E661AB" w:rsidRDefault="00E661AB">
          <w:pPr>
            <w:pStyle w:val="TDC3"/>
            <w:tabs>
              <w:tab w:val="right" w:leader="dot" w:pos="9628"/>
            </w:tabs>
            <w:rPr>
              <w:noProof/>
            </w:rPr>
          </w:pPr>
          <w:hyperlink w:anchor="_Toc241477549" w:history="1">
            <w:r>
              <w:rPr>
                <w:rStyle w:val="Hipervnculo"/>
                <w:b/>
                <w:bCs/>
                <w:noProof/>
              </w:rPr>
              <w:t>Nivel operativo</w:t>
            </w:r>
            <w:r>
              <w:rPr>
                <w:noProof/>
              </w:rPr>
              <w:tab/>
            </w:r>
            <w:r>
              <w:rPr>
                <w:noProof/>
              </w:rPr>
              <w:fldChar w:fldCharType="begin"/>
            </w:r>
            <w:r>
              <w:rPr>
                <w:noProof/>
              </w:rPr>
              <w:instrText xml:space="preserve"> PAGEREF _Toc241477549 \h </w:instrText>
            </w:r>
            <w:r>
              <w:rPr>
                <w:noProof/>
              </w:rPr>
            </w:r>
            <w:r>
              <w:rPr>
                <w:noProof/>
              </w:rPr>
              <w:fldChar w:fldCharType="separate"/>
            </w:r>
            <w:r>
              <w:rPr>
                <w:noProof/>
              </w:rPr>
              <w:t>13</w:t>
            </w:r>
            <w:r>
              <w:rPr>
                <w:noProof/>
              </w:rPr>
              <w:fldChar w:fldCharType="end"/>
            </w:r>
          </w:hyperlink>
        </w:p>
        <w:p w14:paraId="16FED3CC" w14:textId="1150584D" w:rsidR="00E661AB" w:rsidRDefault="00E661AB">
          <w:pPr>
            <w:pStyle w:val="TDC3"/>
            <w:tabs>
              <w:tab w:val="right" w:leader="dot" w:pos="9628"/>
            </w:tabs>
            <w:rPr>
              <w:noProof/>
            </w:rPr>
          </w:pPr>
          <w:hyperlink w:anchor="_Toc241477550" w:history="1">
            <w:r>
              <w:rPr>
                <w:rStyle w:val="Hipervnculo"/>
                <w:b/>
                <w:bCs/>
                <w:noProof/>
              </w:rPr>
              <w:t>Indicadores y acceso a los datos según el nivel</w:t>
            </w:r>
            <w:r>
              <w:rPr>
                <w:noProof/>
              </w:rPr>
              <w:tab/>
            </w:r>
            <w:r>
              <w:rPr>
                <w:noProof/>
              </w:rPr>
              <w:fldChar w:fldCharType="begin"/>
            </w:r>
            <w:r>
              <w:rPr>
                <w:noProof/>
              </w:rPr>
              <w:instrText xml:space="preserve"> PAGEREF _Toc241477550 \h </w:instrText>
            </w:r>
            <w:r>
              <w:rPr>
                <w:noProof/>
              </w:rPr>
            </w:r>
            <w:r>
              <w:rPr>
                <w:noProof/>
              </w:rPr>
              <w:fldChar w:fldCharType="separate"/>
            </w:r>
            <w:r>
              <w:rPr>
                <w:noProof/>
              </w:rPr>
              <w:t>14</w:t>
            </w:r>
            <w:r>
              <w:rPr>
                <w:noProof/>
              </w:rPr>
              <w:fldChar w:fldCharType="end"/>
            </w:r>
          </w:hyperlink>
        </w:p>
        <w:p w14:paraId="51E8193C" w14:textId="77777777" w:rsidR="0013518E" w:rsidRDefault="00B900B3">
          <w:pPr>
            <w:pStyle w:val="TDC3"/>
            <w:tabs>
              <w:tab w:val="right" w:leader="dot" w:pos="9628"/>
            </w:tabs>
            <w:rPr>
              <w:noProof/>
            </w:rPr>
          </w:pPr>
          <w:hyperlink w:anchor="_Toc91003" w:history="1">
            <w:r>
              <w:rPr>
                <w:rStyle w:val="Hipervnculo"/>
                <w:b/>
                <w:bCs/>
                <w:noProof/>
              </w:rPr>
              <w:t>Cultura del dato en todos los niveles</w:t>
            </w:r>
            <w:r>
              <w:rPr>
                <w:noProof/>
              </w:rPr>
              <w:tab/>
            </w:r>
            <w:r>
              <w:rPr>
                <w:noProof/>
              </w:rPr>
              <w:fldChar w:fldCharType="begin"/>
            </w:r>
            <w:r>
              <w:rPr>
                <w:noProof/>
              </w:rPr>
              <w:instrText xml:space="preserve"> PAGEREF _Toc91003 \h </w:instrText>
            </w:r>
            <w:r>
              <w:rPr>
                <w:noProof/>
              </w:rPr>
            </w:r>
            <w:r>
              <w:rPr>
                <w:noProof/>
              </w:rPr>
              <w:fldChar w:fldCharType="separate"/>
            </w:r>
            <w:r>
              <w:rPr>
                <w:noProof/>
              </w:rPr>
              <w:t>15</w:t>
            </w:r>
            <w:r>
              <w:rPr>
                <w:noProof/>
              </w:rPr>
              <w:fldChar w:fldCharType="end"/>
            </w:r>
          </w:hyperlink>
        </w:p>
        <w:p w14:paraId="4910071C" w14:textId="1ED339C2" w:rsidR="00E661AB" w:rsidRDefault="00E661AB">
          <w:pPr>
            <w:pStyle w:val="TDC2"/>
            <w:tabs>
              <w:tab w:val="right" w:leader="dot" w:pos="9628"/>
            </w:tabs>
            <w:rPr>
              <w:noProof/>
            </w:rPr>
          </w:pPr>
          <w:hyperlink w:anchor="_Toc241477551" w:history="1">
            <w:r>
              <w:rPr>
                <w:rStyle w:val="Hipervnculo"/>
                <w:b/>
                <w:bCs/>
                <w:noProof/>
              </w:rPr>
              <w:t>1.4. Procesos clave de la empresa: mapa de procesos</w:t>
            </w:r>
            <w:r>
              <w:rPr>
                <w:noProof/>
              </w:rPr>
              <w:tab/>
            </w:r>
            <w:r>
              <w:rPr>
                <w:noProof/>
              </w:rPr>
              <w:fldChar w:fldCharType="begin"/>
            </w:r>
            <w:r>
              <w:rPr>
                <w:noProof/>
              </w:rPr>
              <w:instrText xml:space="preserve"> PAGEREF _Toc241477551 \h </w:instrText>
            </w:r>
            <w:r>
              <w:rPr>
                <w:noProof/>
              </w:rPr>
            </w:r>
            <w:r>
              <w:rPr>
                <w:noProof/>
              </w:rPr>
              <w:fldChar w:fldCharType="separate"/>
            </w:r>
            <w:r>
              <w:rPr>
                <w:noProof/>
              </w:rPr>
              <w:t>15</w:t>
            </w:r>
            <w:r>
              <w:rPr>
                <w:noProof/>
              </w:rPr>
              <w:fldChar w:fldCharType="end"/>
            </w:r>
          </w:hyperlink>
        </w:p>
        <w:p w14:paraId="06ED9A63" w14:textId="5D233F4A" w:rsidR="00E661AB" w:rsidRDefault="00E661AB">
          <w:pPr>
            <w:pStyle w:val="TDC3"/>
            <w:tabs>
              <w:tab w:val="right" w:leader="dot" w:pos="9628"/>
            </w:tabs>
            <w:rPr>
              <w:noProof/>
            </w:rPr>
          </w:pPr>
          <w:hyperlink w:anchor="_Toc241477552" w:history="1">
            <w:r>
              <w:rPr>
                <w:rStyle w:val="Hipervnculo"/>
                <w:b/>
                <w:bCs/>
                <w:noProof/>
              </w:rPr>
              <w:t>Procesos estratégicos (PE)</w:t>
            </w:r>
            <w:r>
              <w:rPr>
                <w:noProof/>
              </w:rPr>
              <w:tab/>
            </w:r>
            <w:r>
              <w:rPr>
                <w:noProof/>
              </w:rPr>
              <w:fldChar w:fldCharType="begin"/>
            </w:r>
            <w:r>
              <w:rPr>
                <w:noProof/>
              </w:rPr>
              <w:instrText xml:space="preserve"> PAGEREF _Toc241477552 \h </w:instrText>
            </w:r>
            <w:r>
              <w:rPr>
                <w:noProof/>
              </w:rPr>
            </w:r>
            <w:r>
              <w:rPr>
                <w:noProof/>
              </w:rPr>
              <w:fldChar w:fldCharType="separate"/>
            </w:r>
            <w:r>
              <w:rPr>
                <w:noProof/>
              </w:rPr>
              <w:t>16</w:t>
            </w:r>
            <w:r>
              <w:rPr>
                <w:noProof/>
              </w:rPr>
              <w:fldChar w:fldCharType="end"/>
            </w:r>
          </w:hyperlink>
        </w:p>
        <w:p w14:paraId="644879F1" w14:textId="2759B580" w:rsidR="00E661AB" w:rsidRDefault="00E661AB">
          <w:pPr>
            <w:pStyle w:val="TDC3"/>
            <w:tabs>
              <w:tab w:val="right" w:leader="dot" w:pos="9628"/>
            </w:tabs>
            <w:rPr>
              <w:noProof/>
            </w:rPr>
          </w:pPr>
          <w:hyperlink w:anchor="_Toc241477553" w:history="1">
            <w:r>
              <w:rPr>
                <w:rStyle w:val="Hipervnculo"/>
                <w:b/>
                <w:bCs/>
                <w:noProof/>
              </w:rPr>
              <w:t>Procesos operativos (PO)</w:t>
            </w:r>
            <w:r>
              <w:rPr>
                <w:noProof/>
              </w:rPr>
              <w:tab/>
            </w:r>
            <w:r>
              <w:rPr>
                <w:noProof/>
              </w:rPr>
              <w:fldChar w:fldCharType="begin"/>
            </w:r>
            <w:r>
              <w:rPr>
                <w:noProof/>
              </w:rPr>
              <w:instrText xml:space="preserve"> PAGEREF _Toc241477553 \h </w:instrText>
            </w:r>
            <w:r>
              <w:rPr>
                <w:noProof/>
              </w:rPr>
            </w:r>
            <w:r>
              <w:rPr>
                <w:noProof/>
              </w:rPr>
              <w:fldChar w:fldCharType="separate"/>
            </w:r>
            <w:r>
              <w:rPr>
                <w:noProof/>
              </w:rPr>
              <w:t>16</w:t>
            </w:r>
            <w:r>
              <w:rPr>
                <w:noProof/>
              </w:rPr>
              <w:fldChar w:fldCharType="end"/>
            </w:r>
          </w:hyperlink>
        </w:p>
        <w:p w14:paraId="4B7AF24F" w14:textId="61F72089" w:rsidR="00E661AB" w:rsidRDefault="00E661AB">
          <w:pPr>
            <w:pStyle w:val="TDC3"/>
            <w:tabs>
              <w:tab w:val="right" w:leader="dot" w:pos="9628"/>
            </w:tabs>
            <w:rPr>
              <w:noProof/>
            </w:rPr>
          </w:pPr>
          <w:hyperlink w:anchor="_Toc241477554" w:history="1">
            <w:r>
              <w:rPr>
                <w:rStyle w:val="Hipervnculo"/>
                <w:b/>
                <w:bCs/>
                <w:noProof/>
              </w:rPr>
              <w:t>Procesos de apoyo (PA)</w:t>
            </w:r>
            <w:r>
              <w:rPr>
                <w:noProof/>
              </w:rPr>
              <w:tab/>
            </w:r>
            <w:r>
              <w:rPr>
                <w:noProof/>
              </w:rPr>
              <w:fldChar w:fldCharType="begin"/>
            </w:r>
            <w:r>
              <w:rPr>
                <w:noProof/>
              </w:rPr>
              <w:instrText xml:space="preserve"> PAGEREF _Toc241477554 \h </w:instrText>
            </w:r>
            <w:r>
              <w:rPr>
                <w:noProof/>
              </w:rPr>
            </w:r>
            <w:r>
              <w:rPr>
                <w:noProof/>
              </w:rPr>
              <w:fldChar w:fldCharType="separate"/>
            </w:r>
            <w:r>
              <w:rPr>
                <w:noProof/>
              </w:rPr>
              <w:t>16</w:t>
            </w:r>
            <w:r>
              <w:rPr>
                <w:noProof/>
              </w:rPr>
              <w:fldChar w:fldCharType="end"/>
            </w:r>
          </w:hyperlink>
        </w:p>
        <w:p w14:paraId="46AE9FC8" w14:textId="297D81E5" w:rsidR="00E661AB" w:rsidRDefault="00E661AB">
          <w:pPr>
            <w:pStyle w:val="TDC3"/>
            <w:tabs>
              <w:tab w:val="right" w:leader="dot" w:pos="9628"/>
            </w:tabs>
            <w:rPr>
              <w:noProof/>
            </w:rPr>
          </w:pPr>
          <w:hyperlink w:anchor="_Toc241477555" w:history="1">
            <w:r>
              <w:rPr>
                <w:rStyle w:val="Hipervnculo"/>
                <w:b/>
                <w:bCs/>
                <w:noProof/>
              </w:rPr>
              <w:t>Contribución de los datos y los sistemas de información a la eficiencia operativa</w:t>
            </w:r>
            <w:r>
              <w:rPr>
                <w:noProof/>
              </w:rPr>
              <w:tab/>
            </w:r>
            <w:r>
              <w:rPr>
                <w:noProof/>
              </w:rPr>
              <w:fldChar w:fldCharType="begin"/>
            </w:r>
            <w:r>
              <w:rPr>
                <w:noProof/>
              </w:rPr>
              <w:instrText xml:space="preserve"> PAGEREF _Toc241477555 \h </w:instrText>
            </w:r>
            <w:r>
              <w:rPr>
                <w:noProof/>
              </w:rPr>
            </w:r>
            <w:r>
              <w:rPr>
                <w:noProof/>
              </w:rPr>
              <w:fldChar w:fldCharType="separate"/>
            </w:r>
            <w:r>
              <w:rPr>
                <w:noProof/>
              </w:rPr>
              <w:t>16</w:t>
            </w:r>
            <w:r>
              <w:rPr>
                <w:noProof/>
              </w:rPr>
              <w:fldChar w:fldCharType="end"/>
            </w:r>
          </w:hyperlink>
        </w:p>
        <w:p w14:paraId="3434A8C1" w14:textId="754BB8BB" w:rsidR="00E661AB" w:rsidRDefault="00E661AB">
          <w:pPr>
            <w:pStyle w:val="TDC2"/>
            <w:tabs>
              <w:tab w:val="right" w:leader="dot" w:pos="9628"/>
            </w:tabs>
            <w:rPr>
              <w:noProof/>
            </w:rPr>
          </w:pPr>
          <w:hyperlink w:anchor="_Toc241477556" w:history="1">
            <w:r>
              <w:rPr>
                <w:rStyle w:val="Hipervnculo"/>
                <w:b/>
                <w:bCs/>
                <w:noProof/>
              </w:rPr>
              <w:t>1.5. Relación entre niveles, procesos y datos</w:t>
            </w:r>
            <w:r>
              <w:rPr>
                <w:noProof/>
              </w:rPr>
              <w:tab/>
            </w:r>
            <w:r>
              <w:rPr>
                <w:noProof/>
              </w:rPr>
              <w:fldChar w:fldCharType="begin"/>
            </w:r>
            <w:r>
              <w:rPr>
                <w:noProof/>
              </w:rPr>
              <w:instrText xml:space="preserve"> PAGEREF _Toc241477556 \h </w:instrText>
            </w:r>
            <w:r>
              <w:rPr>
                <w:noProof/>
              </w:rPr>
            </w:r>
            <w:r>
              <w:rPr>
                <w:noProof/>
              </w:rPr>
              <w:fldChar w:fldCharType="separate"/>
            </w:r>
            <w:r>
              <w:rPr>
                <w:noProof/>
              </w:rPr>
              <w:t>17</w:t>
            </w:r>
            <w:r>
              <w:rPr>
                <w:noProof/>
              </w:rPr>
              <w:fldChar w:fldCharType="end"/>
            </w:r>
          </w:hyperlink>
        </w:p>
        <w:p w14:paraId="501D05BC" w14:textId="77777777" w:rsidR="0013518E" w:rsidRDefault="00B900B3">
          <w:pPr>
            <w:pStyle w:val="TDC2"/>
            <w:tabs>
              <w:tab w:val="right" w:leader="dot" w:pos="9628"/>
            </w:tabs>
            <w:rPr>
              <w:noProof/>
            </w:rPr>
          </w:pPr>
          <w:hyperlink w:anchor="_Toc91004" w:history="1">
            <w:r>
              <w:rPr>
                <w:rStyle w:val="Hipervnculo"/>
                <w:b/>
                <w:bCs/>
                <w:noProof/>
              </w:rPr>
              <w:t>1.6. Gobernanza y seguridad del dato</w:t>
            </w:r>
            <w:r>
              <w:rPr>
                <w:noProof/>
              </w:rPr>
              <w:tab/>
            </w:r>
            <w:r>
              <w:rPr>
                <w:noProof/>
              </w:rPr>
              <w:fldChar w:fldCharType="begin"/>
            </w:r>
            <w:r>
              <w:rPr>
                <w:noProof/>
              </w:rPr>
              <w:instrText xml:space="preserve"> PAGEREF _Toc91004 \h </w:instrText>
            </w:r>
            <w:r>
              <w:rPr>
                <w:noProof/>
              </w:rPr>
            </w:r>
            <w:r>
              <w:rPr>
                <w:noProof/>
              </w:rPr>
              <w:fldChar w:fldCharType="separate"/>
            </w:r>
            <w:r>
              <w:rPr>
                <w:noProof/>
              </w:rPr>
              <w:t>18</w:t>
            </w:r>
            <w:r>
              <w:rPr>
                <w:noProof/>
              </w:rPr>
              <w:fldChar w:fldCharType="end"/>
            </w:r>
          </w:hyperlink>
        </w:p>
        <w:p w14:paraId="0471EF91" w14:textId="77777777" w:rsidR="0013518E" w:rsidRDefault="00B900B3">
          <w:pPr>
            <w:pStyle w:val="TDC3"/>
            <w:tabs>
              <w:tab w:val="right" w:leader="dot" w:pos="9628"/>
            </w:tabs>
            <w:rPr>
              <w:noProof/>
            </w:rPr>
          </w:pPr>
          <w:hyperlink w:anchor="_Toc91005" w:history="1">
            <w:r>
              <w:rPr>
                <w:rStyle w:val="Hipervnculo"/>
                <w:b/>
                <w:bCs/>
                <w:noProof/>
              </w:rPr>
              <w:t>Roles y responsabilidades</w:t>
            </w:r>
            <w:r>
              <w:rPr>
                <w:noProof/>
              </w:rPr>
              <w:tab/>
            </w:r>
            <w:r>
              <w:rPr>
                <w:noProof/>
              </w:rPr>
              <w:fldChar w:fldCharType="begin"/>
            </w:r>
            <w:r>
              <w:rPr>
                <w:noProof/>
              </w:rPr>
              <w:instrText xml:space="preserve"> PAGEREF _Toc91005 \h </w:instrText>
            </w:r>
            <w:r>
              <w:rPr>
                <w:noProof/>
              </w:rPr>
            </w:r>
            <w:r>
              <w:rPr>
                <w:noProof/>
              </w:rPr>
              <w:fldChar w:fldCharType="separate"/>
            </w:r>
            <w:r>
              <w:rPr>
                <w:noProof/>
              </w:rPr>
              <w:t>18</w:t>
            </w:r>
            <w:r>
              <w:rPr>
                <w:noProof/>
              </w:rPr>
              <w:fldChar w:fldCharType="end"/>
            </w:r>
          </w:hyperlink>
        </w:p>
        <w:p w14:paraId="2200413B" w14:textId="77777777" w:rsidR="0013518E" w:rsidRDefault="00B900B3">
          <w:pPr>
            <w:pStyle w:val="TDC3"/>
            <w:tabs>
              <w:tab w:val="right" w:leader="dot" w:pos="9628"/>
            </w:tabs>
            <w:rPr>
              <w:noProof/>
            </w:rPr>
          </w:pPr>
          <w:hyperlink w:anchor="_Toc91006" w:history="1">
            <w:r>
              <w:rPr>
                <w:rStyle w:val="Hipervnculo"/>
                <w:b/>
                <w:bCs/>
                <w:noProof/>
              </w:rPr>
              <w:t>Calidad y trazabilidad</w:t>
            </w:r>
            <w:r>
              <w:rPr>
                <w:noProof/>
              </w:rPr>
              <w:tab/>
            </w:r>
            <w:r>
              <w:rPr>
                <w:noProof/>
              </w:rPr>
              <w:fldChar w:fldCharType="begin"/>
            </w:r>
            <w:r>
              <w:rPr>
                <w:noProof/>
              </w:rPr>
              <w:instrText xml:space="preserve"> PAGEREF _Toc91006 \h </w:instrText>
            </w:r>
            <w:r>
              <w:rPr>
                <w:noProof/>
              </w:rPr>
            </w:r>
            <w:r>
              <w:rPr>
                <w:noProof/>
              </w:rPr>
              <w:fldChar w:fldCharType="separate"/>
            </w:r>
            <w:r>
              <w:rPr>
                <w:noProof/>
              </w:rPr>
              <w:t>18</w:t>
            </w:r>
            <w:r>
              <w:rPr>
                <w:noProof/>
              </w:rPr>
              <w:fldChar w:fldCharType="end"/>
            </w:r>
          </w:hyperlink>
        </w:p>
        <w:p w14:paraId="7ED326B5" w14:textId="77777777" w:rsidR="0013518E" w:rsidRDefault="00B900B3">
          <w:pPr>
            <w:pStyle w:val="TDC3"/>
            <w:tabs>
              <w:tab w:val="right" w:leader="dot" w:pos="9628"/>
            </w:tabs>
            <w:rPr>
              <w:noProof/>
            </w:rPr>
          </w:pPr>
          <w:hyperlink w:anchor="_Toc91007" w:history="1">
            <w:r>
              <w:rPr>
                <w:rStyle w:val="Hipervnculo"/>
                <w:b/>
                <w:bCs/>
                <w:noProof/>
              </w:rPr>
              <w:t>Cumplimiento normativo y seguridad</w:t>
            </w:r>
            <w:r>
              <w:rPr>
                <w:noProof/>
              </w:rPr>
              <w:tab/>
            </w:r>
            <w:r>
              <w:rPr>
                <w:noProof/>
              </w:rPr>
              <w:fldChar w:fldCharType="begin"/>
            </w:r>
            <w:r>
              <w:rPr>
                <w:noProof/>
              </w:rPr>
              <w:instrText xml:space="preserve"> PAGEREF _Toc91007 \h </w:instrText>
            </w:r>
            <w:r>
              <w:rPr>
                <w:noProof/>
              </w:rPr>
            </w:r>
            <w:r>
              <w:rPr>
                <w:noProof/>
              </w:rPr>
              <w:fldChar w:fldCharType="separate"/>
            </w:r>
            <w:r>
              <w:rPr>
                <w:noProof/>
              </w:rPr>
              <w:t>19</w:t>
            </w:r>
            <w:r>
              <w:rPr>
                <w:noProof/>
              </w:rPr>
              <w:fldChar w:fldCharType="end"/>
            </w:r>
          </w:hyperlink>
        </w:p>
        <w:p w14:paraId="633AB992" w14:textId="57A730C5" w:rsidR="00E661AB" w:rsidRDefault="00E661AB">
          <w:pPr>
            <w:pStyle w:val="TDC1"/>
            <w:tabs>
              <w:tab w:val="right" w:leader="dot" w:pos="9628"/>
            </w:tabs>
            <w:rPr>
              <w:noProof/>
            </w:rPr>
          </w:pPr>
          <w:hyperlink w:anchor="_Toc241477557" w:history="1">
            <w:r>
              <w:rPr>
                <w:rStyle w:val="Hipervnculo"/>
                <w:b/>
                <w:bCs/>
                <w:noProof/>
              </w:rPr>
              <w:t>2. Diseño de un proyecto Data-Driven</w:t>
            </w:r>
            <w:r>
              <w:rPr>
                <w:noProof/>
              </w:rPr>
              <w:tab/>
            </w:r>
            <w:r>
              <w:rPr>
                <w:noProof/>
              </w:rPr>
              <w:fldChar w:fldCharType="begin"/>
            </w:r>
            <w:r>
              <w:rPr>
                <w:noProof/>
              </w:rPr>
              <w:instrText xml:space="preserve"> PAGEREF _Toc241477557 \h </w:instrText>
            </w:r>
            <w:r>
              <w:rPr>
                <w:noProof/>
              </w:rPr>
            </w:r>
            <w:r>
              <w:rPr>
                <w:noProof/>
              </w:rPr>
              <w:fldChar w:fldCharType="separate"/>
            </w:r>
            <w:r>
              <w:rPr>
                <w:noProof/>
              </w:rPr>
              <w:t>19</w:t>
            </w:r>
            <w:r>
              <w:rPr>
                <w:noProof/>
              </w:rPr>
              <w:fldChar w:fldCharType="end"/>
            </w:r>
          </w:hyperlink>
        </w:p>
        <w:p w14:paraId="5EEDFE7D" w14:textId="56DEFCF7" w:rsidR="00E661AB" w:rsidRDefault="00E661AB">
          <w:pPr>
            <w:pStyle w:val="TDC2"/>
            <w:tabs>
              <w:tab w:val="right" w:leader="dot" w:pos="9628"/>
            </w:tabs>
            <w:rPr>
              <w:noProof/>
            </w:rPr>
          </w:pPr>
          <w:hyperlink w:anchor="_Toc241477558" w:history="1">
            <w:r>
              <w:rPr>
                <w:rStyle w:val="Hipervnculo"/>
                <w:b/>
                <w:bCs/>
                <w:noProof/>
              </w:rPr>
              <w:t>2.1. Identificación de la problemática y objetivos (Project Charter)</w:t>
            </w:r>
            <w:r>
              <w:rPr>
                <w:noProof/>
              </w:rPr>
              <w:tab/>
            </w:r>
            <w:r>
              <w:rPr>
                <w:noProof/>
              </w:rPr>
              <w:fldChar w:fldCharType="begin"/>
            </w:r>
            <w:r>
              <w:rPr>
                <w:noProof/>
              </w:rPr>
              <w:instrText xml:space="preserve"> PAGEREF _Toc241477558 \h </w:instrText>
            </w:r>
            <w:r>
              <w:rPr>
                <w:noProof/>
              </w:rPr>
            </w:r>
            <w:r>
              <w:rPr>
                <w:noProof/>
              </w:rPr>
              <w:fldChar w:fldCharType="separate"/>
            </w:r>
            <w:r>
              <w:rPr>
                <w:noProof/>
              </w:rPr>
              <w:t>19</w:t>
            </w:r>
            <w:r>
              <w:rPr>
                <w:noProof/>
              </w:rPr>
              <w:fldChar w:fldCharType="end"/>
            </w:r>
          </w:hyperlink>
        </w:p>
        <w:p w14:paraId="6B48E330" w14:textId="3F07F6DD" w:rsidR="00E661AB" w:rsidRDefault="00E661AB">
          <w:pPr>
            <w:pStyle w:val="TDC2"/>
            <w:tabs>
              <w:tab w:val="right" w:leader="dot" w:pos="9628"/>
            </w:tabs>
            <w:rPr>
              <w:noProof/>
            </w:rPr>
          </w:pPr>
          <w:hyperlink w:anchor="_Toc241477559" w:history="1">
            <w:r>
              <w:rPr>
                <w:rStyle w:val="Hipervnculo"/>
                <w:b/>
                <w:bCs/>
                <w:noProof/>
              </w:rPr>
              <w:t>2.2. Planteamiento de la solución</w:t>
            </w:r>
            <w:r>
              <w:rPr>
                <w:noProof/>
              </w:rPr>
              <w:tab/>
            </w:r>
            <w:r>
              <w:rPr>
                <w:noProof/>
              </w:rPr>
              <w:fldChar w:fldCharType="begin"/>
            </w:r>
            <w:r>
              <w:rPr>
                <w:noProof/>
              </w:rPr>
              <w:instrText xml:space="preserve"> PAGEREF _Toc241477559 \h </w:instrText>
            </w:r>
            <w:r>
              <w:rPr>
                <w:noProof/>
              </w:rPr>
            </w:r>
            <w:r>
              <w:rPr>
                <w:noProof/>
              </w:rPr>
              <w:fldChar w:fldCharType="separate"/>
            </w:r>
            <w:r>
              <w:rPr>
                <w:noProof/>
              </w:rPr>
              <w:t>22</w:t>
            </w:r>
            <w:r>
              <w:rPr>
                <w:noProof/>
              </w:rPr>
              <w:fldChar w:fldCharType="end"/>
            </w:r>
          </w:hyperlink>
        </w:p>
        <w:p w14:paraId="6640AA36" w14:textId="33BDEEF5" w:rsidR="00E661AB" w:rsidRDefault="00E661AB">
          <w:pPr>
            <w:pStyle w:val="TDC2"/>
            <w:tabs>
              <w:tab w:val="right" w:leader="dot" w:pos="9628"/>
            </w:tabs>
            <w:rPr>
              <w:noProof/>
            </w:rPr>
          </w:pPr>
          <w:hyperlink w:anchor="_Toc241477560" w:history="1">
            <w:r>
              <w:rPr>
                <w:rStyle w:val="Hipervnculo"/>
                <w:b/>
                <w:bCs/>
                <w:noProof/>
              </w:rPr>
              <w:t>2.3. Desarrollo e implementación del proyecto</w:t>
            </w:r>
            <w:r>
              <w:rPr>
                <w:noProof/>
              </w:rPr>
              <w:tab/>
            </w:r>
            <w:r>
              <w:rPr>
                <w:noProof/>
              </w:rPr>
              <w:fldChar w:fldCharType="begin"/>
            </w:r>
            <w:r>
              <w:rPr>
                <w:noProof/>
              </w:rPr>
              <w:instrText xml:space="preserve"> PAGEREF _Toc241477560 \h </w:instrText>
            </w:r>
            <w:r>
              <w:rPr>
                <w:noProof/>
              </w:rPr>
            </w:r>
            <w:r>
              <w:rPr>
                <w:noProof/>
              </w:rPr>
              <w:fldChar w:fldCharType="separate"/>
            </w:r>
            <w:r>
              <w:rPr>
                <w:noProof/>
              </w:rPr>
              <w:t>23</w:t>
            </w:r>
            <w:r>
              <w:rPr>
                <w:noProof/>
              </w:rPr>
              <w:fldChar w:fldCharType="end"/>
            </w:r>
          </w:hyperlink>
        </w:p>
        <w:p w14:paraId="59CECA88" w14:textId="3E764B68" w:rsidR="00E661AB" w:rsidRDefault="00E661AB">
          <w:pPr>
            <w:pStyle w:val="TDC2"/>
            <w:tabs>
              <w:tab w:val="right" w:leader="dot" w:pos="9628"/>
            </w:tabs>
            <w:rPr>
              <w:noProof/>
            </w:rPr>
          </w:pPr>
          <w:hyperlink w:anchor="_Toc241477561" w:history="1">
            <w:r>
              <w:rPr>
                <w:rStyle w:val="Hipervnculo"/>
                <w:b/>
                <w:bCs/>
                <w:noProof/>
              </w:rPr>
              <w:t>2.4. Resultado final y conclusiones del proyecto</w:t>
            </w:r>
            <w:r>
              <w:rPr>
                <w:noProof/>
              </w:rPr>
              <w:tab/>
            </w:r>
            <w:r>
              <w:rPr>
                <w:noProof/>
              </w:rPr>
              <w:fldChar w:fldCharType="begin"/>
            </w:r>
            <w:r>
              <w:rPr>
                <w:noProof/>
              </w:rPr>
              <w:instrText xml:space="preserve"> PAGEREF _Toc241477561 \h </w:instrText>
            </w:r>
            <w:r>
              <w:rPr>
                <w:noProof/>
              </w:rPr>
            </w:r>
            <w:r>
              <w:rPr>
                <w:noProof/>
              </w:rPr>
              <w:fldChar w:fldCharType="separate"/>
            </w:r>
            <w:r>
              <w:rPr>
                <w:noProof/>
              </w:rPr>
              <w:t>25</w:t>
            </w:r>
            <w:r>
              <w:rPr>
                <w:noProof/>
              </w:rPr>
              <w:fldChar w:fldCharType="end"/>
            </w:r>
          </w:hyperlink>
        </w:p>
        <w:p w14:paraId="6D3CB957" w14:textId="7FD176D9" w:rsidR="00E661AB" w:rsidRDefault="00E661AB">
          <w:pPr>
            <w:pStyle w:val="TDC2"/>
            <w:tabs>
              <w:tab w:val="right" w:leader="dot" w:pos="9628"/>
            </w:tabs>
            <w:rPr>
              <w:noProof/>
            </w:rPr>
          </w:pPr>
          <w:hyperlink w:anchor="_Toc241477562" w:history="1">
            <w:r>
              <w:rPr>
                <w:rStyle w:val="Hipervnculo"/>
                <w:b/>
                <w:bCs/>
                <w:noProof/>
              </w:rPr>
              <w:t>2.5. Riesgos y medidas de mitigación</w:t>
            </w:r>
            <w:r>
              <w:rPr>
                <w:noProof/>
              </w:rPr>
              <w:tab/>
            </w:r>
            <w:r>
              <w:rPr>
                <w:noProof/>
              </w:rPr>
              <w:fldChar w:fldCharType="begin"/>
            </w:r>
            <w:r>
              <w:rPr>
                <w:noProof/>
              </w:rPr>
              <w:instrText xml:space="preserve"> PAGEREF _Toc241477562 \h </w:instrText>
            </w:r>
            <w:r>
              <w:rPr>
                <w:noProof/>
              </w:rPr>
            </w:r>
            <w:r>
              <w:rPr>
                <w:noProof/>
              </w:rPr>
              <w:fldChar w:fldCharType="separate"/>
            </w:r>
            <w:r>
              <w:rPr>
                <w:noProof/>
              </w:rPr>
              <w:t>26</w:t>
            </w:r>
            <w:r>
              <w:rPr>
                <w:noProof/>
              </w:rPr>
              <w:fldChar w:fldCharType="end"/>
            </w:r>
          </w:hyperlink>
        </w:p>
        <w:p w14:paraId="0580E964" w14:textId="77777777" w:rsidR="0013518E" w:rsidRDefault="00B900B3">
          <w:pPr>
            <w:pStyle w:val="TDC2"/>
            <w:tabs>
              <w:tab w:val="right" w:leader="dot" w:pos="9628"/>
            </w:tabs>
            <w:rPr>
              <w:noProof/>
            </w:rPr>
          </w:pPr>
          <w:hyperlink w:anchor="_Toc91008" w:history="1">
            <w:r>
              <w:rPr>
                <w:rStyle w:val="Hipervnculo"/>
                <w:b/>
                <w:bCs/>
                <w:noProof/>
              </w:rPr>
              <w:t>2.6. Cultura del dato y gestión del cambio</w:t>
            </w:r>
            <w:r>
              <w:rPr>
                <w:noProof/>
              </w:rPr>
              <w:tab/>
            </w:r>
            <w:r>
              <w:rPr>
                <w:noProof/>
              </w:rPr>
              <w:fldChar w:fldCharType="begin"/>
            </w:r>
            <w:r>
              <w:rPr>
                <w:noProof/>
              </w:rPr>
              <w:instrText xml:space="preserve"> PAGEREF _Toc91008 \h </w:instrText>
            </w:r>
            <w:r>
              <w:rPr>
                <w:noProof/>
              </w:rPr>
            </w:r>
            <w:r>
              <w:rPr>
                <w:noProof/>
              </w:rPr>
              <w:fldChar w:fldCharType="separate"/>
            </w:r>
            <w:r>
              <w:rPr>
                <w:noProof/>
              </w:rPr>
              <w:t>27</w:t>
            </w:r>
            <w:r>
              <w:rPr>
                <w:noProof/>
              </w:rPr>
              <w:fldChar w:fldCharType="end"/>
            </w:r>
          </w:hyperlink>
        </w:p>
        <w:p w14:paraId="4D9F3B10" w14:textId="448A71CB" w:rsidR="00E661AB" w:rsidRDefault="00E661AB">
          <w:pPr>
            <w:pStyle w:val="TDC1"/>
            <w:tabs>
              <w:tab w:val="right" w:leader="dot" w:pos="9628"/>
            </w:tabs>
            <w:rPr>
              <w:noProof/>
            </w:rPr>
          </w:pPr>
          <w:hyperlink w:anchor="_Toc241477563" w:history="1">
            <w:r>
              <w:rPr>
                <w:rStyle w:val="Hipervnculo"/>
                <w:b/>
                <w:bCs/>
                <w:noProof/>
              </w:rPr>
              <w:t>3. Conclusiones</w:t>
            </w:r>
            <w:r>
              <w:rPr>
                <w:noProof/>
              </w:rPr>
              <w:tab/>
            </w:r>
            <w:r>
              <w:rPr>
                <w:noProof/>
              </w:rPr>
              <w:fldChar w:fldCharType="begin"/>
            </w:r>
            <w:r>
              <w:rPr>
                <w:noProof/>
              </w:rPr>
              <w:instrText xml:space="preserve"> PAGEREF _Toc241477563 \h </w:instrText>
            </w:r>
            <w:r>
              <w:rPr>
                <w:noProof/>
              </w:rPr>
            </w:r>
            <w:r>
              <w:rPr>
                <w:noProof/>
              </w:rPr>
              <w:fldChar w:fldCharType="separate"/>
            </w:r>
            <w:r>
              <w:rPr>
                <w:noProof/>
              </w:rPr>
              <w:t>27</w:t>
            </w:r>
            <w:r>
              <w:rPr>
                <w:noProof/>
              </w:rPr>
              <w:fldChar w:fldCharType="end"/>
            </w:r>
          </w:hyperlink>
        </w:p>
        <w:p w14:paraId="70A9A369" w14:textId="3CCE63EE" w:rsidR="00E661AB" w:rsidRDefault="00E661AB">
          <w:pPr>
            <w:pStyle w:val="TDC1"/>
            <w:tabs>
              <w:tab w:val="right" w:leader="dot" w:pos="9628"/>
            </w:tabs>
            <w:rPr>
              <w:noProof/>
            </w:rPr>
          </w:pPr>
          <w:hyperlink w:anchor="_Toc241477564" w:history="1">
            <w:r>
              <w:rPr>
                <w:rStyle w:val="Hipervnculo"/>
                <w:b/>
                <w:bCs/>
                <w:noProof/>
              </w:rPr>
              <w:t>Bibliografía</w:t>
            </w:r>
            <w:r>
              <w:rPr>
                <w:noProof/>
              </w:rPr>
              <w:tab/>
            </w:r>
            <w:r>
              <w:rPr>
                <w:noProof/>
              </w:rPr>
              <w:fldChar w:fldCharType="begin"/>
            </w:r>
            <w:r>
              <w:rPr>
                <w:noProof/>
              </w:rPr>
              <w:instrText xml:space="preserve"> PAGEREF _Toc241477564 \h </w:instrText>
            </w:r>
            <w:r>
              <w:rPr>
                <w:noProof/>
              </w:rPr>
            </w:r>
            <w:r>
              <w:rPr>
                <w:noProof/>
              </w:rPr>
              <w:fldChar w:fldCharType="separate"/>
            </w:r>
            <w:r>
              <w:rPr>
                <w:noProof/>
              </w:rPr>
              <w:t>29</w:t>
            </w:r>
            <w:r>
              <w:rPr>
                <w:noProof/>
              </w:rPr>
              <w:fldChar w:fldCharType="end"/>
            </w:r>
          </w:hyperlink>
        </w:p>
        <w:p w14:paraId="06ADECBE" w14:textId="36EEE1BD" w:rsidR="00D531A0" w:rsidRDefault="00B900B3">
          <w:r>
            <w:fldChar w:fldCharType="end"/>
          </w:r>
        </w:p>
      </w:sdtContent>
    </w:sdt>
    <w:p w14:paraId="06ADECBF" w14:textId="77777777" w:rsidR="00D531A0" w:rsidRDefault="00B900B3">
      <w:r>
        <w:br w:type="page"/>
      </w:r>
    </w:p>
    <w:p w14:paraId="06ADECC0" w14:textId="250AE1A7" w:rsidR="00D531A0" w:rsidRDefault="00B900B3" w:rsidP="006406BA">
      <w:pPr>
        <w:pStyle w:val="Ttulo1"/>
        <w:numPr>
          <w:ilvl w:val="0"/>
          <w:numId w:val="2"/>
        </w:numPr>
        <w:spacing w:before="360" w:after="200"/>
      </w:pPr>
      <w:bookmarkStart w:id="1" w:name="_Toc241477530"/>
      <w:r>
        <w:rPr>
          <w:b/>
          <w:bCs/>
          <w:color w:val="0D3B4F"/>
        </w:rPr>
        <w:lastRenderedPageBreak/>
        <w:t>Introducción</w:t>
      </w:r>
      <w:bookmarkEnd w:id="1"/>
    </w:p>
    <w:p w14:paraId="06ADECC1" w14:textId="07DE3DC6" w:rsidR="00D531A0" w:rsidRPr="006406BA" w:rsidRDefault="00B900B3">
      <w:pPr>
        <w:spacing w:after="200" w:line="360" w:lineRule="auto"/>
        <w:jc w:val="both"/>
        <w:rPr>
          <w:rFonts w:ascii="Arial" w:hAnsi="Arial" w:cs="Arial"/>
        </w:rPr>
      </w:pPr>
      <w:r>
        <w:rPr>
          <w:rFonts w:ascii="Arial" w:hAnsi="Arial" w:cs="Arial"/>
        </w:rPr>
        <w:t>El presente trabajo tiene como objetivo diseñar una empresa ficticia, DataPyme Consulting, S.L., cuyo objetivo es la toma de decisiones basada en datos (Data-Driven Decision Making). A través de las páginas siguientes se describe cómo se organiza y estructura una empresa de consultoría tecnológica orientada a pequeñas y medianas empresas que se encuentran en fase de creación o de crecimiento inicial. De esta manera, detallamos sus áreas funcionales, sus niveles jerárquicos, sus procesos internos y las herramientas tecnológicas que impulsan la gestión de la información en cada uno de ellos.</w:t>
      </w:r>
    </w:p>
    <w:p w14:paraId="06ADECC2" w14:textId="7270FA6A" w:rsidR="00D531A0" w:rsidRPr="006406BA" w:rsidRDefault="00B900B3">
      <w:pPr>
        <w:spacing w:after="200" w:line="360" w:lineRule="auto"/>
        <w:jc w:val="both"/>
        <w:rPr>
          <w:rFonts w:ascii="Arial" w:hAnsi="Arial" w:cs="Arial"/>
        </w:rPr>
      </w:pPr>
      <w:r>
        <w:rPr>
          <w:rFonts w:ascii="Arial" w:hAnsi="Arial" w:cs="Arial"/>
        </w:rPr>
        <w:t>En la segunda parte del trabajo se plantea el diseño de un proyecto Data-Driven dentro de la propia empresa: la implantación de un sistema interno de Business Intelligence que centralice los datos comerciales, de proyecto y de facturación, lo que hasta ahora se ha encontrado distribuido en incontables hojas de cálculo. Para ello, se desarrolla el problema que motiva el proyecto, los objetivos perseguidos, la solución propuesta, las fases de implementación y el resultado final esperado, reflexionando sobre el impacto que esta metodología tiene en la eficiencia, en la toma de decisiones y en el crecimiento de la organización.</w:t>
      </w:r>
    </w:p>
    <w:p w14:paraId="3D8649B7" w14:textId="527D5BC8" w:rsidR="0013518E" w:rsidRDefault="00B900B3">
      <w:pPr>
        <w:spacing w:after="200" w:line="360" w:lineRule="auto"/>
        <w:jc w:val="both"/>
        <w:rPr>
          <w:rFonts w:ascii="Arial" w:hAnsi="Arial" w:cs="Arial"/>
        </w:rPr>
      </w:pPr>
      <w:r>
        <w:rPr>
          <w:rFonts w:ascii="Arial" w:hAnsi="Arial" w:cs="Arial"/>
        </w:rPr>
        <w:t>Para ello, el trabajo parte de una idea sencilla</w:t>
      </w:r>
      <w:r w:rsidR="00A04AA2">
        <w:rPr>
          <w:rFonts w:ascii="Arial" w:hAnsi="Arial" w:cs="Arial"/>
        </w:rPr>
        <w:t xml:space="preserve"> </w:t>
      </w:r>
      <w:r>
        <w:rPr>
          <w:rFonts w:ascii="Arial" w:hAnsi="Arial" w:cs="Arial"/>
        </w:rPr>
        <w:t xml:space="preserve">ser una empresa </w:t>
      </w:r>
      <w:r>
        <w:rPr>
          <w:rFonts w:ascii="Arial" w:hAnsi="Arial" w:cs="Arial"/>
          <w:i/>
          <w:iCs/>
        </w:rPr>
        <w:t>data-driven</w:t>
      </w:r>
      <w:r w:rsidR="00A04AA2">
        <w:rPr>
          <w:rFonts w:ascii="Arial" w:hAnsi="Arial" w:cs="Arial"/>
        </w:rPr>
        <w:t xml:space="preserve"> </w:t>
      </w:r>
      <w:r>
        <w:rPr>
          <w:rFonts w:ascii="Arial" w:hAnsi="Arial" w:cs="Arial"/>
        </w:rPr>
        <w:t>no consiste en acumular datos ni en comprar una herramienta de análisis, sino en decidir a partir de hechos verificables, con indicadores definidos antes de decidir, con una cultura del dato presente en todos los niveles y con una mejora continua que revisa cada decisión cuando llegan datos nuevos. Estos cuatro rasgos, junto con la gobernanza que permite confiar en la información, son el hilo conductor tanto de la descripción de DataPyme Consulting como del proyecto interno que se diseña en la segunda parte.</w:t>
      </w:r>
    </w:p>
    <w:p w14:paraId="06ADECC3" w14:textId="77777777" w:rsidR="00D531A0" w:rsidRDefault="00B900B3">
      <w:pPr>
        <w:pStyle w:val="Ttulo1"/>
        <w:spacing w:before="360" w:after="200"/>
      </w:pPr>
      <w:bookmarkStart w:id="2" w:name="_Toc241477531"/>
      <w:r>
        <w:rPr>
          <w:b/>
          <w:bCs/>
          <w:color w:val="0D3B4F"/>
        </w:rPr>
        <w:t>1. Explicación general de la empresa</w:t>
      </w:r>
      <w:bookmarkEnd w:id="2"/>
    </w:p>
    <w:p w14:paraId="06ADECC4" w14:textId="77777777" w:rsidR="00D531A0" w:rsidRDefault="00B900B3">
      <w:pPr>
        <w:pStyle w:val="Ttulo2"/>
        <w:spacing w:before="280" w:after="160"/>
      </w:pPr>
      <w:bookmarkStart w:id="3" w:name="_Toc241477532"/>
      <w:r>
        <w:rPr>
          <w:b/>
          <w:bCs/>
          <w:color w:val="1C7A5E"/>
        </w:rPr>
        <w:t>1.1. Presentación de la empresa</w:t>
      </w:r>
      <w:bookmarkEnd w:id="3"/>
    </w:p>
    <w:p w14:paraId="06ADECC5" w14:textId="232C0FA1" w:rsidR="00D531A0" w:rsidRPr="003A72B0" w:rsidRDefault="00B900B3">
      <w:pPr>
        <w:spacing w:after="200" w:line="360" w:lineRule="auto"/>
        <w:jc w:val="both"/>
        <w:rPr>
          <w:rFonts w:ascii="Arial" w:hAnsi="Arial" w:cs="Arial"/>
        </w:rPr>
      </w:pPr>
      <w:r>
        <w:rPr>
          <w:rFonts w:ascii="Arial" w:hAnsi="Arial" w:cs="Arial"/>
        </w:rPr>
        <w:t>DataPyme Consulting, S.L. es una empresa de consultoría tecnológica y de datos cuya actividad principal consiste en acompañar a pequeñas y medianas empresas que están comenzando su actividad o que se encuentran en una fase temprana de crecimiento. Nuestra ayuda consistirá en facilitar la implantación de modelos de gestión basados en datos. El servicio abarca desde el diagnóstico inicial de la madurez digital del cliente, pasando por el diseño e implementación de cuadros de mando e indicadores, hasta la formación de los equipos internos del cliente para que puedan mantener y mejorar sus propios sistemas de información.</w:t>
      </w:r>
    </w:p>
    <w:p w14:paraId="06ADECC6" w14:textId="30D9FB03" w:rsidR="00D531A0" w:rsidRPr="003A72B0" w:rsidRDefault="00B900B3">
      <w:pPr>
        <w:spacing w:after="200" w:line="360" w:lineRule="auto"/>
        <w:jc w:val="both"/>
        <w:rPr>
          <w:rFonts w:ascii="Arial" w:hAnsi="Arial" w:cs="Arial"/>
        </w:rPr>
      </w:pPr>
      <w:r>
        <w:rPr>
          <w:rFonts w:ascii="Arial" w:hAnsi="Arial" w:cs="Arial"/>
        </w:rPr>
        <w:t>La empresa pertenece al sector terciario o de servicios, concretamente al epígrafe de consultoría de gestión empresarial y tecnológica (CNAE 7022 - Otras actividades de consultoría de gestión empresarial). Su propuesta de valor se dirige a un segmento de mercado muy concreto</w:t>
      </w:r>
      <w:r w:rsidR="00FA22A6">
        <w:rPr>
          <w:rFonts w:ascii="Arial" w:hAnsi="Arial" w:cs="Arial"/>
        </w:rPr>
        <w:t>,</w:t>
      </w:r>
      <w:r>
        <w:rPr>
          <w:rFonts w:ascii="Arial" w:hAnsi="Arial" w:cs="Arial"/>
        </w:rPr>
        <w:t xml:space="preserve"> pymes de entre 5 y 80 empleados, con una facturación de entre 500.000 € y 10 millones de euros, de los </w:t>
      </w:r>
      <w:r>
        <w:rPr>
          <w:rFonts w:ascii="Arial" w:hAnsi="Arial" w:cs="Arial"/>
        </w:rPr>
        <w:lastRenderedPageBreak/>
        <w:t>sectores industrial, comercio y servicios, que disponen de pocos recursos internos para analizar sus propios datos pero que necesitan tomar decisiones con mayor rapidez y precisión que la competencia.</w:t>
      </w:r>
    </w:p>
    <w:p w14:paraId="06ADECC7" w14:textId="77777777" w:rsidR="00D531A0" w:rsidRDefault="00B900B3">
      <w:pPr>
        <w:pStyle w:val="Ttulo3"/>
        <w:spacing w:before="220" w:after="120"/>
      </w:pPr>
      <w:bookmarkStart w:id="4" w:name="_Toc241477533"/>
      <w:r>
        <w:rPr>
          <w:b/>
          <w:bCs/>
          <w:color w:val="0D3B4F"/>
          <w:sz w:val="23"/>
          <w:szCs w:val="23"/>
        </w:rPr>
        <w:t>Tamaño y datos generales</w:t>
      </w:r>
      <w:bookmarkEnd w:id="4"/>
    </w:p>
    <w:p w14:paraId="06ADECC8" w14:textId="35F922B8" w:rsidR="00D531A0" w:rsidRPr="00CC62F3" w:rsidRDefault="00B900B3">
      <w:pPr>
        <w:spacing w:after="200" w:line="360" w:lineRule="auto"/>
        <w:jc w:val="both"/>
        <w:rPr>
          <w:rFonts w:ascii="Arial" w:hAnsi="Arial" w:cs="Arial"/>
        </w:rPr>
      </w:pPr>
      <w:r>
        <w:rPr>
          <w:rFonts w:ascii="Arial" w:hAnsi="Arial" w:cs="Arial"/>
        </w:rPr>
        <w:t>En cuanto a su dimensión, DataPyme Consulting se define como una pequeña empresa en fase de consolidación, con vocación de convertirse en mediana empresa en un horizonte máximo de cinco años. Fue fundada en 2023 y su facturación anual ronda los 480.000 euros, con una plantilla de catorce personas.</w:t>
      </w:r>
      <w:r>
        <w:rPr>
          <w:rFonts w:ascii="Times New Roman" w:eastAsia="Times New Roman" w:hAnsi="Times New Roman" w:cs="Times New Roman"/>
          <w:sz w:val="24"/>
          <w:szCs w:val="24"/>
        </w:rPr>
        <w:t xml:space="preserve"> </w:t>
      </w:r>
      <w:r>
        <w:rPr>
          <w:rFonts w:ascii="Arial" w:hAnsi="Arial" w:cs="Arial"/>
        </w:rPr>
        <w:t>Su actividad se concentra principalmente en la Comunidad Autónoma del País Vasco y en el norte de España, y su mercado objetivo, como ya habíamos mencionado, son las pymes industriales, comerciales y de servicios de entre cinco y ochenta empleados que están comenzando su actividad o atraviesan una fase temprana de crecimiento. En la actualidad presta servicio a 23 empresas cliente, de las cuales 11 mantienen un contrato recurrente y 12 han contratado proyectos puntuales.</w:t>
      </w:r>
    </w:p>
    <w:p w14:paraId="06ADECC9" w14:textId="3FB28616" w:rsidR="00D531A0" w:rsidRPr="00CC62F3" w:rsidRDefault="00B900B3">
      <w:pPr>
        <w:spacing w:after="200" w:line="360" w:lineRule="auto"/>
        <w:jc w:val="both"/>
        <w:rPr>
          <w:rFonts w:ascii="Arial" w:hAnsi="Arial" w:cs="Arial"/>
        </w:rPr>
      </w:pPr>
      <w:r>
        <w:rPr>
          <w:rFonts w:ascii="Arial" w:hAnsi="Arial" w:cs="Arial"/>
        </w:rPr>
        <w:t>Este tamaño condiciona la forma de organizarse</w:t>
      </w:r>
      <w:r w:rsidR="00A04706">
        <w:rPr>
          <w:rFonts w:ascii="Arial" w:hAnsi="Arial" w:cs="Arial"/>
        </w:rPr>
        <w:t>,</w:t>
      </w:r>
      <w:r>
        <w:rPr>
          <w:rFonts w:ascii="Arial" w:hAnsi="Arial" w:cs="Arial"/>
        </w:rPr>
        <w:t xml:space="preserve"> con catorce personas no es viable una estructura departamental rígida, de modo que varios departamentos están formados por una o dos personas y algunas funciones, como los recursos humanos, se comparten con la dirección. Al mismo tiempo, la reducida dimensión permite que la información circule con rapidez entre los distintos niveles, lo que es una ventaja para implantar una cultura de decisión basada en datos.</w:t>
      </w:r>
    </w:p>
    <w:p w14:paraId="06ADECCA" w14:textId="77777777" w:rsidR="00D531A0" w:rsidRDefault="00B900B3">
      <w:pPr>
        <w:pStyle w:val="Ttulo3"/>
        <w:spacing w:before="220" w:after="120"/>
      </w:pPr>
      <w:bookmarkStart w:id="5" w:name="_Toc241477534"/>
      <w:r>
        <w:rPr>
          <w:b/>
          <w:bCs/>
          <w:color w:val="0D3B4F"/>
          <w:sz w:val="23"/>
          <w:szCs w:val="23"/>
        </w:rPr>
        <w:t>Tipo de empresa: clasificación</w:t>
      </w:r>
      <w:bookmarkEnd w:id="5"/>
    </w:p>
    <w:p w14:paraId="06ADECCB" w14:textId="08C265D7" w:rsidR="00D531A0" w:rsidRPr="00450C27" w:rsidRDefault="00B900B3">
      <w:pPr>
        <w:spacing w:after="200" w:line="360" w:lineRule="auto"/>
        <w:jc w:val="both"/>
        <w:rPr>
          <w:rFonts w:ascii="Arial" w:hAnsi="Arial" w:cs="Arial"/>
        </w:rPr>
      </w:pPr>
      <w:r>
        <w:rPr>
          <w:rFonts w:ascii="Arial" w:hAnsi="Arial" w:cs="Arial"/>
        </w:rPr>
        <w:t>Como cualquier empresa, DataPyme Consulting puede clasificarse desde varios criterios simultáneamente. Por su tamaño es una pequeña empresa, pues tiene entre 10 y 49 empleados y una facturación muy inferior a los diez millones de euros que fija la Recomendación 2003/361/CE de la Comisión Europea. Por su actividad económica pertenece al sector terciario, dentro de los servicios profesionales de consultoría. Por su forma jurídica es una Sociedad de Responsabilidad Limitada; por su propiedad, una empresa privada y por su finalidad, una empresa con ánimo de lucro.</w:t>
      </w:r>
    </w:p>
    <w:p w14:paraId="06ADECCC" w14:textId="31F7D40B" w:rsidR="00D531A0" w:rsidRPr="00450C27" w:rsidRDefault="001E1F4D">
      <w:pPr>
        <w:spacing w:after="200" w:line="360" w:lineRule="auto"/>
        <w:jc w:val="both"/>
        <w:rPr>
          <w:rFonts w:ascii="Arial" w:hAnsi="Arial" w:cs="Arial"/>
        </w:rPr>
      </w:pPr>
      <w:r>
        <w:rPr>
          <w:rFonts w:ascii="Arial" w:hAnsi="Arial" w:cs="Arial"/>
        </w:rPr>
        <w:t>Por su ámbito de actuación, se trata de una empresa con presencia principalmente regional, aunque con perspectivas de ampliar su actividad a otras comunidades autónomas y alcanzar una mayor presencia a nivel nacional. Por su origen de capital es una empresa de capital íntegramente nacional, aportado por los tres socios fundadores. Y, según el uso que el comprador hace del servicio, es una empresa B2B (Business to Business)</w:t>
      </w:r>
      <w:r w:rsidR="005A27D0">
        <w:rPr>
          <w:rFonts w:ascii="Arial" w:hAnsi="Arial" w:cs="Arial"/>
        </w:rPr>
        <w:t>,</w:t>
      </w:r>
      <w:r>
        <w:rPr>
          <w:rFonts w:ascii="Arial" w:hAnsi="Arial" w:cs="Arial"/>
        </w:rPr>
        <w:t xml:space="preserve"> su cliente es siempre otra empresa, que contrata sus servicios para mejorar su propio funcionamiento, y nunca el consumidor final.</w:t>
      </w:r>
    </w:p>
    <w:p w14:paraId="06ADECCD" w14:textId="77777777" w:rsidR="00D531A0" w:rsidRDefault="00B900B3">
      <w:pPr>
        <w:pStyle w:val="Ttulo3"/>
        <w:spacing w:before="220" w:after="120"/>
      </w:pPr>
      <w:bookmarkStart w:id="6" w:name="_Toc241477535"/>
      <w:r>
        <w:rPr>
          <w:b/>
          <w:bCs/>
          <w:color w:val="0D3B4F"/>
          <w:sz w:val="23"/>
          <w:szCs w:val="23"/>
        </w:rPr>
        <w:t>Justificación de la forma jurídica y del modelo B2B</w:t>
      </w:r>
      <w:bookmarkEnd w:id="6"/>
    </w:p>
    <w:p w14:paraId="06ADECCE" w14:textId="3A8F34D8" w:rsidR="00D531A0" w:rsidRPr="00317D9D" w:rsidRDefault="00B900B3">
      <w:pPr>
        <w:spacing w:after="200" w:line="360" w:lineRule="auto"/>
        <w:jc w:val="both"/>
        <w:rPr>
          <w:rFonts w:ascii="Arial" w:hAnsi="Arial" w:cs="Arial"/>
        </w:rPr>
      </w:pPr>
      <w:r>
        <w:rPr>
          <w:rFonts w:ascii="Arial" w:hAnsi="Arial" w:cs="Arial"/>
        </w:rPr>
        <w:t xml:space="preserve">La elección de la Sociedad de Responsabilidad Limitada como forma jurídica no es casual. Tal y como recoge la herramienta de apoyo al emprendedor «Elección de forma jurídica» de la Plataforma </w:t>
      </w:r>
      <w:r>
        <w:rPr>
          <w:rFonts w:ascii="Arial" w:hAnsi="Arial" w:cs="Arial"/>
        </w:rPr>
        <w:lastRenderedPageBreak/>
        <w:t>PYME del Ministerio de Industria, Comercio y Turismo, la S.L. resulta especialmente adecuada para proyectos empresariales impulsados por un número reducido de socios que desean limitar su responsabilidad al capital aportado, sin necesidad de alcanzar el capital social mínimo ni la complejidad de gestión que exige una Sociedad Anónima. En el caso de DataPyme Consulting, los tres socios fundadores, procedentes de los ámbitos de la ingeniería de datos, la consultoría de negocio y las finanzas, buscabamos precisamente esa combinación de responsabilidad limitada, flexibilidad de gestión y coste de constitución reducido, frente a otras alternativas como el empresario individual (que no protege el patrimonio personal) o la cooperativa (que encajaría peor con la estructura de capital y toma de decisiones que los socios deseaban para esta primera etapa).</w:t>
      </w:r>
    </w:p>
    <w:p w14:paraId="06ADECCF" w14:textId="6F0FE837" w:rsidR="00D531A0" w:rsidRPr="00317D9D" w:rsidRDefault="00B900B3">
      <w:pPr>
        <w:spacing w:after="200" w:line="360" w:lineRule="auto"/>
        <w:jc w:val="both"/>
        <w:rPr>
          <w:rFonts w:ascii="Arial" w:hAnsi="Arial" w:cs="Arial"/>
        </w:rPr>
      </w:pPr>
      <w:r>
        <w:rPr>
          <w:rFonts w:ascii="Arial" w:hAnsi="Arial" w:cs="Arial"/>
        </w:rPr>
        <w:t>El B2B, por su parte, condiciona de forma directa el tipo de datos que la empresa gestiona: ciclos de venta más largos que en un negocio B2C, relaciones comerciales de largo recorrido con cada cliente y una necesidad constante de demostrar el retorno de la inversión (ROI) de cada proyecto de consultoría, en lugar de gestionar grandes volúmenes de transacciones de bajo importe como ocurriría en un modelo orientado al consumidor final.</w:t>
      </w:r>
    </w:p>
    <w:p w14:paraId="06ADECD0" w14:textId="77777777" w:rsidR="00D531A0" w:rsidRDefault="00B900B3">
      <w:pPr>
        <w:pStyle w:val="Ttulo3"/>
        <w:spacing w:before="220" w:after="120"/>
      </w:pPr>
      <w:bookmarkStart w:id="7" w:name="_Toc241477536"/>
      <w:r>
        <w:rPr>
          <w:b/>
          <w:bCs/>
          <w:color w:val="0D3B4F"/>
          <w:sz w:val="23"/>
          <w:szCs w:val="23"/>
        </w:rPr>
        <w:t>Misión, visión y valores</w:t>
      </w:r>
      <w:bookmarkEnd w:id="7"/>
    </w:p>
    <w:p w14:paraId="06ADECD1" w14:textId="77777777" w:rsidR="00D531A0" w:rsidRPr="008E3C43" w:rsidRDefault="00B900B3">
      <w:pPr>
        <w:spacing w:after="200" w:line="360" w:lineRule="auto"/>
        <w:jc w:val="both"/>
        <w:rPr>
          <w:rFonts w:ascii="Arial" w:hAnsi="Arial" w:cs="Arial"/>
        </w:rPr>
      </w:pPr>
      <w:r>
        <w:rPr>
          <w:rFonts w:ascii="Arial" w:hAnsi="Arial" w:cs="Arial"/>
          <w:b/>
          <w:bCs/>
        </w:rPr>
        <w:t>Misión:</w:t>
      </w:r>
      <w:r>
        <w:rPr>
          <w:rFonts w:ascii="Arial" w:hAnsi="Arial" w:cs="Arial"/>
        </w:rPr>
        <w:t xml:space="preserve"> acompañar a pequeñas y medianas empresas en fase de creación o de crecimiento inicial en su transformación hacia una gestión basada en datos, aportando el conocimiento técnico y metodológico que estas empresas no pueden permitirse mantener en plantilla de forma permanente.</w:t>
      </w:r>
    </w:p>
    <w:p w14:paraId="06ADECD2" w14:textId="77777777" w:rsidR="00D531A0" w:rsidRPr="008E3C43" w:rsidRDefault="00B900B3">
      <w:pPr>
        <w:spacing w:after="200" w:line="360" w:lineRule="auto"/>
        <w:jc w:val="both"/>
        <w:rPr>
          <w:rFonts w:ascii="Arial" w:hAnsi="Arial" w:cs="Arial"/>
        </w:rPr>
      </w:pPr>
      <w:r>
        <w:rPr>
          <w:rFonts w:ascii="Arial" w:hAnsi="Arial" w:cs="Arial"/>
          <w:b/>
          <w:bCs/>
        </w:rPr>
        <w:t>Visión:</w:t>
      </w:r>
      <w:r>
        <w:rPr>
          <w:rFonts w:ascii="Arial" w:hAnsi="Arial" w:cs="Arial"/>
        </w:rPr>
        <w:t xml:space="preserve"> convertirse, en un plazo de cinco años, en la consultora de referencia en analítica de datos para pymes del norte de España, ampliando la actividad actual a nuevas líneas de servicio como la automatización de procesos o la inteligencia artificial aplicada a la gestión.</w:t>
      </w:r>
    </w:p>
    <w:p w14:paraId="06ADECD3" w14:textId="77777777" w:rsidR="00D531A0" w:rsidRPr="008E3C43" w:rsidRDefault="00B900B3">
      <w:pPr>
        <w:spacing w:after="200" w:line="360" w:lineRule="auto"/>
        <w:jc w:val="both"/>
        <w:rPr>
          <w:rFonts w:ascii="Arial" w:hAnsi="Arial" w:cs="Arial"/>
        </w:rPr>
      </w:pPr>
      <w:r>
        <w:rPr>
          <w:rFonts w:ascii="Arial" w:hAnsi="Arial" w:cs="Arial"/>
          <w:b/>
          <w:bCs/>
        </w:rPr>
        <w:t xml:space="preserve">Valores: </w:t>
      </w:r>
      <w:r>
        <w:rPr>
          <w:rFonts w:ascii="Arial" w:hAnsi="Arial" w:cs="Arial"/>
        </w:rPr>
        <w:t>cercanía con el cliente, transferencia real de conocimiento (frente al modelo de «caja negra» de algunas consultoras), rigor metodológico y coherencia entre lo que la empresa recomienda a sus clientes y su propia forma de gestionarse.</w:t>
      </w:r>
    </w:p>
    <w:p w14:paraId="06ADECD4" w14:textId="77777777" w:rsidR="00D531A0" w:rsidRDefault="00B900B3">
      <w:pPr>
        <w:pStyle w:val="Ttulo3"/>
        <w:spacing w:before="220" w:after="120"/>
      </w:pPr>
      <w:bookmarkStart w:id="8" w:name="_Toc241477537"/>
      <w:r>
        <w:rPr>
          <w:b/>
          <w:bCs/>
          <w:color w:val="0D3B4F"/>
          <w:sz w:val="23"/>
          <w:szCs w:val="23"/>
        </w:rPr>
        <w:t>Mercado y competencia</w:t>
      </w:r>
      <w:bookmarkEnd w:id="8"/>
    </w:p>
    <w:p w14:paraId="06ADECD5" w14:textId="17FACE43" w:rsidR="00D531A0" w:rsidRPr="008E3C43" w:rsidRDefault="00B900B3">
      <w:pPr>
        <w:spacing w:after="200" w:line="360" w:lineRule="auto"/>
        <w:jc w:val="both"/>
        <w:rPr>
          <w:rFonts w:ascii="Arial" w:hAnsi="Arial" w:cs="Arial"/>
        </w:rPr>
      </w:pPr>
      <w:r>
        <w:rPr>
          <w:rFonts w:ascii="Arial" w:hAnsi="Arial" w:cs="Arial"/>
        </w:rPr>
        <w:t>El mercado de la consultoría tecnológica y de datos dirigida a pymes se caracteriza por una demanda creciente impulsada por los fondos europeos de digitalización y por la presión competitiva del propio mercado, pero también por una oferta muy segmentada, en la que conviven grandes consultoras generalistas (poco especializadas en el segmento pyme y con tarifas elevadas), consultores freelance (con escasa capacidad para proyectos de cierta envergadura) y proveedores de software que venden herramientas, pero no acompañamiento metodológico.</w:t>
      </w:r>
    </w:p>
    <w:p w14:paraId="06ADECD6" w14:textId="6DF7D9E2" w:rsidR="00D531A0" w:rsidRPr="008E3C43" w:rsidRDefault="00B900B3">
      <w:pPr>
        <w:spacing w:after="200" w:line="360" w:lineRule="auto"/>
        <w:jc w:val="both"/>
        <w:rPr>
          <w:rFonts w:ascii="Arial" w:hAnsi="Arial" w:cs="Arial"/>
        </w:rPr>
      </w:pPr>
      <w:r>
        <w:rPr>
          <w:rFonts w:ascii="Arial" w:hAnsi="Arial" w:cs="Arial"/>
        </w:rPr>
        <w:t xml:space="preserve">DataPyme Consulting se posiciona en un espacio intermedio, ni tan grande como para resultar inaccesible a una pyme de veinte empleados, ni tan pequeña como para no poder garantizar continuidad y rigor metodológico en proyectos de varios meses de duración. Su principal ventaja competitiva es precisamente esa especialización sectorial, unida a una metodología propia de </w:t>
      </w:r>
      <w:r>
        <w:rPr>
          <w:rFonts w:ascii="Arial" w:hAnsi="Arial" w:cs="Arial"/>
        </w:rPr>
        <w:lastRenderedPageBreak/>
        <w:t>trabajo que combina el diagnóstico de negocio (aportado por los perfiles de consultoría) con la implementación técnica (aportada por los perfiles de datos), evitando así que el cliente reciba un informe de recomendaciones que después no sepa cómo poner en práctica.</w:t>
      </w:r>
    </w:p>
    <w:p w14:paraId="17A429F3" w14:textId="77777777" w:rsidR="00707608" w:rsidRPr="00707608" w:rsidRDefault="00B900B3" w:rsidP="00707608">
      <w:pPr>
        <w:spacing w:after="200" w:line="360" w:lineRule="auto"/>
        <w:jc w:val="both"/>
        <w:rPr>
          <w:rFonts w:ascii="Arial" w:hAnsi="Arial" w:cs="Arial"/>
        </w:rPr>
      </w:pPr>
      <w:r>
        <w:rPr>
          <w:rFonts w:ascii="Arial" w:hAnsi="Arial" w:cs="Arial"/>
        </w:rPr>
        <w:t xml:space="preserve">Frente a las grandes consultoras, DataPyme Consulting ofrece una especialización mucho mayor en el segmento pyme, tarifas más ajustadas y una transferencia de conocimiento real al cliente, aunque su capacidad para abordar proyectos de gran volumen es más limitada. </w:t>
      </w:r>
      <w:bookmarkStart w:id="9" w:name="_Toc241477538"/>
      <w:r>
        <w:rPr>
          <w:rFonts w:ascii="Arial" w:hAnsi="Arial" w:cs="Arial"/>
        </w:rPr>
        <w:t>A diferencia de un consultor freelance, la empresa proporciona una mayor continuidad, el apoyo de un equipo multidisciplinar y la capacidad de desarrollar proyectos de larga duración, manteniendo al mismo tiempo una atención cercana y personalizada. Esta combinación constituye uno de los principales pilares de su propuesta de valor.</w:t>
      </w:r>
    </w:p>
    <w:p w14:paraId="63C6C7A5" w14:textId="77777777" w:rsidR="0013518E" w:rsidRDefault="00B900B3">
      <w:pPr>
        <w:pStyle w:val="Ttulo3"/>
        <w:keepNext/>
        <w:spacing w:before="220" w:after="120"/>
      </w:pPr>
      <w:bookmarkStart w:id="10" w:name="_Toc91001"/>
      <w:r>
        <w:rPr>
          <w:b/>
          <w:bCs/>
          <w:color w:val="0D3B4F"/>
          <w:sz w:val="23"/>
          <w:szCs w:val="23"/>
        </w:rPr>
        <w:t>Enfoque Data-Driven de DataPyme Consulting</w:t>
      </w:r>
      <w:bookmarkEnd w:id="10"/>
    </w:p>
    <w:p w14:paraId="5BE600CC" w14:textId="77777777" w:rsidR="0013518E" w:rsidRDefault="00B900B3">
      <w:pPr>
        <w:spacing w:after="200" w:line="360" w:lineRule="auto"/>
        <w:jc w:val="both"/>
        <w:rPr>
          <w:rFonts w:ascii="Arial" w:hAnsi="Arial" w:cs="Arial"/>
        </w:rPr>
      </w:pPr>
      <w:r>
        <w:rPr>
          <w:rFonts w:ascii="Arial" w:hAnsi="Arial" w:cs="Arial"/>
        </w:rPr>
        <w:t xml:space="preserve">Decidir de forma </w:t>
      </w:r>
      <w:r>
        <w:rPr>
          <w:rFonts w:ascii="Arial" w:hAnsi="Arial" w:cs="Arial"/>
          <w:i/>
          <w:iCs/>
        </w:rPr>
        <w:t>data-driven</w:t>
      </w:r>
      <w:r>
        <w:rPr>
          <w:rFonts w:ascii="Arial" w:hAnsi="Arial" w:cs="Arial"/>
        </w:rPr>
        <w:t xml:space="preserve"> significa decidir a partir del análisis de datos y de hechos verificables, y no solo de la intuición o la experiencia. Conviene distinguirlo de la gestión </w:t>
      </w:r>
      <w:r>
        <w:rPr>
          <w:rFonts w:ascii="Arial" w:hAnsi="Arial" w:cs="Arial"/>
          <w:i/>
          <w:iCs/>
        </w:rPr>
        <w:t>data-informed</w:t>
      </w:r>
      <w:r>
        <w:rPr>
          <w:rFonts w:ascii="Arial" w:hAnsi="Arial" w:cs="Arial"/>
        </w:rPr>
        <w:t>: en la primera el dato manda y la decisión se puede repetir; en la segunda el dato informa, pero decide el criterio de quien gestiona. DataPyme Consulting combina ambos enfoques según el tipo de decisión. Las decisiones repetibles y de alto volumen, como asignar consultores según su ocupación real, priorizar las oportunidades del pipeline por su probabilidad de cierre o activar una alerta cuando un proyecto consume más horas de las presupuestadas, se gestionan con reglas y umbrales definidos sobre los datos (</w:t>
      </w:r>
      <w:r>
        <w:rPr>
          <w:rFonts w:ascii="Arial" w:hAnsi="Arial" w:cs="Arial"/>
          <w:i/>
          <w:iCs/>
        </w:rPr>
        <w:t>data-driven</w:t>
      </w:r>
      <w:r>
        <w:rPr>
          <w:rFonts w:ascii="Arial" w:hAnsi="Arial" w:cs="Arial"/>
        </w:rPr>
        <w:t>). Las decisiones estratégicas e irrepetibles, como abrir una nueva línea de servicio de inteligencia artificial, incorporar un socio o expandirse a otra comunidad autónoma, utilizan los datos como evidencia, pero la decisión final corresponde al criterio de Dirección General (</w:t>
      </w:r>
      <w:r>
        <w:rPr>
          <w:rFonts w:ascii="Arial" w:hAnsi="Arial" w:cs="Arial"/>
          <w:i/>
          <w:iCs/>
        </w:rPr>
        <w:t>data-informed</w:t>
      </w:r>
      <w:r>
        <w:rPr>
          <w:rFonts w:ascii="Arial" w:hAnsi="Arial" w:cs="Arial"/>
        </w:rPr>
        <w:t>).</w:t>
      </w:r>
    </w:p>
    <w:p w14:paraId="21B9759E" w14:textId="77777777" w:rsidR="0013518E" w:rsidRDefault="00B900B3">
      <w:pPr>
        <w:spacing w:after="200" w:line="360" w:lineRule="auto"/>
        <w:jc w:val="both"/>
        <w:rPr>
          <w:rFonts w:ascii="Arial" w:hAnsi="Arial" w:cs="Arial"/>
        </w:rPr>
      </w:pPr>
      <w:r>
        <w:rPr>
          <w:rFonts w:ascii="Arial" w:hAnsi="Arial" w:cs="Arial"/>
        </w:rPr>
        <w:t>Este enfoque se concreta en los cuatro rasgos que caracterizan a una organización orientada a los datos, que en DataPyme Consulting se materializan de la siguiente manera:</w:t>
      </w:r>
    </w:p>
    <w:p w14:paraId="62E1EA44" w14:textId="77777777" w:rsidR="0013518E" w:rsidRDefault="00B900B3">
      <w:pPr>
        <w:keepNext/>
        <w:spacing w:before="200" w:after="100"/>
        <w:jc w:val="center"/>
      </w:pPr>
      <w:r>
        <w:rPr>
          <w:i/>
          <w:iCs/>
          <w:color w:val="555555"/>
          <w:sz w:val="20"/>
          <w:szCs w:val="20"/>
        </w:rPr>
        <w:t>Tabla 1. Los cuatro rasgos de una organización data-driven aplicados a DataPyme Consulting.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0"/>
        <w:gridCol w:w="6938"/>
      </w:tblGrid>
      <w:tr w:rsidR="0013518E" w14:paraId="5A10BBAF" w14:textId="77777777">
        <w:trPr>
          <w:cantSplit/>
          <w:tblHeader/>
        </w:trPr>
        <w:tc>
          <w:tcPr>
            <w:tcW w:w="2700" w:type="dxa"/>
            <w:shd w:val="clear" w:color="auto" w:fill="0D3B4F"/>
            <w:tcMar>
              <w:top w:w="80" w:type="dxa"/>
              <w:left w:w="100" w:type="dxa"/>
              <w:bottom w:w="80" w:type="dxa"/>
              <w:right w:w="100" w:type="dxa"/>
            </w:tcMar>
          </w:tcPr>
          <w:p w14:paraId="0FE51191" w14:textId="77777777" w:rsidR="0013518E" w:rsidRDefault="00B900B3">
            <w:pPr>
              <w:keepNext/>
              <w:rPr>
                <w:rFonts w:ascii="Arial" w:hAnsi="Arial" w:cs="Arial"/>
              </w:rPr>
            </w:pPr>
            <w:r>
              <w:rPr>
                <w:rFonts w:ascii="Arial" w:hAnsi="Arial" w:cs="Arial"/>
                <w:b/>
                <w:bCs/>
                <w:color w:val="FFFFFF"/>
                <w:sz w:val="20"/>
                <w:szCs w:val="20"/>
              </w:rPr>
              <w:t>Rasgo data-driven</w:t>
            </w:r>
          </w:p>
        </w:tc>
        <w:tc>
          <w:tcPr>
            <w:tcW w:w="6938" w:type="dxa"/>
            <w:shd w:val="clear" w:color="auto" w:fill="0D3B4F"/>
            <w:tcMar>
              <w:top w:w="80" w:type="dxa"/>
              <w:left w:w="100" w:type="dxa"/>
              <w:bottom w:w="80" w:type="dxa"/>
              <w:right w:w="100" w:type="dxa"/>
            </w:tcMar>
          </w:tcPr>
          <w:p w14:paraId="61DF9980" w14:textId="77777777" w:rsidR="0013518E" w:rsidRDefault="00B900B3">
            <w:pPr>
              <w:keepNext/>
              <w:rPr>
                <w:rFonts w:ascii="Arial" w:hAnsi="Arial" w:cs="Arial"/>
              </w:rPr>
            </w:pPr>
            <w:r>
              <w:rPr>
                <w:rFonts w:ascii="Arial" w:hAnsi="Arial" w:cs="Arial"/>
                <w:b/>
                <w:bCs/>
                <w:color w:val="FFFFFF"/>
                <w:sz w:val="20"/>
                <w:szCs w:val="20"/>
              </w:rPr>
              <w:t>Cómo se materializa en DataPyme Consulting</w:t>
            </w:r>
          </w:p>
        </w:tc>
      </w:tr>
      <w:tr w:rsidR="0013518E" w14:paraId="0DDC286C" w14:textId="77777777">
        <w:trPr>
          <w:cantSplit/>
        </w:trPr>
        <w:tc>
          <w:tcPr>
            <w:tcW w:w="2700" w:type="dxa"/>
            <w:shd w:val="clear" w:color="auto" w:fill="E8F0EE"/>
            <w:tcMar>
              <w:top w:w="80" w:type="dxa"/>
              <w:left w:w="100" w:type="dxa"/>
              <w:bottom w:w="80" w:type="dxa"/>
              <w:right w:w="100" w:type="dxa"/>
            </w:tcMar>
          </w:tcPr>
          <w:p w14:paraId="4EFD0FE6" w14:textId="77777777" w:rsidR="0013518E" w:rsidRDefault="00B900B3">
            <w:pPr>
              <w:keepNext/>
              <w:rPr>
                <w:rFonts w:ascii="Arial" w:hAnsi="Arial" w:cs="Arial"/>
              </w:rPr>
            </w:pPr>
            <w:r>
              <w:rPr>
                <w:rFonts w:ascii="Arial" w:hAnsi="Arial" w:cs="Arial"/>
                <w:b/>
                <w:bCs/>
                <w:color w:val="000000"/>
                <w:sz w:val="20"/>
                <w:szCs w:val="20"/>
              </w:rPr>
              <w:t>1. Decisiones con métricas</w:t>
            </w:r>
          </w:p>
        </w:tc>
        <w:tc>
          <w:tcPr>
            <w:tcW w:w="6938" w:type="dxa"/>
            <w:tcMar>
              <w:top w:w="80" w:type="dxa"/>
              <w:left w:w="100" w:type="dxa"/>
              <w:bottom w:w="80" w:type="dxa"/>
              <w:right w:w="100" w:type="dxa"/>
            </w:tcMar>
          </w:tcPr>
          <w:p w14:paraId="5D57D6E6" w14:textId="77777777" w:rsidR="0013518E" w:rsidRDefault="00B900B3">
            <w:pPr>
              <w:keepNext/>
              <w:rPr>
                <w:rFonts w:ascii="Arial" w:hAnsi="Arial" w:cs="Arial"/>
              </w:rPr>
            </w:pPr>
            <w:r>
              <w:rPr>
                <w:rFonts w:ascii="Arial" w:hAnsi="Arial" w:cs="Arial"/>
                <w:color w:val="000000"/>
                <w:sz w:val="20"/>
                <w:szCs w:val="20"/>
              </w:rPr>
              <w:t>Cada departamento tiene indicadores definidos antes de decidir (ocupación, tasa de conversión, DSO, rotación…), con una definición común y un responsable de cada dato.</w:t>
            </w:r>
          </w:p>
        </w:tc>
      </w:tr>
      <w:tr w:rsidR="0013518E" w14:paraId="4150144C" w14:textId="77777777">
        <w:trPr>
          <w:cantSplit/>
        </w:trPr>
        <w:tc>
          <w:tcPr>
            <w:tcW w:w="2700" w:type="dxa"/>
            <w:shd w:val="clear" w:color="auto" w:fill="E8F0EE"/>
            <w:tcMar>
              <w:top w:w="80" w:type="dxa"/>
              <w:left w:w="100" w:type="dxa"/>
              <w:bottom w:w="80" w:type="dxa"/>
              <w:right w:w="100" w:type="dxa"/>
            </w:tcMar>
          </w:tcPr>
          <w:p w14:paraId="52077C2B" w14:textId="77777777" w:rsidR="0013518E" w:rsidRDefault="00B900B3">
            <w:pPr>
              <w:rPr>
                <w:rFonts w:ascii="Arial" w:hAnsi="Arial" w:cs="Arial"/>
              </w:rPr>
            </w:pPr>
            <w:r>
              <w:rPr>
                <w:rFonts w:ascii="Arial" w:hAnsi="Arial" w:cs="Arial"/>
                <w:b/>
                <w:bCs/>
                <w:color w:val="000000"/>
                <w:sz w:val="20"/>
                <w:szCs w:val="20"/>
              </w:rPr>
              <w:t>2. Cultura del dato en todos los niveles</w:t>
            </w:r>
          </w:p>
        </w:tc>
        <w:tc>
          <w:tcPr>
            <w:tcW w:w="6938" w:type="dxa"/>
            <w:tcMar>
              <w:top w:w="80" w:type="dxa"/>
              <w:left w:w="100" w:type="dxa"/>
              <w:bottom w:w="80" w:type="dxa"/>
              <w:right w:w="100" w:type="dxa"/>
            </w:tcMar>
          </w:tcPr>
          <w:p w14:paraId="04335BA9" w14:textId="77777777" w:rsidR="0013518E" w:rsidRDefault="00B900B3">
            <w:pPr>
              <w:rPr>
                <w:rFonts w:ascii="Arial" w:hAnsi="Arial" w:cs="Arial"/>
              </w:rPr>
            </w:pPr>
            <w:r>
              <w:rPr>
                <w:rFonts w:ascii="Arial" w:hAnsi="Arial" w:cs="Arial"/>
                <w:color w:val="000000"/>
                <w:sz w:val="20"/>
                <w:szCs w:val="20"/>
              </w:rPr>
              <w:t>Desde Dirección General hasta cada consultor, cada persona sabe qué dato mira y para qué: el socio-CDO revisa el panel ejecutivo, los responsables el de seguimiento y cada consultor su propia ocupación y rentabilidad.</w:t>
            </w:r>
          </w:p>
        </w:tc>
      </w:tr>
      <w:tr w:rsidR="0013518E" w14:paraId="635E4CB2" w14:textId="77777777">
        <w:trPr>
          <w:cantSplit/>
        </w:trPr>
        <w:tc>
          <w:tcPr>
            <w:tcW w:w="2700" w:type="dxa"/>
            <w:shd w:val="clear" w:color="auto" w:fill="E8F0EE"/>
            <w:tcMar>
              <w:top w:w="80" w:type="dxa"/>
              <w:left w:w="100" w:type="dxa"/>
              <w:bottom w:w="80" w:type="dxa"/>
              <w:right w:w="100" w:type="dxa"/>
            </w:tcMar>
          </w:tcPr>
          <w:p w14:paraId="38278066" w14:textId="77777777" w:rsidR="0013518E" w:rsidRDefault="00B900B3">
            <w:pPr>
              <w:rPr>
                <w:rFonts w:ascii="Arial" w:hAnsi="Arial" w:cs="Arial"/>
              </w:rPr>
            </w:pPr>
            <w:r>
              <w:rPr>
                <w:rFonts w:ascii="Arial" w:hAnsi="Arial" w:cs="Arial"/>
                <w:b/>
                <w:bCs/>
                <w:color w:val="000000"/>
                <w:sz w:val="20"/>
                <w:szCs w:val="20"/>
              </w:rPr>
              <w:t>3. Tecnología al servicio del uso</w:t>
            </w:r>
          </w:p>
        </w:tc>
        <w:tc>
          <w:tcPr>
            <w:tcW w:w="6938" w:type="dxa"/>
            <w:tcMar>
              <w:top w:w="80" w:type="dxa"/>
              <w:left w:w="100" w:type="dxa"/>
              <w:bottom w:w="80" w:type="dxa"/>
              <w:right w:w="100" w:type="dxa"/>
            </w:tcMar>
          </w:tcPr>
          <w:p w14:paraId="5E75AC42" w14:textId="77777777" w:rsidR="0013518E" w:rsidRDefault="00B900B3">
            <w:pPr>
              <w:rPr>
                <w:rFonts w:ascii="Arial" w:hAnsi="Arial" w:cs="Arial"/>
              </w:rPr>
            </w:pPr>
            <w:r>
              <w:rPr>
                <w:rFonts w:ascii="Arial" w:hAnsi="Arial" w:cs="Arial"/>
                <w:color w:val="000000"/>
                <w:sz w:val="20"/>
                <w:szCs w:val="20"/>
              </w:rPr>
              <w:t>Se elige la tecnología por el problema y no por moda: Power BI, HubSpot, Toggl/Clockify, Holded y Power Automate, herramientas de bajo coste y ya conocidas por el equipo.</w:t>
            </w:r>
          </w:p>
        </w:tc>
      </w:tr>
      <w:tr w:rsidR="0013518E" w14:paraId="169197C8" w14:textId="77777777">
        <w:trPr>
          <w:cantSplit/>
        </w:trPr>
        <w:tc>
          <w:tcPr>
            <w:tcW w:w="2700" w:type="dxa"/>
            <w:shd w:val="clear" w:color="auto" w:fill="E8F0EE"/>
            <w:tcMar>
              <w:top w:w="80" w:type="dxa"/>
              <w:left w:w="100" w:type="dxa"/>
              <w:bottom w:w="80" w:type="dxa"/>
              <w:right w:w="100" w:type="dxa"/>
            </w:tcMar>
          </w:tcPr>
          <w:p w14:paraId="33B13802" w14:textId="77777777" w:rsidR="0013518E" w:rsidRDefault="00B900B3">
            <w:pPr>
              <w:rPr>
                <w:rFonts w:ascii="Arial" w:hAnsi="Arial" w:cs="Arial"/>
              </w:rPr>
            </w:pPr>
            <w:r>
              <w:rPr>
                <w:rFonts w:ascii="Arial" w:hAnsi="Arial" w:cs="Arial"/>
                <w:b/>
                <w:bCs/>
                <w:color w:val="000000"/>
                <w:sz w:val="20"/>
                <w:szCs w:val="20"/>
              </w:rPr>
              <w:t>4. Iteración y mejora continua</w:t>
            </w:r>
          </w:p>
        </w:tc>
        <w:tc>
          <w:tcPr>
            <w:tcW w:w="6938" w:type="dxa"/>
            <w:tcMar>
              <w:top w:w="80" w:type="dxa"/>
              <w:left w:w="100" w:type="dxa"/>
              <w:bottom w:w="80" w:type="dxa"/>
              <w:right w:w="100" w:type="dxa"/>
            </w:tcMar>
          </w:tcPr>
          <w:p w14:paraId="30BE7B6B" w14:textId="77777777" w:rsidR="0013518E" w:rsidRDefault="00B900B3">
            <w:pPr>
              <w:rPr>
                <w:rFonts w:ascii="Arial" w:hAnsi="Arial" w:cs="Arial"/>
              </w:rPr>
            </w:pPr>
            <w:r>
              <w:rPr>
                <w:rFonts w:ascii="Arial" w:hAnsi="Arial" w:cs="Arial"/>
                <w:color w:val="000000"/>
                <w:sz w:val="20"/>
                <w:szCs w:val="20"/>
              </w:rPr>
              <w:t>Las decisiones se revisan cuando llegan datos nuevos: comité de dirección semanal, revisión trimestral de indicadores (PE01) y propuestas de mejora recogidas en PE02.</w:t>
            </w:r>
          </w:p>
        </w:tc>
      </w:tr>
    </w:tbl>
    <w:p w14:paraId="6A789A50" w14:textId="77777777" w:rsidR="0013518E" w:rsidRDefault="0013518E">
      <w:pPr>
        <w:spacing w:after="120"/>
      </w:pPr>
    </w:p>
    <w:p w14:paraId="2FC4D3EB" w14:textId="77777777" w:rsidR="0013518E" w:rsidRDefault="00B900B3">
      <w:pPr>
        <w:spacing w:after="200" w:line="360" w:lineRule="auto"/>
        <w:jc w:val="both"/>
        <w:rPr>
          <w:rFonts w:ascii="Arial" w:hAnsi="Arial" w:cs="Arial"/>
        </w:rPr>
      </w:pPr>
      <w:r>
        <w:rPr>
          <w:rFonts w:ascii="Arial" w:hAnsi="Arial" w:cs="Arial"/>
        </w:rPr>
        <w:t>Además, DataPyme Consulting utiliza la denominada escalera de la analítica para saber en qué punto se encuentra y hacia dónde quiere avanzar. Cada peldaño aporta más valor, pero también exige más calidad del dato y más confianza de quien decide, por lo que la empresa los recorre de forma progresiva:</w:t>
      </w:r>
    </w:p>
    <w:p w14:paraId="2D02A495" w14:textId="77777777" w:rsidR="0013518E" w:rsidRDefault="00B900B3">
      <w:pPr>
        <w:keepNext/>
        <w:spacing w:before="200" w:after="100"/>
        <w:jc w:val="center"/>
      </w:pPr>
      <w:r>
        <w:rPr>
          <w:i/>
          <w:iCs/>
          <w:color w:val="555555"/>
          <w:sz w:val="20"/>
          <w:szCs w:val="20"/>
        </w:rPr>
        <w:t>Tabla 2. Escalera de la analítica en DataPyme Consulting (los ejemplos son ilustrativos).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1500"/>
        <w:gridCol w:w="4138"/>
        <w:gridCol w:w="2500"/>
      </w:tblGrid>
      <w:tr w:rsidR="0013518E" w14:paraId="5A33AD82" w14:textId="77777777">
        <w:trPr>
          <w:cantSplit/>
          <w:tblHeader/>
        </w:trPr>
        <w:tc>
          <w:tcPr>
            <w:tcW w:w="1500" w:type="dxa"/>
            <w:shd w:val="clear" w:color="auto" w:fill="0D3B4F"/>
            <w:tcMar>
              <w:top w:w="80" w:type="dxa"/>
              <w:left w:w="100" w:type="dxa"/>
              <w:bottom w:w="80" w:type="dxa"/>
              <w:right w:w="100" w:type="dxa"/>
            </w:tcMar>
          </w:tcPr>
          <w:p w14:paraId="5970A32C" w14:textId="77777777" w:rsidR="0013518E" w:rsidRDefault="00B900B3">
            <w:pPr>
              <w:keepNext/>
              <w:rPr>
                <w:rFonts w:ascii="Arial" w:hAnsi="Arial" w:cs="Arial"/>
              </w:rPr>
            </w:pPr>
            <w:r>
              <w:rPr>
                <w:rFonts w:ascii="Arial" w:hAnsi="Arial" w:cs="Arial"/>
                <w:b/>
                <w:bCs/>
                <w:color w:val="FFFFFF"/>
                <w:sz w:val="18"/>
                <w:szCs w:val="18"/>
              </w:rPr>
              <w:t>Tipo de analítica</w:t>
            </w:r>
          </w:p>
        </w:tc>
        <w:tc>
          <w:tcPr>
            <w:tcW w:w="1500" w:type="dxa"/>
            <w:shd w:val="clear" w:color="auto" w:fill="0D3B4F"/>
            <w:tcMar>
              <w:top w:w="80" w:type="dxa"/>
              <w:left w:w="100" w:type="dxa"/>
              <w:bottom w:w="80" w:type="dxa"/>
              <w:right w:w="100" w:type="dxa"/>
            </w:tcMar>
          </w:tcPr>
          <w:p w14:paraId="5130ADEB" w14:textId="77777777" w:rsidR="0013518E" w:rsidRDefault="00B900B3">
            <w:pPr>
              <w:keepNext/>
              <w:rPr>
                <w:rFonts w:ascii="Arial" w:hAnsi="Arial" w:cs="Arial"/>
              </w:rPr>
            </w:pPr>
            <w:r>
              <w:rPr>
                <w:rFonts w:ascii="Arial" w:hAnsi="Arial" w:cs="Arial"/>
                <w:b/>
                <w:bCs/>
                <w:color w:val="FFFFFF"/>
                <w:sz w:val="18"/>
                <w:szCs w:val="18"/>
              </w:rPr>
              <w:t>Pregunta</w:t>
            </w:r>
          </w:p>
        </w:tc>
        <w:tc>
          <w:tcPr>
            <w:tcW w:w="4138" w:type="dxa"/>
            <w:shd w:val="clear" w:color="auto" w:fill="0D3B4F"/>
            <w:tcMar>
              <w:top w:w="80" w:type="dxa"/>
              <w:left w:w="100" w:type="dxa"/>
              <w:bottom w:w="80" w:type="dxa"/>
              <w:right w:w="100" w:type="dxa"/>
            </w:tcMar>
          </w:tcPr>
          <w:p w14:paraId="538CEF87" w14:textId="77777777" w:rsidR="0013518E" w:rsidRDefault="00B900B3">
            <w:pPr>
              <w:keepNext/>
              <w:rPr>
                <w:rFonts w:ascii="Arial" w:hAnsi="Arial" w:cs="Arial"/>
              </w:rPr>
            </w:pPr>
            <w:r>
              <w:rPr>
                <w:rFonts w:ascii="Arial" w:hAnsi="Arial" w:cs="Arial"/>
                <w:b/>
                <w:bCs/>
                <w:color w:val="FFFFFF"/>
                <w:sz w:val="18"/>
                <w:szCs w:val="18"/>
              </w:rPr>
              <w:t>Ejemplo en DataPyme Consulting</w:t>
            </w:r>
          </w:p>
        </w:tc>
        <w:tc>
          <w:tcPr>
            <w:tcW w:w="2500" w:type="dxa"/>
            <w:shd w:val="clear" w:color="auto" w:fill="0D3B4F"/>
            <w:tcMar>
              <w:top w:w="80" w:type="dxa"/>
              <w:left w:w="100" w:type="dxa"/>
              <w:bottom w:w="80" w:type="dxa"/>
              <w:right w:w="100" w:type="dxa"/>
            </w:tcMar>
          </w:tcPr>
          <w:p w14:paraId="60CE021B" w14:textId="77777777" w:rsidR="0013518E" w:rsidRDefault="00B900B3">
            <w:pPr>
              <w:keepNext/>
              <w:rPr>
                <w:rFonts w:ascii="Arial" w:hAnsi="Arial" w:cs="Arial"/>
              </w:rPr>
            </w:pPr>
            <w:r>
              <w:rPr>
                <w:rFonts w:ascii="Arial" w:hAnsi="Arial" w:cs="Arial"/>
                <w:b/>
                <w:bCs/>
                <w:color w:val="FFFFFF"/>
                <w:sz w:val="18"/>
                <w:szCs w:val="18"/>
              </w:rPr>
              <w:t>Situación</w:t>
            </w:r>
          </w:p>
        </w:tc>
      </w:tr>
      <w:tr w:rsidR="0013518E" w14:paraId="431F0360" w14:textId="77777777">
        <w:trPr>
          <w:cantSplit/>
        </w:trPr>
        <w:tc>
          <w:tcPr>
            <w:tcW w:w="1500" w:type="dxa"/>
            <w:shd w:val="clear" w:color="auto" w:fill="E8F0EE"/>
            <w:tcMar>
              <w:top w:w="80" w:type="dxa"/>
              <w:left w:w="100" w:type="dxa"/>
              <w:bottom w:w="80" w:type="dxa"/>
              <w:right w:w="100" w:type="dxa"/>
            </w:tcMar>
          </w:tcPr>
          <w:p w14:paraId="0B943D0E" w14:textId="77777777" w:rsidR="0013518E" w:rsidRDefault="00B900B3">
            <w:pPr>
              <w:keepNext/>
              <w:rPr>
                <w:rFonts w:ascii="Arial" w:hAnsi="Arial" w:cs="Arial"/>
              </w:rPr>
            </w:pPr>
            <w:r>
              <w:rPr>
                <w:rFonts w:ascii="Arial" w:hAnsi="Arial" w:cs="Arial"/>
                <w:b/>
                <w:bCs/>
                <w:color w:val="000000"/>
                <w:sz w:val="18"/>
                <w:szCs w:val="18"/>
              </w:rPr>
              <w:t>Descriptiva</w:t>
            </w:r>
          </w:p>
        </w:tc>
        <w:tc>
          <w:tcPr>
            <w:tcW w:w="1500" w:type="dxa"/>
            <w:tcMar>
              <w:top w:w="80" w:type="dxa"/>
              <w:left w:w="100" w:type="dxa"/>
              <w:bottom w:w="80" w:type="dxa"/>
              <w:right w:w="100" w:type="dxa"/>
            </w:tcMar>
          </w:tcPr>
          <w:p w14:paraId="50F6F9FB" w14:textId="77777777" w:rsidR="0013518E" w:rsidRDefault="00B900B3">
            <w:pPr>
              <w:keepNext/>
              <w:rPr>
                <w:rFonts w:ascii="Arial" w:hAnsi="Arial" w:cs="Arial"/>
              </w:rPr>
            </w:pPr>
            <w:r>
              <w:rPr>
                <w:rFonts w:ascii="Arial" w:hAnsi="Arial" w:cs="Arial"/>
                <w:color w:val="000000"/>
                <w:sz w:val="18"/>
                <w:szCs w:val="18"/>
              </w:rPr>
              <w:t>¿Qué pasó?</w:t>
            </w:r>
          </w:p>
        </w:tc>
        <w:tc>
          <w:tcPr>
            <w:tcW w:w="4138" w:type="dxa"/>
            <w:tcMar>
              <w:top w:w="80" w:type="dxa"/>
              <w:left w:w="100" w:type="dxa"/>
              <w:bottom w:w="80" w:type="dxa"/>
              <w:right w:w="100" w:type="dxa"/>
            </w:tcMar>
          </w:tcPr>
          <w:p w14:paraId="2DE0FF5B" w14:textId="77777777" w:rsidR="0013518E" w:rsidRDefault="00B900B3">
            <w:pPr>
              <w:keepNext/>
              <w:rPr>
                <w:rFonts w:ascii="Arial" w:hAnsi="Arial" w:cs="Arial"/>
              </w:rPr>
            </w:pPr>
            <w:r>
              <w:rPr>
                <w:rFonts w:ascii="Arial" w:hAnsi="Arial" w:cs="Arial"/>
                <w:color w:val="000000"/>
                <w:sz w:val="18"/>
                <w:szCs w:val="18"/>
              </w:rPr>
              <w:t>El proyecto de un cliente ha consumido 310 horas frente a las 250 presupuestadas.</w:t>
            </w:r>
          </w:p>
        </w:tc>
        <w:tc>
          <w:tcPr>
            <w:tcW w:w="2500" w:type="dxa"/>
            <w:tcMar>
              <w:top w:w="80" w:type="dxa"/>
              <w:left w:w="100" w:type="dxa"/>
              <w:bottom w:w="80" w:type="dxa"/>
              <w:right w:w="100" w:type="dxa"/>
            </w:tcMar>
          </w:tcPr>
          <w:p w14:paraId="2BB1127D" w14:textId="77777777" w:rsidR="0013518E" w:rsidRDefault="00B900B3">
            <w:pPr>
              <w:keepNext/>
              <w:rPr>
                <w:rFonts w:ascii="Arial" w:hAnsi="Arial" w:cs="Arial"/>
              </w:rPr>
            </w:pPr>
            <w:r>
              <w:rPr>
                <w:rFonts w:ascii="Arial" w:hAnsi="Arial" w:cs="Arial"/>
                <w:color w:val="000000"/>
                <w:sz w:val="18"/>
                <w:szCs w:val="18"/>
              </w:rPr>
              <w:t>Cubierta por el proyecto DataPyme 360</w:t>
            </w:r>
          </w:p>
        </w:tc>
      </w:tr>
      <w:tr w:rsidR="0013518E" w14:paraId="2505AA23" w14:textId="77777777">
        <w:trPr>
          <w:cantSplit/>
        </w:trPr>
        <w:tc>
          <w:tcPr>
            <w:tcW w:w="1500" w:type="dxa"/>
            <w:shd w:val="clear" w:color="auto" w:fill="E8F0EE"/>
            <w:tcMar>
              <w:top w:w="80" w:type="dxa"/>
              <w:left w:w="100" w:type="dxa"/>
              <w:bottom w:w="80" w:type="dxa"/>
              <w:right w:w="100" w:type="dxa"/>
            </w:tcMar>
          </w:tcPr>
          <w:p w14:paraId="17D15C09" w14:textId="77777777" w:rsidR="0013518E" w:rsidRDefault="00B900B3">
            <w:pPr>
              <w:rPr>
                <w:rFonts w:ascii="Arial" w:hAnsi="Arial" w:cs="Arial"/>
              </w:rPr>
            </w:pPr>
            <w:r>
              <w:rPr>
                <w:rFonts w:ascii="Arial" w:hAnsi="Arial" w:cs="Arial"/>
                <w:b/>
                <w:bCs/>
                <w:color w:val="000000"/>
                <w:sz w:val="18"/>
                <w:szCs w:val="18"/>
              </w:rPr>
              <w:t>Diagnóstica</w:t>
            </w:r>
          </w:p>
        </w:tc>
        <w:tc>
          <w:tcPr>
            <w:tcW w:w="1500" w:type="dxa"/>
            <w:tcMar>
              <w:top w:w="80" w:type="dxa"/>
              <w:left w:w="100" w:type="dxa"/>
              <w:bottom w:w="80" w:type="dxa"/>
              <w:right w:w="100" w:type="dxa"/>
            </w:tcMar>
          </w:tcPr>
          <w:p w14:paraId="55C476CC" w14:textId="77777777" w:rsidR="0013518E" w:rsidRDefault="00B900B3">
            <w:pPr>
              <w:rPr>
                <w:rFonts w:ascii="Arial" w:hAnsi="Arial" w:cs="Arial"/>
              </w:rPr>
            </w:pPr>
            <w:r>
              <w:rPr>
                <w:rFonts w:ascii="Arial" w:hAnsi="Arial" w:cs="Arial"/>
                <w:color w:val="000000"/>
                <w:sz w:val="18"/>
                <w:szCs w:val="18"/>
              </w:rPr>
              <w:t>¿Por qué pasó?</w:t>
            </w:r>
          </w:p>
        </w:tc>
        <w:tc>
          <w:tcPr>
            <w:tcW w:w="4138" w:type="dxa"/>
            <w:tcMar>
              <w:top w:w="80" w:type="dxa"/>
              <w:left w:w="100" w:type="dxa"/>
              <w:bottom w:w="80" w:type="dxa"/>
              <w:right w:w="100" w:type="dxa"/>
            </w:tcMar>
          </w:tcPr>
          <w:p w14:paraId="6D0E4C6B" w14:textId="77777777" w:rsidR="0013518E" w:rsidRDefault="00B900B3">
            <w:pPr>
              <w:rPr>
                <w:rFonts w:ascii="Arial" w:hAnsi="Arial" w:cs="Arial"/>
              </w:rPr>
            </w:pPr>
            <w:r>
              <w:rPr>
                <w:rFonts w:ascii="Arial" w:hAnsi="Arial" w:cs="Arial"/>
                <w:color w:val="000000"/>
                <w:sz w:val="18"/>
                <w:szCs w:val="18"/>
              </w:rPr>
              <w:t>La desviación se debe a cambios de alcance no facturados durante la fase de integración de datos del cliente.</w:t>
            </w:r>
          </w:p>
        </w:tc>
        <w:tc>
          <w:tcPr>
            <w:tcW w:w="2500" w:type="dxa"/>
            <w:tcMar>
              <w:top w:w="80" w:type="dxa"/>
              <w:left w:w="100" w:type="dxa"/>
              <w:bottom w:w="80" w:type="dxa"/>
              <w:right w:w="100" w:type="dxa"/>
            </w:tcMar>
          </w:tcPr>
          <w:p w14:paraId="58969CAE" w14:textId="77777777" w:rsidR="0013518E" w:rsidRDefault="00B900B3">
            <w:pPr>
              <w:rPr>
                <w:rFonts w:ascii="Arial" w:hAnsi="Arial" w:cs="Arial"/>
              </w:rPr>
            </w:pPr>
            <w:r>
              <w:rPr>
                <w:rFonts w:ascii="Arial" w:hAnsi="Arial" w:cs="Arial"/>
                <w:color w:val="000000"/>
                <w:sz w:val="18"/>
                <w:szCs w:val="18"/>
              </w:rPr>
              <w:t>Cubierta (análisis por proyecto, consultor y tarea)</w:t>
            </w:r>
          </w:p>
        </w:tc>
      </w:tr>
      <w:tr w:rsidR="0013518E" w14:paraId="0ED9C8B6" w14:textId="77777777">
        <w:trPr>
          <w:cantSplit/>
        </w:trPr>
        <w:tc>
          <w:tcPr>
            <w:tcW w:w="1500" w:type="dxa"/>
            <w:shd w:val="clear" w:color="auto" w:fill="E8F0EE"/>
            <w:tcMar>
              <w:top w:w="80" w:type="dxa"/>
              <w:left w:w="100" w:type="dxa"/>
              <w:bottom w:w="80" w:type="dxa"/>
              <w:right w:w="100" w:type="dxa"/>
            </w:tcMar>
          </w:tcPr>
          <w:p w14:paraId="655CBBE8" w14:textId="77777777" w:rsidR="0013518E" w:rsidRDefault="00B900B3">
            <w:pPr>
              <w:rPr>
                <w:rFonts w:ascii="Arial" w:hAnsi="Arial" w:cs="Arial"/>
              </w:rPr>
            </w:pPr>
            <w:r>
              <w:rPr>
                <w:rFonts w:ascii="Arial" w:hAnsi="Arial" w:cs="Arial"/>
                <w:b/>
                <w:bCs/>
                <w:color w:val="000000"/>
                <w:sz w:val="18"/>
                <w:szCs w:val="18"/>
              </w:rPr>
              <w:t>Predictiva</w:t>
            </w:r>
          </w:p>
        </w:tc>
        <w:tc>
          <w:tcPr>
            <w:tcW w:w="1500" w:type="dxa"/>
            <w:tcMar>
              <w:top w:w="80" w:type="dxa"/>
              <w:left w:w="100" w:type="dxa"/>
              <w:bottom w:w="80" w:type="dxa"/>
              <w:right w:w="100" w:type="dxa"/>
            </w:tcMar>
          </w:tcPr>
          <w:p w14:paraId="31A1A027" w14:textId="77777777" w:rsidR="0013518E" w:rsidRDefault="00B900B3">
            <w:pPr>
              <w:rPr>
                <w:rFonts w:ascii="Arial" w:hAnsi="Arial" w:cs="Arial"/>
              </w:rPr>
            </w:pPr>
            <w:r>
              <w:rPr>
                <w:rFonts w:ascii="Arial" w:hAnsi="Arial" w:cs="Arial"/>
                <w:color w:val="000000"/>
                <w:sz w:val="18"/>
                <w:szCs w:val="18"/>
              </w:rPr>
              <w:t>¿Qué pasará?</w:t>
            </w:r>
          </w:p>
        </w:tc>
        <w:tc>
          <w:tcPr>
            <w:tcW w:w="4138" w:type="dxa"/>
            <w:tcMar>
              <w:top w:w="80" w:type="dxa"/>
              <w:left w:w="100" w:type="dxa"/>
              <w:bottom w:w="80" w:type="dxa"/>
              <w:right w:w="100" w:type="dxa"/>
            </w:tcMar>
          </w:tcPr>
          <w:p w14:paraId="2089CF16" w14:textId="77777777" w:rsidR="0013518E" w:rsidRDefault="00B900B3">
            <w:pPr>
              <w:rPr>
                <w:rFonts w:ascii="Arial" w:hAnsi="Arial" w:cs="Arial"/>
              </w:rPr>
            </w:pPr>
            <w:r>
              <w:rPr>
                <w:rFonts w:ascii="Arial" w:hAnsi="Arial" w:cs="Arial"/>
                <w:color w:val="000000"/>
                <w:sz w:val="18"/>
                <w:szCs w:val="18"/>
              </w:rPr>
              <w:t>Con la ocupación actual y el pipeline ponderado, dentro de tres meses faltarán dos consultores.</w:t>
            </w:r>
          </w:p>
        </w:tc>
        <w:tc>
          <w:tcPr>
            <w:tcW w:w="2500" w:type="dxa"/>
            <w:tcMar>
              <w:top w:w="80" w:type="dxa"/>
              <w:left w:w="100" w:type="dxa"/>
              <w:bottom w:w="80" w:type="dxa"/>
              <w:right w:w="100" w:type="dxa"/>
            </w:tcMar>
          </w:tcPr>
          <w:p w14:paraId="61DA4D71" w14:textId="77777777" w:rsidR="0013518E" w:rsidRDefault="00B900B3">
            <w:pPr>
              <w:rPr>
                <w:rFonts w:ascii="Arial" w:hAnsi="Arial" w:cs="Arial"/>
              </w:rPr>
            </w:pPr>
            <w:r>
              <w:rPr>
                <w:rFonts w:ascii="Arial" w:hAnsi="Arial" w:cs="Arial"/>
                <w:color w:val="000000"/>
                <w:sz w:val="18"/>
                <w:szCs w:val="18"/>
              </w:rPr>
              <w:t>Segunda etapa del proyecto</w:t>
            </w:r>
          </w:p>
        </w:tc>
      </w:tr>
      <w:tr w:rsidR="0013518E" w14:paraId="70A9ADB7" w14:textId="77777777">
        <w:trPr>
          <w:cantSplit/>
        </w:trPr>
        <w:tc>
          <w:tcPr>
            <w:tcW w:w="1500" w:type="dxa"/>
            <w:shd w:val="clear" w:color="auto" w:fill="E8F0EE"/>
            <w:tcMar>
              <w:top w:w="80" w:type="dxa"/>
              <w:left w:w="100" w:type="dxa"/>
              <w:bottom w:w="80" w:type="dxa"/>
              <w:right w:w="100" w:type="dxa"/>
            </w:tcMar>
          </w:tcPr>
          <w:p w14:paraId="53F5ADBB" w14:textId="77777777" w:rsidR="0013518E" w:rsidRDefault="00B900B3">
            <w:pPr>
              <w:rPr>
                <w:rFonts w:ascii="Arial" w:hAnsi="Arial" w:cs="Arial"/>
              </w:rPr>
            </w:pPr>
            <w:r>
              <w:rPr>
                <w:rFonts w:ascii="Arial" w:hAnsi="Arial" w:cs="Arial"/>
                <w:b/>
                <w:bCs/>
                <w:color w:val="000000"/>
                <w:sz w:val="18"/>
                <w:szCs w:val="18"/>
              </w:rPr>
              <w:t>Prescriptiva</w:t>
            </w:r>
          </w:p>
        </w:tc>
        <w:tc>
          <w:tcPr>
            <w:tcW w:w="1500" w:type="dxa"/>
            <w:tcMar>
              <w:top w:w="80" w:type="dxa"/>
              <w:left w:w="100" w:type="dxa"/>
              <w:bottom w:w="80" w:type="dxa"/>
              <w:right w:w="100" w:type="dxa"/>
            </w:tcMar>
          </w:tcPr>
          <w:p w14:paraId="1316C0F1" w14:textId="77777777" w:rsidR="0013518E" w:rsidRDefault="00B900B3">
            <w:pPr>
              <w:rPr>
                <w:rFonts w:ascii="Arial" w:hAnsi="Arial" w:cs="Arial"/>
              </w:rPr>
            </w:pPr>
            <w:r>
              <w:rPr>
                <w:rFonts w:ascii="Arial" w:hAnsi="Arial" w:cs="Arial"/>
                <w:color w:val="000000"/>
                <w:sz w:val="18"/>
                <w:szCs w:val="18"/>
              </w:rPr>
              <w:t>¿Qué hacer?</w:t>
            </w:r>
          </w:p>
        </w:tc>
        <w:tc>
          <w:tcPr>
            <w:tcW w:w="4138" w:type="dxa"/>
            <w:tcMar>
              <w:top w:w="80" w:type="dxa"/>
              <w:left w:w="100" w:type="dxa"/>
              <w:bottom w:w="80" w:type="dxa"/>
              <w:right w:w="100" w:type="dxa"/>
            </w:tcMar>
          </w:tcPr>
          <w:p w14:paraId="6AF4A781" w14:textId="77777777" w:rsidR="0013518E" w:rsidRDefault="00B900B3">
            <w:pPr>
              <w:rPr>
                <w:rFonts w:ascii="Arial" w:hAnsi="Arial" w:cs="Arial"/>
              </w:rPr>
            </w:pPr>
            <w:r>
              <w:rPr>
                <w:rFonts w:ascii="Arial" w:hAnsi="Arial" w:cs="Arial"/>
                <w:color w:val="000000"/>
                <w:sz w:val="18"/>
                <w:szCs w:val="18"/>
              </w:rPr>
              <w:t>Reasignar a un consultor con baja ocupación al proyecto en desviación y adelantar una contratación.</w:t>
            </w:r>
          </w:p>
        </w:tc>
        <w:tc>
          <w:tcPr>
            <w:tcW w:w="2500" w:type="dxa"/>
            <w:tcMar>
              <w:top w:w="80" w:type="dxa"/>
              <w:left w:w="100" w:type="dxa"/>
              <w:bottom w:w="80" w:type="dxa"/>
              <w:right w:w="100" w:type="dxa"/>
            </w:tcMar>
          </w:tcPr>
          <w:p w14:paraId="46CAE46B" w14:textId="77777777" w:rsidR="0013518E" w:rsidRDefault="00B900B3">
            <w:pPr>
              <w:rPr>
                <w:rFonts w:ascii="Arial" w:hAnsi="Arial" w:cs="Arial"/>
              </w:rPr>
            </w:pPr>
            <w:r>
              <w:rPr>
                <w:rFonts w:ascii="Arial" w:hAnsi="Arial" w:cs="Arial"/>
                <w:color w:val="000000"/>
                <w:sz w:val="18"/>
                <w:szCs w:val="18"/>
              </w:rPr>
              <w:t>Visión a medio plazo</w:t>
            </w:r>
          </w:p>
        </w:tc>
      </w:tr>
    </w:tbl>
    <w:p w14:paraId="387A454F" w14:textId="77777777" w:rsidR="0013518E" w:rsidRDefault="0013518E">
      <w:pPr>
        <w:spacing w:after="120"/>
      </w:pPr>
    </w:p>
    <w:p w14:paraId="06ADECD8" w14:textId="0FEA04DB" w:rsidR="00D531A0" w:rsidRDefault="00B900B3" w:rsidP="00707608">
      <w:pPr>
        <w:spacing w:after="200" w:line="360" w:lineRule="auto"/>
        <w:jc w:val="both"/>
      </w:pPr>
      <w:r>
        <w:rPr>
          <w:b/>
          <w:bCs/>
          <w:color w:val="1C7A5E"/>
          <w:sz w:val="26"/>
          <w:szCs w:val="26"/>
        </w:rPr>
        <w:t>1.2. Departamentos y áreas funcionales</w:t>
      </w:r>
      <w:bookmarkEnd w:id="9"/>
    </w:p>
    <w:p w14:paraId="06ADECD9" w14:textId="4DD6647A" w:rsidR="00D531A0" w:rsidRPr="00707608" w:rsidRDefault="00B900B3">
      <w:pPr>
        <w:spacing w:after="200" w:line="360" w:lineRule="auto"/>
        <w:jc w:val="both"/>
        <w:rPr>
          <w:rFonts w:ascii="Arial" w:hAnsi="Arial" w:cs="Arial"/>
        </w:rPr>
      </w:pPr>
      <w:r>
        <w:rPr>
          <w:rFonts w:ascii="Arial" w:hAnsi="Arial" w:cs="Arial"/>
        </w:rPr>
        <w:t>A continuación, se describen los siete departamentos o áreas funcionales en las que se organiza DataPyme Consulting. Para cada uno de ellos se detallan sus funciones principales, los indicadores clave (KPI) que utiliza para tomar decisiones, y las herramientas o aplicaciones que emplea para gestionar y analizar sus datos.</w:t>
      </w:r>
    </w:p>
    <w:p w14:paraId="06ADECDA" w14:textId="77777777" w:rsidR="00D531A0" w:rsidRDefault="00B900B3">
      <w:pPr>
        <w:pStyle w:val="Ttulo3"/>
        <w:spacing w:before="220" w:after="120"/>
      </w:pPr>
      <w:bookmarkStart w:id="11" w:name="_Toc241477539"/>
      <w:r>
        <w:rPr>
          <w:b/>
          <w:bCs/>
          <w:color w:val="0D3B4F"/>
          <w:sz w:val="23"/>
          <w:szCs w:val="23"/>
        </w:rPr>
        <w:t>Dirección General / Gerencia</w:t>
      </w:r>
      <w:bookmarkEnd w:id="11"/>
    </w:p>
    <w:p w14:paraId="06ADECDB" w14:textId="3DD53C70" w:rsidR="00D531A0" w:rsidRPr="00707608" w:rsidRDefault="00B900B3">
      <w:pPr>
        <w:spacing w:after="200" w:line="360" w:lineRule="auto"/>
        <w:jc w:val="both"/>
        <w:rPr>
          <w:rFonts w:ascii="Arial" w:hAnsi="Arial" w:cs="Arial"/>
        </w:rPr>
      </w:pPr>
      <w:r>
        <w:rPr>
          <w:rFonts w:ascii="Arial" w:hAnsi="Arial" w:cs="Arial"/>
        </w:rPr>
        <w:t>Es el órgano de gobierno de la empresa, formado por los tres socios fundadores. Se encarga de fijar la visión y la estrategia a largo plazo, aprobar los presupuestos anuales, decidir sobre nuevas líneas de servicio y supervisar la evolución global del negocio. Es el principal consumidor de la información agregada que producen el resto de los departamentos, y el responsable último de que la cultura Data-Driven se extienda a toda la organización. Se reúne semanalmente en un comité de dirección donde revisa el cuadro de mando ejecutivo, y mensualmente en un comité ampliado con los responsables de cada área para contrastar la evolución de los indicadores tácticos con la estrategia definida.</w:t>
      </w:r>
    </w:p>
    <w:p w14:paraId="06ADECDC" w14:textId="77777777" w:rsidR="00D531A0" w:rsidRPr="00707608" w:rsidRDefault="00B900B3">
      <w:pPr>
        <w:spacing w:after="200" w:line="360" w:lineRule="auto"/>
        <w:jc w:val="both"/>
        <w:rPr>
          <w:rFonts w:ascii="Arial" w:hAnsi="Arial" w:cs="Arial"/>
        </w:rPr>
      </w:pPr>
      <w:r>
        <w:rPr>
          <w:rFonts w:ascii="Arial" w:hAnsi="Arial" w:cs="Arial"/>
        </w:rPr>
        <w:t>Para tomar decisiones, este departamento se apoya principalmente en los siguientes indicadores: evolución de la facturación total y por línea de servicio, eBITDA y margen neto, cuota de mercado en el territorio de actuación, grado de cumplimiento del plan estratégico anual y nivel de satisfacción global de los clientes (NPS agregado). Estos datos le permiten evaluar su rendimiento de forma objetiva y detectar a tiempo las desviaciones respecto a los objetivos marcados.</w:t>
      </w:r>
    </w:p>
    <w:p w14:paraId="06ADECDD" w14:textId="77777777" w:rsidR="00D531A0" w:rsidRPr="00707608" w:rsidRDefault="00B900B3">
      <w:pPr>
        <w:spacing w:after="200" w:line="360" w:lineRule="auto"/>
        <w:jc w:val="both"/>
        <w:rPr>
          <w:rFonts w:ascii="Arial" w:hAnsi="Arial" w:cs="Arial"/>
        </w:rPr>
      </w:pPr>
      <w:r>
        <w:rPr>
          <w:rFonts w:ascii="Arial" w:hAnsi="Arial" w:cs="Arial"/>
        </w:rPr>
        <w:lastRenderedPageBreak/>
        <w:t>Para gestionar y analizar esta información utiliza herramientas como power BI (cuadro de mando ejecutivo), software de contabilidad y gestión financiera (Holded) y actas y OKR en Notion, que le permiten recopilar los datos en el momento en que se generan y compartirlos con el resto de la organización.</w:t>
      </w:r>
    </w:p>
    <w:p w14:paraId="06ADECDE" w14:textId="77777777" w:rsidR="00D531A0" w:rsidRDefault="00B900B3">
      <w:pPr>
        <w:pStyle w:val="Ttulo3"/>
        <w:spacing w:before="220" w:after="120"/>
      </w:pPr>
      <w:bookmarkStart w:id="12" w:name="_Toc241477540"/>
      <w:r>
        <w:rPr>
          <w:b/>
          <w:bCs/>
          <w:color w:val="0D3B4F"/>
          <w:sz w:val="23"/>
          <w:szCs w:val="23"/>
        </w:rPr>
        <w:t>Comercial y Desarrollo de Negocio</w:t>
      </w:r>
      <w:bookmarkEnd w:id="12"/>
    </w:p>
    <w:p w14:paraId="06ADECDF" w14:textId="02E396F9" w:rsidR="00D531A0" w:rsidRPr="00707608" w:rsidRDefault="00B900B3">
      <w:pPr>
        <w:spacing w:after="200" w:line="360" w:lineRule="auto"/>
        <w:jc w:val="both"/>
        <w:rPr>
          <w:rFonts w:ascii="Arial" w:hAnsi="Arial" w:cs="Arial"/>
        </w:rPr>
      </w:pPr>
      <w:r>
        <w:rPr>
          <w:rFonts w:ascii="Arial" w:hAnsi="Arial" w:cs="Arial"/>
        </w:rPr>
        <w:t>Responsable de captar nuevos clientes, gestionar la cartera de oportunidades comerciales y negociar y cerrar los contratos de consultoría. Trabaja de manera muy estrecha con el departamento de Consultoría y Proyectos, al que traslada los requisitos de cada cliente antes del inicio de cada proyecto, y con Marketing, del que recibe los contactos generados (leads). Está compuesto por dos personas: un responsable comercial (nivel táctico) y un técnico de desarrollo de negocio que se encarga de la prospección telefónica y de la actualización diaria del CRM.</w:t>
      </w:r>
    </w:p>
    <w:p w14:paraId="06ADECE0" w14:textId="77777777" w:rsidR="00D531A0" w:rsidRPr="00707608" w:rsidRDefault="00B900B3">
      <w:pPr>
        <w:spacing w:after="200" w:line="360" w:lineRule="auto"/>
        <w:jc w:val="both"/>
        <w:rPr>
          <w:rFonts w:ascii="Arial" w:hAnsi="Arial" w:cs="Arial"/>
        </w:rPr>
      </w:pPr>
      <w:r>
        <w:rPr>
          <w:rFonts w:ascii="Arial" w:hAnsi="Arial" w:cs="Arial"/>
        </w:rPr>
        <w:t>Para tomar decisiones, este departamento se apoya principalmente en los siguientes indicadores: número de oportunidades comerciales abiertas y valor del pipeline, tasa de conversión de oportunidad a contrato firmado, ciclo medio de venta (días desde el primer contacto hasta la firma), ticket medio por proyecto y tasa de renovación de clientes recurrentes. Estos datos le permiten evaluar su rendimiento de forma objetiva y detectar a tiempo las desviaciones respecto a los objetivos marcados.</w:t>
      </w:r>
    </w:p>
    <w:p w14:paraId="06ADECE1" w14:textId="77777777" w:rsidR="00D531A0" w:rsidRPr="00707608" w:rsidRDefault="00B900B3">
      <w:pPr>
        <w:spacing w:after="200" w:line="360" w:lineRule="auto"/>
        <w:jc w:val="both"/>
        <w:rPr>
          <w:rFonts w:ascii="Arial" w:hAnsi="Arial" w:cs="Arial"/>
        </w:rPr>
      </w:pPr>
      <w:r>
        <w:rPr>
          <w:rFonts w:ascii="Arial" w:hAnsi="Arial" w:cs="Arial"/>
        </w:rPr>
        <w:t>Para gestionar y analizar esta información utiliza herramientas como cRM HubSpot (gestión de oportunidades y contactos), plantillas de propuestas en PandaDoc y hojas de cálculo compartidas para el seguimiento de comisiones, que le permiten recopilar los datos en el momento en que se generan y compartirlos con el resto de la organización.</w:t>
      </w:r>
    </w:p>
    <w:p w14:paraId="06ADECE2" w14:textId="77777777" w:rsidR="00D531A0" w:rsidRDefault="00B900B3">
      <w:pPr>
        <w:pStyle w:val="Ttulo3"/>
        <w:spacing w:before="220" w:after="120"/>
      </w:pPr>
      <w:bookmarkStart w:id="13" w:name="_Toc241477541"/>
      <w:r>
        <w:rPr>
          <w:b/>
          <w:bCs/>
          <w:color w:val="0D3B4F"/>
          <w:sz w:val="23"/>
          <w:szCs w:val="23"/>
        </w:rPr>
        <w:t>Consultoría y Proyectos (Delivery)</w:t>
      </w:r>
      <w:bookmarkEnd w:id="13"/>
    </w:p>
    <w:p w14:paraId="06ADECE3" w14:textId="47C9273F" w:rsidR="00D531A0" w:rsidRPr="001956EA" w:rsidRDefault="008D415E">
      <w:pPr>
        <w:spacing w:after="200" w:line="360" w:lineRule="auto"/>
        <w:jc w:val="both"/>
        <w:rPr>
          <w:rFonts w:ascii="Arial" w:hAnsi="Arial" w:cs="Arial"/>
        </w:rPr>
      </w:pPr>
      <w:r>
        <w:rPr>
          <w:rFonts w:ascii="Arial" w:hAnsi="Arial" w:cs="Arial"/>
        </w:rPr>
        <w:t>Es el área central de la empresa, formada por consultores de negocio y profesionales especializados en análisis y ciencia de datos, encargados de desarrollar los proyectos solicitados por los clientes, como diagnósticos de madurez digital, diseño de cuadros de mando, implantación de indicadores y formación. De su buen funcionamiento depende directamente la calidad percibida por el cliente y la rentabilidad de cada proyecto. Es, con diferencia, el departamento con más personas , ocho de las catorce que forman la plantilla, organizadas en equipos de dos o tres personas por proyecto bajo la coordinación de un/a responsable de proyecto.</w:t>
      </w:r>
    </w:p>
    <w:p w14:paraId="06ADECE4" w14:textId="3403E2ED" w:rsidR="00D531A0" w:rsidRPr="001956EA" w:rsidRDefault="00B900B3">
      <w:pPr>
        <w:spacing w:after="200" w:line="360" w:lineRule="auto"/>
        <w:jc w:val="both"/>
        <w:rPr>
          <w:rFonts w:ascii="Arial" w:hAnsi="Arial" w:cs="Arial"/>
        </w:rPr>
      </w:pPr>
      <w:r>
        <w:rPr>
          <w:rFonts w:ascii="Arial" w:hAnsi="Arial" w:cs="Arial"/>
        </w:rPr>
        <w:t xml:space="preserve">Para tomar decisiones, este departamento se apoya principalmente en los siguientes indicadores: tasa de ocupación de los consultores, rentabilidad por proyecto, grado de cumplimiento de plazos por hito, número de entregables completados frente a planificados y satisfacción del cliente al cierre del proyecto. </w:t>
      </w:r>
    </w:p>
    <w:p w14:paraId="06ADECE5" w14:textId="77777777" w:rsidR="00D531A0" w:rsidRDefault="00B900B3">
      <w:pPr>
        <w:spacing w:after="200" w:line="360" w:lineRule="auto"/>
        <w:jc w:val="both"/>
      </w:pPr>
      <w:r>
        <w:rPr>
          <w:rFonts w:ascii="Arial" w:hAnsi="Arial" w:cs="Arial"/>
        </w:rPr>
        <w:t xml:space="preserve">Para gestionar y analizar esta información utiliza herramientas como toggl / Clockify (registro de horas por proyecto), power BI y Python/SQL (análisis y modelado de datos del cliente), notion / </w:t>
      </w:r>
      <w:r>
        <w:rPr>
          <w:rFonts w:ascii="Arial" w:hAnsi="Arial" w:cs="Arial"/>
        </w:rPr>
        <w:lastRenderedPageBreak/>
        <w:t>Confluence (documentación de cada proyecto) y microsoft Teams (coordinación de equipos de proyecto), que le permiten recopilar los datos en el momento en que se generan y compartirlos con el resto de la organización</w:t>
      </w:r>
      <w:r>
        <w:t>.</w:t>
      </w:r>
    </w:p>
    <w:p w14:paraId="06ADECE6" w14:textId="77777777" w:rsidR="00D531A0" w:rsidRDefault="00B900B3">
      <w:pPr>
        <w:pStyle w:val="Ttulo3"/>
        <w:spacing w:before="220" w:after="120"/>
      </w:pPr>
      <w:bookmarkStart w:id="14" w:name="_Toc241477542"/>
      <w:r>
        <w:rPr>
          <w:b/>
          <w:bCs/>
          <w:color w:val="0D3B4F"/>
          <w:sz w:val="23"/>
          <w:szCs w:val="23"/>
        </w:rPr>
        <w:t>Marketing y Comunicación</w:t>
      </w:r>
      <w:bookmarkEnd w:id="14"/>
    </w:p>
    <w:p w14:paraId="06ADECE7" w14:textId="77777777" w:rsidR="00D531A0" w:rsidRPr="008D415E" w:rsidRDefault="00B900B3">
      <w:pPr>
        <w:spacing w:after="200" w:line="360" w:lineRule="auto"/>
        <w:jc w:val="both"/>
        <w:rPr>
          <w:rFonts w:ascii="Arial" w:hAnsi="Arial" w:cs="Arial"/>
        </w:rPr>
      </w:pPr>
      <w:r>
        <w:rPr>
          <w:rFonts w:ascii="Arial" w:hAnsi="Arial" w:cs="Arial"/>
        </w:rPr>
        <w:t>Diseña y ejecuta las acciones necesarias para dar visibilidad a la marca DataPyme Consulting y generar contactos comerciales cualificados (leads). Gestiona la presencia en redes sociales, el blog corporativo, los webinars y la participación en ferias y jornadas del sector, y mide de forma continua el retorno de cada acción para reorientar el presupuesto hacia los canales más eficientes. Está formado por una única persona (nivel operativo) que reporta directamente a Dirección General y que colabora estrechamente con el departamento Comercial en el diseño de los materiales de venta.</w:t>
      </w:r>
    </w:p>
    <w:p w14:paraId="06ADECE8" w14:textId="77777777" w:rsidR="00D531A0" w:rsidRPr="008D415E" w:rsidRDefault="00B900B3">
      <w:pPr>
        <w:spacing w:after="200" w:line="360" w:lineRule="auto"/>
        <w:jc w:val="both"/>
        <w:rPr>
          <w:rFonts w:ascii="Arial" w:hAnsi="Arial" w:cs="Arial"/>
        </w:rPr>
      </w:pPr>
      <w:r>
        <w:rPr>
          <w:rFonts w:ascii="Arial" w:hAnsi="Arial" w:cs="Arial"/>
        </w:rPr>
        <w:t>Para tomar decisiones, este departamento se apoya principalmente en los siguientes indicadores: número de leads cualificados generados por canal, coste de adquisición de cliente (CAC), tasa de apertura y clics de las campañas de email marketing, tráfico web y tasa de conversión de la página de contacto y alcance e interacción en redes sociales profesionales (LinkedIn). Estos datos le permiten evaluar su rendimiento de forma objetiva y detectar a tiempo las desviaciones respecto a los objetivos marcados.</w:t>
      </w:r>
    </w:p>
    <w:p w14:paraId="06ADECE9" w14:textId="77777777" w:rsidR="00D531A0" w:rsidRPr="008D415E" w:rsidRDefault="00B900B3">
      <w:pPr>
        <w:spacing w:after="200" w:line="360" w:lineRule="auto"/>
        <w:jc w:val="both"/>
        <w:rPr>
          <w:rFonts w:ascii="Arial" w:hAnsi="Arial" w:cs="Arial"/>
        </w:rPr>
      </w:pPr>
      <w:r>
        <w:rPr>
          <w:rFonts w:ascii="Arial" w:hAnsi="Arial" w:cs="Arial"/>
        </w:rPr>
        <w:t>Para gestionar y analizar esta información utiliza herramientas como hubSpot Marketing (automatización y email marketing), google Analytics (analítica web), linkedIn Campaign Manager y canva / Adobe Express (materiales gráficos), que le permiten recopilar los datos en el momento en que se generan y compartirlos con el resto de la organización.</w:t>
      </w:r>
    </w:p>
    <w:p w14:paraId="06ADECEA" w14:textId="77777777" w:rsidR="00D531A0" w:rsidRDefault="00B900B3">
      <w:pPr>
        <w:pStyle w:val="Ttulo3"/>
        <w:spacing w:before="220" w:after="120"/>
      </w:pPr>
      <w:bookmarkStart w:id="15" w:name="_Toc241477543"/>
      <w:r>
        <w:rPr>
          <w:b/>
          <w:bCs/>
          <w:color w:val="0D3B4F"/>
          <w:sz w:val="23"/>
          <w:szCs w:val="23"/>
        </w:rPr>
        <w:t>Administración, Finanzas y Contabilidad</w:t>
      </w:r>
      <w:bookmarkEnd w:id="15"/>
    </w:p>
    <w:p w14:paraId="06ADECEB" w14:textId="77777777" w:rsidR="00D531A0" w:rsidRPr="00CA7D2F" w:rsidRDefault="00B900B3">
      <w:pPr>
        <w:spacing w:after="200" w:line="360" w:lineRule="auto"/>
        <w:jc w:val="both"/>
        <w:rPr>
          <w:rFonts w:ascii="Arial" w:hAnsi="Arial" w:cs="Arial"/>
        </w:rPr>
      </w:pPr>
      <w:r>
        <w:rPr>
          <w:rFonts w:ascii="Arial" w:hAnsi="Arial" w:cs="Arial"/>
        </w:rPr>
        <w:t>Gestiona la facturación a clientes, el control de gastos, la tesorería, las nóminas y el cumplimiento de las obligaciones fiscales y contables de la sociedad. Proporciona a Dirección General los datos financieros necesarios para la toma de decisiones estratégicas y colabora con Consultoría y Proyectos en el cálculo de la rentabilidad real de cada proyecto. Está formado por una persona a tiempo completo (nivel operativo/táctico) que se apoya en una gestoría externa para las obligaciones fiscales de mayor complejidad, como el Impuesto de Sociedades.</w:t>
      </w:r>
    </w:p>
    <w:p w14:paraId="06ADECEC" w14:textId="77777777" w:rsidR="00D531A0" w:rsidRPr="00CA7D2F" w:rsidRDefault="00B900B3">
      <w:pPr>
        <w:spacing w:after="200" w:line="360" w:lineRule="auto"/>
        <w:jc w:val="both"/>
        <w:rPr>
          <w:rFonts w:ascii="Arial" w:hAnsi="Arial" w:cs="Arial"/>
        </w:rPr>
      </w:pPr>
      <w:r>
        <w:rPr>
          <w:rFonts w:ascii="Arial" w:hAnsi="Arial" w:cs="Arial"/>
        </w:rPr>
        <w:t>Para tomar decisiones, este departamento se apoya principalmente en los siguientes indicadores: días medios de cobro (DSO) y de pago a proveedores, liquidez y tesorería disponible, desviación entre presupuesto y gasto real, margen bruto y neto por línea de negocio y cumplimiento de plazos fiscales y contables. Estos datos le permiten evaluar su rendimiento de forma objetiva y detectar a tiempo las desviaciones respecto a los objetivos marcados.</w:t>
      </w:r>
    </w:p>
    <w:p w14:paraId="06ADECED" w14:textId="77777777" w:rsidR="00D531A0" w:rsidRPr="00CA7D2F" w:rsidRDefault="00B900B3">
      <w:pPr>
        <w:spacing w:after="200" w:line="360" w:lineRule="auto"/>
        <w:jc w:val="both"/>
        <w:rPr>
          <w:rFonts w:ascii="Arial" w:hAnsi="Arial" w:cs="Arial"/>
        </w:rPr>
      </w:pPr>
      <w:r>
        <w:rPr>
          <w:rFonts w:ascii="Arial" w:hAnsi="Arial" w:cs="Arial"/>
        </w:rPr>
        <w:t xml:space="preserve">Para gestionar y analizar esta información utiliza herramientas como holded (facturación, contabilidad y tesorería), a3 Nómina (gestión de nóminas) y excel / Google Sheets para cuadros de </w:t>
      </w:r>
      <w:r>
        <w:rPr>
          <w:rFonts w:ascii="Arial" w:hAnsi="Arial" w:cs="Arial"/>
        </w:rPr>
        <w:lastRenderedPageBreak/>
        <w:t>control puntuales, que le permiten recopilar los datos en el momento en que se generan y compartirlos con el resto de la organización.</w:t>
      </w:r>
    </w:p>
    <w:p w14:paraId="06ADECEE" w14:textId="77777777" w:rsidR="00D531A0" w:rsidRDefault="00B900B3">
      <w:pPr>
        <w:pStyle w:val="Ttulo3"/>
        <w:spacing w:before="220" w:after="120"/>
      </w:pPr>
      <w:bookmarkStart w:id="16" w:name="_Toc241477544"/>
      <w:r>
        <w:rPr>
          <w:b/>
          <w:bCs/>
          <w:color w:val="0D3B4F"/>
          <w:sz w:val="23"/>
          <w:szCs w:val="23"/>
        </w:rPr>
        <w:t>Recursos Humanos y Talento</w:t>
      </w:r>
      <w:bookmarkEnd w:id="16"/>
    </w:p>
    <w:p w14:paraId="06ADECEF" w14:textId="77777777" w:rsidR="00D531A0" w:rsidRPr="00CA7D2F" w:rsidRDefault="00B900B3">
      <w:pPr>
        <w:spacing w:after="200" w:line="360" w:lineRule="auto"/>
        <w:jc w:val="both"/>
        <w:rPr>
          <w:rFonts w:ascii="Arial" w:hAnsi="Arial" w:cs="Arial"/>
        </w:rPr>
      </w:pPr>
      <w:r>
        <w:rPr>
          <w:rFonts w:ascii="Arial" w:hAnsi="Arial" w:cs="Arial"/>
        </w:rPr>
        <w:t>Se ocupa de la selección, incorporación, formación continua y retención de un equipo con perfiles muy demandados en el mercado, como analistas de datos o consultores senior. Dado que el principal activo de una consultora es el conocimiento de sus profesionales, este departamento presta especial atención a la formación y al clima laboral. Es una función compartida por Dirección General y por un/a responsable de personas a tiempo parcial, dado el tamaño todavía reducido de la plantilla, aunque está previsto que se convierta en una posición a tiempo completo en el próximo ejercicio.</w:t>
      </w:r>
    </w:p>
    <w:p w14:paraId="06ADECF0" w14:textId="77777777" w:rsidR="00D531A0" w:rsidRPr="00CA7D2F" w:rsidRDefault="00B900B3">
      <w:pPr>
        <w:spacing w:after="200" w:line="360" w:lineRule="auto"/>
        <w:jc w:val="both"/>
        <w:rPr>
          <w:rFonts w:ascii="Arial" w:hAnsi="Arial" w:cs="Arial"/>
        </w:rPr>
      </w:pPr>
      <w:r>
        <w:rPr>
          <w:rFonts w:ascii="Arial" w:hAnsi="Arial" w:cs="Arial"/>
        </w:rPr>
        <w:t>Para tomar decisiones, este departamento se apoya principalmente en los siguientes indicadores: tasa de rotación voluntaria del personal, tiempo medio de cobertura de una vacante, horas de formación por empleado y año, resultado de la encuesta anual de clima laboral y coste medio de contratación por perfil. Estos datos le permiten evaluar su rendimiento de forma objetiva y detectar a tiempo las desviaciones respecto a los objetivos marcados.</w:t>
      </w:r>
    </w:p>
    <w:p w14:paraId="06ADECF1" w14:textId="77777777" w:rsidR="00D531A0" w:rsidRPr="00CA7D2F" w:rsidRDefault="00B900B3">
      <w:pPr>
        <w:spacing w:after="200" w:line="360" w:lineRule="auto"/>
        <w:jc w:val="both"/>
        <w:rPr>
          <w:rFonts w:ascii="Arial" w:hAnsi="Arial" w:cs="Arial"/>
        </w:rPr>
      </w:pPr>
      <w:r>
        <w:rPr>
          <w:rFonts w:ascii="Arial" w:hAnsi="Arial" w:cs="Arial"/>
        </w:rPr>
        <w:t>Para gestionar y analizar esta información utiliza herramientas como factorial HR (gestión de personal, ausencias y evaluación del desempeño), linkedIn Recruiter (captación de talento) y google Forms (encuestas internas de clima), que le permiten recopilar los datos en el momento en que se generan y compartirlos con el resto de la organización.</w:t>
      </w:r>
    </w:p>
    <w:p w14:paraId="06ADECF2" w14:textId="77777777" w:rsidR="00D531A0" w:rsidRDefault="00B900B3">
      <w:pPr>
        <w:pStyle w:val="Ttulo3"/>
        <w:spacing w:before="220" w:after="120"/>
      </w:pPr>
      <w:bookmarkStart w:id="17" w:name="_Toc241477545"/>
      <w:r>
        <w:rPr>
          <w:b/>
          <w:bCs/>
          <w:color w:val="0D3B4F"/>
          <w:sz w:val="23"/>
          <w:szCs w:val="23"/>
        </w:rPr>
        <w:t>Sistemas e IT (Soporte interno)</w:t>
      </w:r>
      <w:bookmarkEnd w:id="17"/>
    </w:p>
    <w:p w14:paraId="06ADECF3" w14:textId="77777777" w:rsidR="00D531A0" w:rsidRPr="00C0455A" w:rsidRDefault="00B900B3">
      <w:pPr>
        <w:spacing w:after="200" w:line="360" w:lineRule="auto"/>
        <w:jc w:val="both"/>
        <w:rPr>
          <w:rFonts w:ascii="Arial" w:hAnsi="Arial" w:cs="Arial"/>
        </w:rPr>
      </w:pPr>
      <w:r>
        <w:rPr>
          <w:rFonts w:ascii="Arial" w:hAnsi="Arial" w:cs="Arial"/>
        </w:rPr>
        <w:t>Aunque DataPyme Consulting es una empresa de servicios y no de producto tecnológico, dispone de un pequeño equipo de sistemas que mantiene la infraestructura interna: puestos de trabajo, copias de seguridad, ciberseguridad básica y, sobre todo, la integración entre las distintas aplicaciones (CRM, control horario, contabilidad) que alimentan el sistema de información de la empresa. Es también el departamento responsable, junto con Dirección General, de liderar el proyecto Data-Driven interno que se desarrolla en el segundo bloque de este trabajo.</w:t>
      </w:r>
    </w:p>
    <w:p w14:paraId="06ADECF4" w14:textId="77777777" w:rsidR="00D531A0" w:rsidRPr="00C0455A" w:rsidRDefault="00B900B3">
      <w:pPr>
        <w:spacing w:after="200" w:line="360" w:lineRule="auto"/>
        <w:jc w:val="both"/>
        <w:rPr>
          <w:rFonts w:ascii="Arial" w:hAnsi="Arial" w:cs="Arial"/>
        </w:rPr>
      </w:pPr>
      <w:r>
        <w:rPr>
          <w:rFonts w:ascii="Arial" w:hAnsi="Arial" w:cs="Arial"/>
        </w:rPr>
        <w:t>Para tomar decisiones, este departamento se apoya principalmente en los siguientes indicadores: tiempo medio de resolución de incidencias internas, porcentaje de disponibilidad (uptime) de los sistemas críticos, número de integraciones automatizadas activas entre aplicaciones y incidencias de seguridad detectadas y resueltas. Estos datos le permiten evaluar su rendimiento de forma objetiva y detectar a tiempo las desviaciones respecto a los objetivos marcados.</w:t>
      </w:r>
    </w:p>
    <w:p w14:paraId="06ADECF5" w14:textId="77777777" w:rsidR="00D531A0" w:rsidRPr="00C0455A" w:rsidRDefault="00B900B3">
      <w:pPr>
        <w:spacing w:after="200" w:line="360" w:lineRule="auto"/>
        <w:jc w:val="both"/>
        <w:rPr>
          <w:rFonts w:ascii="Arial" w:hAnsi="Arial" w:cs="Arial"/>
        </w:rPr>
      </w:pPr>
      <w:r>
        <w:rPr>
          <w:rFonts w:ascii="Arial" w:hAnsi="Arial" w:cs="Arial"/>
        </w:rPr>
        <w:t>Para gestionar y analizar esta información utiliza herramientas como power Automate / Zapier (integración y automatización de flujos de datos), google Workspace (correo, almacenamiento y colaboración) y antivirus y copia de seguridad en la nube (Microsoft 365 Backup), que le permiten recopilar los datos en el momento en que se generan y compartirlos con el resto de la organización.</w:t>
      </w:r>
    </w:p>
    <w:p w14:paraId="45C1BD0B" w14:textId="77777777" w:rsidR="0013518E" w:rsidRDefault="00B900B3">
      <w:pPr>
        <w:pStyle w:val="Ttulo3"/>
        <w:keepNext/>
        <w:spacing w:before="220" w:after="120"/>
      </w:pPr>
      <w:bookmarkStart w:id="18" w:name="_Toc91002"/>
      <w:r>
        <w:rPr>
          <w:b/>
          <w:bCs/>
          <w:color w:val="0D3B4F"/>
          <w:sz w:val="23"/>
          <w:szCs w:val="23"/>
        </w:rPr>
        <w:lastRenderedPageBreak/>
        <w:t>Métricas accionables frente a métricas de vanidad</w:t>
      </w:r>
      <w:bookmarkEnd w:id="18"/>
    </w:p>
    <w:p w14:paraId="347E2491" w14:textId="77777777" w:rsidR="0013518E" w:rsidRDefault="00B900B3">
      <w:pPr>
        <w:spacing w:after="200" w:line="360" w:lineRule="auto"/>
        <w:jc w:val="both"/>
        <w:rPr>
          <w:rFonts w:ascii="Arial" w:hAnsi="Arial" w:cs="Arial"/>
        </w:rPr>
      </w:pPr>
      <w:r>
        <w:rPr>
          <w:rFonts w:ascii="Arial" w:hAnsi="Arial" w:cs="Arial"/>
        </w:rPr>
        <w:t>Un indicador solo es útil si cambia una decisión. Por ello, DataPyme Consulting distingue entre métricas de vanidad, que resultan llamativas pero no permiten actuar, y métricas accionables, que dicen si el negocio es rentable y qué hay que corregir. Los KPI descritos en cada departamento se han elegido siguiendo este criterio, tal y como resume la siguiente tabla:</w:t>
      </w:r>
    </w:p>
    <w:p w14:paraId="664D92C9" w14:textId="77777777" w:rsidR="0013518E" w:rsidRDefault="00B900B3">
      <w:pPr>
        <w:keepNext/>
        <w:spacing w:before="200" w:after="100"/>
        <w:jc w:val="center"/>
      </w:pPr>
      <w:r>
        <w:rPr>
          <w:i/>
          <w:iCs/>
          <w:color w:val="555555"/>
          <w:sz w:val="20"/>
          <w:szCs w:val="20"/>
        </w:rPr>
        <w:t>Tabla 3. Métricas de vanidad y métricas accionables por departamento.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2350"/>
        <w:gridCol w:w="2900"/>
        <w:gridCol w:w="2688"/>
      </w:tblGrid>
      <w:tr w:rsidR="0013518E" w14:paraId="24E21C58" w14:textId="77777777">
        <w:trPr>
          <w:cantSplit/>
          <w:tblHeader/>
        </w:trPr>
        <w:tc>
          <w:tcPr>
            <w:tcW w:w="1700" w:type="dxa"/>
            <w:shd w:val="clear" w:color="auto" w:fill="0D3B4F"/>
            <w:tcMar>
              <w:top w:w="80" w:type="dxa"/>
              <w:left w:w="100" w:type="dxa"/>
              <w:bottom w:w="80" w:type="dxa"/>
              <w:right w:w="100" w:type="dxa"/>
            </w:tcMar>
          </w:tcPr>
          <w:p w14:paraId="49050721" w14:textId="77777777" w:rsidR="0013518E" w:rsidRDefault="00B900B3">
            <w:pPr>
              <w:keepNext/>
              <w:rPr>
                <w:rFonts w:ascii="Arial" w:hAnsi="Arial" w:cs="Arial"/>
              </w:rPr>
            </w:pPr>
            <w:r>
              <w:rPr>
                <w:rFonts w:ascii="Arial" w:hAnsi="Arial" w:cs="Arial"/>
                <w:b/>
                <w:bCs/>
                <w:color w:val="FFFFFF"/>
                <w:sz w:val="18"/>
                <w:szCs w:val="18"/>
              </w:rPr>
              <w:t>Departamento</w:t>
            </w:r>
          </w:p>
        </w:tc>
        <w:tc>
          <w:tcPr>
            <w:tcW w:w="2350" w:type="dxa"/>
            <w:shd w:val="clear" w:color="auto" w:fill="0D3B4F"/>
            <w:tcMar>
              <w:top w:w="80" w:type="dxa"/>
              <w:left w:w="100" w:type="dxa"/>
              <w:bottom w:w="80" w:type="dxa"/>
              <w:right w:w="100" w:type="dxa"/>
            </w:tcMar>
          </w:tcPr>
          <w:p w14:paraId="60EF5C38" w14:textId="77777777" w:rsidR="0013518E" w:rsidRDefault="00B900B3">
            <w:pPr>
              <w:keepNext/>
              <w:rPr>
                <w:rFonts w:ascii="Arial" w:hAnsi="Arial" w:cs="Arial"/>
              </w:rPr>
            </w:pPr>
            <w:r>
              <w:rPr>
                <w:rFonts w:ascii="Arial" w:hAnsi="Arial" w:cs="Arial"/>
                <w:b/>
                <w:bCs/>
                <w:color w:val="FFFFFF"/>
                <w:sz w:val="18"/>
                <w:szCs w:val="18"/>
              </w:rPr>
              <w:t>Métrica de vanidad</w:t>
            </w:r>
          </w:p>
        </w:tc>
        <w:tc>
          <w:tcPr>
            <w:tcW w:w="2900" w:type="dxa"/>
            <w:shd w:val="clear" w:color="auto" w:fill="0D3B4F"/>
            <w:tcMar>
              <w:top w:w="80" w:type="dxa"/>
              <w:left w:w="100" w:type="dxa"/>
              <w:bottom w:w="80" w:type="dxa"/>
              <w:right w:w="100" w:type="dxa"/>
            </w:tcMar>
          </w:tcPr>
          <w:p w14:paraId="59B1CB60" w14:textId="77777777" w:rsidR="0013518E" w:rsidRDefault="00B900B3">
            <w:pPr>
              <w:keepNext/>
              <w:rPr>
                <w:rFonts w:ascii="Arial" w:hAnsi="Arial" w:cs="Arial"/>
              </w:rPr>
            </w:pPr>
            <w:r>
              <w:rPr>
                <w:rFonts w:ascii="Arial" w:hAnsi="Arial" w:cs="Arial"/>
                <w:b/>
                <w:bCs/>
                <w:color w:val="FFFFFF"/>
                <w:sz w:val="18"/>
                <w:szCs w:val="18"/>
              </w:rPr>
              <w:t>Métrica accionable</w:t>
            </w:r>
          </w:p>
        </w:tc>
        <w:tc>
          <w:tcPr>
            <w:tcW w:w="2688" w:type="dxa"/>
            <w:shd w:val="clear" w:color="auto" w:fill="0D3B4F"/>
            <w:tcMar>
              <w:top w:w="80" w:type="dxa"/>
              <w:left w:w="100" w:type="dxa"/>
              <w:bottom w:w="80" w:type="dxa"/>
              <w:right w:w="100" w:type="dxa"/>
            </w:tcMar>
          </w:tcPr>
          <w:p w14:paraId="14D40575" w14:textId="77777777" w:rsidR="0013518E" w:rsidRDefault="00B900B3">
            <w:pPr>
              <w:keepNext/>
              <w:rPr>
                <w:rFonts w:ascii="Arial" w:hAnsi="Arial" w:cs="Arial"/>
              </w:rPr>
            </w:pPr>
            <w:r>
              <w:rPr>
                <w:rFonts w:ascii="Arial" w:hAnsi="Arial" w:cs="Arial"/>
                <w:b/>
                <w:bCs/>
                <w:color w:val="FFFFFF"/>
                <w:sz w:val="18"/>
                <w:szCs w:val="18"/>
              </w:rPr>
              <w:t>Por qué</w:t>
            </w:r>
          </w:p>
        </w:tc>
      </w:tr>
      <w:tr w:rsidR="0013518E" w14:paraId="0BA7E133" w14:textId="77777777">
        <w:trPr>
          <w:cantSplit/>
        </w:trPr>
        <w:tc>
          <w:tcPr>
            <w:tcW w:w="1700" w:type="dxa"/>
            <w:shd w:val="clear" w:color="auto" w:fill="E8F0EE"/>
            <w:tcMar>
              <w:top w:w="80" w:type="dxa"/>
              <w:left w:w="100" w:type="dxa"/>
              <w:bottom w:w="80" w:type="dxa"/>
              <w:right w:w="100" w:type="dxa"/>
            </w:tcMar>
          </w:tcPr>
          <w:p w14:paraId="11661059" w14:textId="77777777" w:rsidR="0013518E" w:rsidRDefault="00B900B3">
            <w:pPr>
              <w:keepNext/>
              <w:rPr>
                <w:rFonts w:ascii="Arial" w:hAnsi="Arial" w:cs="Arial"/>
              </w:rPr>
            </w:pPr>
            <w:r>
              <w:rPr>
                <w:rFonts w:ascii="Arial" w:hAnsi="Arial" w:cs="Arial"/>
                <w:b/>
                <w:bCs/>
                <w:color w:val="000000"/>
                <w:sz w:val="18"/>
                <w:szCs w:val="18"/>
              </w:rPr>
              <w:t>Marketing</w:t>
            </w:r>
          </w:p>
        </w:tc>
        <w:tc>
          <w:tcPr>
            <w:tcW w:w="2350" w:type="dxa"/>
            <w:tcMar>
              <w:top w:w="80" w:type="dxa"/>
              <w:left w:w="100" w:type="dxa"/>
              <w:bottom w:w="80" w:type="dxa"/>
              <w:right w:w="100" w:type="dxa"/>
            </w:tcMar>
          </w:tcPr>
          <w:p w14:paraId="138DD889" w14:textId="77777777" w:rsidR="0013518E" w:rsidRDefault="00B900B3">
            <w:pPr>
              <w:keepNext/>
              <w:rPr>
                <w:rFonts w:ascii="Arial" w:hAnsi="Arial" w:cs="Arial"/>
              </w:rPr>
            </w:pPr>
            <w:r>
              <w:rPr>
                <w:rFonts w:ascii="Arial" w:hAnsi="Arial" w:cs="Arial"/>
                <w:color w:val="000000"/>
                <w:sz w:val="18"/>
                <w:szCs w:val="18"/>
              </w:rPr>
              <w:t>Seguidores en LinkedIn y visitas totales a la web</w:t>
            </w:r>
          </w:p>
        </w:tc>
        <w:tc>
          <w:tcPr>
            <w:tcW w:w="2900" w:type="dxa"/>
            <w:tcMar>
              <w:top w:w="80" w:type="dxa"/>
              <w:left w:w="100" w:type="dxa"/>
              <w:bottom w:w="80" w:type="dxa"/>
              <w:right w:w="100" w:type="dxa"/>
            </w:tcMar>
          </w:tcPr>
          <w:p w14:paraId="43B8CE12" w14:textId="77777777" w:rsidR="0013518E" w:rsidRDefault="00B900B3">
            <w:pPr>
              <w:keepNext/>
              <w:rPr>
                <w:rFonts w:ascii="Arial" w:hAnsi="Arial" w:cs="Arial"/>
              </w:rPr>
            </w:pPr>
            <w:r>
              <w:rPr>
                <w:rFonts w:ascii="Arial" w:hAnsi="Arial" w:cs="Arial"/>
                <w:color w:val="000000"/>
                <w:sz w:val="18"/>
                <w:szCs w:val="18"/>
              </w:rPr>
              <w:t>Leads cualificados por canal y coste de adquisición de cliente (CAC)</w:t>
            </w:r>
          </w:p>
        </w:tc>
        <w:tc>
          <w:tcPr>
            <w:tcW w:w="2688" w:type="dxa"/>
            <w:tcMar>
              <w:top w:w="80" w:type="dxa"/>
              <w:left w:w="100" w:type="dxa"/>
              <w:bottom w:w="80" w:type="dxa"/>
              <w:right w:w="100" w:type="dxa"/>
            </w:tcMar>
          </w:tcPr>
          <w:p w14:paraId="23C65B43" w14:textId="77777777" w:rsidR="0013518E" w:rsidRDefault="00B900B3">
            <w:pPr>
              <w:keepNext/>
              <w:rPr>
                <w:rFonts w:ascii="Arial" w:hAnsi="Arial" w:cs="Arial"/>
              </w:rPr>
            </w:pPr>
            <w:r>
              <w:rPr>
                <w:rFonts w:ascii="Arial" w:hAnsi="Arial" w:cs="Arial"/>
                <w:color w:val="000000"/>
                <w:sz w:val="18"/>
                <w:szCs w:val="18"/>
              </w:rPr>
              <w:t>Un seguidor no es un cliente; el CAC dice si el presupuesto de marketing es rentable.</w:t>
            </w:r>
          </w:p>
        </w:tc>
      </w:tr>
      <w:tr w:rsidR="0013518E" w14:paraId="15D3250C" w14:textId="77777777">
        <w:trPr>
          <w:cantSplit/>
        </w:trPr>
        <w:tc>
          <w:tcPr>
            <w:tcW w:w="1700" w:type="dxa"/>
            <w:shd w:val="clear" w:color="auto" w:fill="E8F0EE"/>
            <w:tcMar>
              <w:top w:w="80" w:type="dxa"/>
              <w:left w:w="100" w:type="dxa"/>
              <w:bottom w:w="80" w:type="dxa"/>
              <w:right w:w="100" w:type="dxa"/>
            </w:tcMar>
          </w:tcPr>
          <w:p w14:paraId="42771C6C" w14:textId="77777777" w:rsidR="0013518E" w:rsidRDefault="00B900B3">
            <w:pPr>
              <w:rPr>
                <w:rFonts w:ascii="Arial" w:hAnsi="Arial" w:cs="Arial"/>
              </w:rPr>
            </w:pPr>
            <w:r>
              <w:rPr>
                <w:rFonts w:ascii="Arial" w:hAnsi="Arial" w:cs="Arial"/>
                <w:b/>
                <w:bCs/>
                <w:color w:val="000000"/>
                <w:sz w:val="18"/>
                <w:szCs w:val="18"/>
              </w:rPr>
              <w:t>Comercial</w:t>
            </w:r>
          </w:p>
        </w:tc>
        <w:tc>
          <w:tcPr>
            <w:tcW w:w="2350" w:type="dxa"/>
            <w:tcMar>
              <w:top w:w="80" w:type="dxa"/>
              <w:left w:w="100" w:type="dxa"/>
              <w:bottom w:w="80" w:type="dxa"/>
              <w:right w:w="100" w:type="dxa"/>
            </w:tcMar>
          </w:tcPr>
          <w:p w14:paraId="6E8A2C3B" w14:textId="77777777" w:rsidR="0013518E" w:rsidRDefault="00B900B3">
            <w:pPr>
              <w:rPr>
                <w:rFonts w:ascii="Arial" w:hAnsi="Arial" w:cs="Arial"/>
              </w:rPr>
            </w:pPr>
            <w:r>
              <w:rPr>
                <w:rFonts w:ascii="Arial" w:hAnsi="Arial" w:cs="Arial"/>
                <w:color w:val="000000"/>
                <w:sz w:val="18"/>
                <w:szCs w:val="18"/>
              </w:rPr>
              <w:t>Número de contactos y llamadas realizadas</w:t>
            </w:r>
          </w:p>
        </w:tc>
        <w:tc>
          <w:tcPr>
            <w:tcW w:w="2900" w:type="dxa"/>
            <w:tcMar>
              <w:top w:w="80" w:type="dxa"/>
              <w:left w:w="100" w:type="dxa"/>
              <w:bottom w:w="80" w:type="dxa"/>
              <w:right w:w="100" w:type="dxa"/>
            </w:tcMar>
          </w:tcPr>
          <w:p w14:paraId="45CFBAD6" w14:textId="77777777" w:rsidR="0013518E" w:rsidRDefault="00B900B3">
            <w:pPr>
              <w:rPr>
                <w:rFonts w:ascii="Arial" w:hAnsi="Arial" w:cs="Arial"/>
              </w:rPr>
            </w:pPr>
            <w:r>
              <w:rPr>
                <w:rFonts w:ascii="Arial" w:hAnsi="Arial" w:cs="Arial"/>
                <w:color w:val="000000"/>
                <w:sz w:val="18"/>
                <w:szCs w:val="18"/>
              </w:rPr>
              <w:t>Tasa de conversión de oportunidad a contrato y ciclo medio de venta</w:t>
            </w:r>
          </w:p>
        </w:tc>
        <w:tc>
          <w:tcPr>
            <w:tcW w:w="2688" w:type="dxa"/>
            <w:tcMar>
              <w:top w:w="80" w:type="dxa"/>
              <w:left w:w="100" w:type="dxa"/>
              <w:bottom w:w="80" w:type="dxa"/>
              <w:right w:w="100" w:type="dxa"/>
            </w:tcMar>
          </w:tcPr>
          <w:p w14:paraId="4D3F70B1" w14:textId="77777777" w:rsidR="0013518E" w:rsidRDefault="00B900B3">
            <w:pPr>
              <w:rPr>
                <w:rFonts w:ascii="Arial" w:hAnsi="Arial" w:cs="Arial"/>
              </w:rPr>
            </w:pPr>
            <w:r>
              <w:rPr>
                <w:rFonts w:ascii="Arial" w:hAnsi="Arial" w:cs="Arial"/>
                <w:color w:val="000000"/>
                <w:sz w:val="18"/>
                <w:szCs w:val="18"/>
              </w:rPr>
              <w:t>La actividad no paga; el cierre sí.</w:t>
            </w:r>
          </w:p>
        </w:tc>
      </w:tr>
      <w:tr w:rsidR="0013518E" w14:paraId="1587413C" w14:textId="77777777">
        <w:trPr>
          <w:cantSplit/>
        </w:trPr>
        <w:tc>
          <w:tcPr>
            <w:tcW w:w="1700" w:type="dxa"/>
            <w:shd w:val="clear" w:color="auto" w:fill="E8F0EE"/>
            <w:tcMar>
              <w:top w:w="80" w:type="dxa"/>
              <w:left w:w="100" w:type="dxa"/>
              <w:bottom w:w="80" w:type="dxa"/>
              <w:right w:w="100" w:type="dxa"/>
            </w:tcMar>
          </w:tcPr>
          <w:p w14:paraId="604102AB" w14:textId="77777777" w:rsidR="0013518E" w:rsidRDefault="00B900B3">
            <w:pPr>
              <w:rPr>
                <w:rFonts w:ascii="Arial" w:hAnsi="Arial" w:cs="Arial"/>
              </w:rPr>
            </w:pPr>
            <w:r>
              <w:rPr>
                <w:rFonts w:ascii="Arial" w:hAnsi="Arial" w:cs="Arial"/>
                <w:b/>
                <w:bCs/>
                <w:color w:val="000000"/>
                <w:sz w:val="18"/>
                <w:szCs w:val="18"/>
              </w:rPr>
              <w:t>Consultoría y Proyectos</w:t>
            </w:r>
          </w:p>
        </w:tc>
        <w:tc>
          <w:tcPr>
            <w:tcW w:w="2350" w:type="dxa"/>
            <w:tcMar>
              <w:top w:w="80" w:type="dxa"/>
              <w:left w:w="100" w:type="dxa"/>
              <w:bottom w:w="80" w:type="dxa"/>
              <w:right w:w="100" w:type="dxa"/>
            </w:tcMar>
          </w:tcPr>
          <w:p w14:paraId="391034A3" w14:textId="77777777" w:rsidR="0013518E" w:rsidRDefault="00B900B3">
            <w:pPr>
              <w:rPr>
                <w:rFonts w:ascii="Arial" w:hAnsi="Arial" w:cs="Arial"/>
              </w:rPr>
            </w:pPr>
            <w:r>
              <w:rPr>
                <w:rFonts w:ascii="Arial" w:hAnsi="Arial" w:cs="Arial"/>
                <w:color w:val="000000"/>
                <w:sz w:val="18"/>
                <w:szCs w:val="18"/>
              </w:rPr>
              <w:t>Horas totales imputadas</w:t>
            </w:r>
          </w:p>
        </w:tc>
        <w:tc>
          <w:tcPr>
            <w:tcW w:w="2900" w:type="dxa"/>
            <w:tcMar>
              <w:top w:w="80" w:type="dxa"/>
              <w:left w:w="100" w:type="dxa"/>
              <w:bottom w:w="80" w:type="dxa"/>
              <w:right w:w="100" w:type="dxa"/>
            </w:tcMar>
          </w:tcPr>
          <w:p w14:paraId="3DC014E0" w14:textId="77777777" w:rsidR="0013518E" w:rsidRDefault="00B900B3">
            <w:pPr>
              <w:rPr>
                <w:rFonts w:ascii="Arial" w:hAnsi="Arial" w:cs="Arial"/>
              </w:rPr>
            </w:pPr>
            <w:r>
              <w:rPr>
                <w:rFonts w:ascii="Arial" w:hAnsi="Arial" w:cs="Arial"/>
                <w:color w:val="000000"/>
                <w:sz w:val="18"/>
                <w:szCs w:val="18"/>
              </w:rPr>
              <w:t>Tasa de ocupación facturable y rentabilidad por proyecto</w:t>
            </w:r>
          </w:p>
        </w:tc>
        <w:tc>
          <w:tcPr>
            <w:tcW w:w="2688" w:type="dxa"/>
            <w:tcMar>
              <w:top w:w="80" w:type="dxa"/>
              <w:left w:w="100" w:type="dxa"/>
              <w:bottom w:w="80" w:type="dxa"/>
              <w:right w:w="100" w:type="dxa"/>
            </w:tcMar>
          </w:tcPr>
          <w:p w14:paraId="0CEDB00B" w14:textId="77777777" w:rsidR="0013518E" w:rsidRDefault="00B900B3">
            <w:pPr>
              <w:rPr>
                <w:rFonts w:ascii="Arial" w:hAnsi="Arial" w:cs="Arial"/>
              </w:rPr>
            </w:pPr>
            <w:r>
              <w:rPr>
                <w:rFonts w:ascii="Arial" w:hAnsi="Arial" w:cs="Arial"/>
                <w:color w:val="000000"/>
                <w:sz w:val="18"/>
                <w:szCs w:val="18"/>
              </w:rPr>
              <w:t>Las horas solo importan si se facturan y dejan margen.</w:t>
            </w:r>
          </w:p>
        </w:tc>
      </w:tr>
      <w:tr w:rsidR="0013518E" w14:paraId="3494E288" w14:textId="77777777">
        <w:trPr>
          <w:cantSplit/>
        </w:trPr>
        <w:tc>
          <w:tcPr>
            <w:tcW w:w="1700" w:type="dxa"/>
            <w:shd w:val="clear" w:color="auto" w:fill="E8F0EE"/>
            <w:tcMar>
              <w:top w:w="80" w:type="dxa"/>
              <w:left w:w="100" w:type="dxa"/>
              <w:bottom w:w="80" w:type="dxa"/>
              <w:right w:w="100" w:type="dxa"/>
            </w:tcMar>
          </w:tcPr>
          <w:p w14:paraId="00DE46DC" w14:textId="77777777" w:rsidR="0013518E" w:rsidRDefault="00B900B3">
            <w:pPr>
              <w:rPr>
                <w:rFonts w:ascii="Arial" w:hAnsi="Arial" w:cs="Arial"/>
              </w:rPr>
            </w:pPr>
            <w:r>
              <w:rPr>
                <w:rFonts w:ascii="Arial" w:hAnsi="Arial" w:cs="Arial"/>
                <w:b/>
                <w:bCs/>
                <w:color w:val="000000"/>
                <w:sz w:val="18"/>
                <w:szCs w:val="18"/>
              </w:rPr>
              <w:t>Administración y Finanzas</w:t>
            </w:r>
          </w:p>
        </w:tc>
        <w:tc>
          <w:tcPr>
            <w:tcW w:w="2350" w:type="dxa"/>
            <w:tcMar>
              <w:top w:w="80" w:type="dxa"/>
              <w:left w:w="100" w:type="dxa"/>
              <w:bottom w:w="80" w:type="dxa"/>
              <w:right w:w="100" w:type="dxa"/>
            </w:tcMar>
          </w:tcPr>
          <w:p w14:paraId="6A5111E7" w14:textId="77777777" w:rsidR="0013518E" w:rsidRDefault="00B900B3">
            <w:pPr>
              <w:rPr>
                <w:rFonts w:ascii="Arial" w:hAnsi="Arial" w:cs="Arial"/>
              </w:rPr>
            </w:pPr>
            <w:r>
              <w:rPr>
                <w:rFonts w:ascii="Arial" w:hAnsi="Arial" w:cs="Arial"/>
                <w:color w:val="000000"/>
                <w:sz w:val="18"/>
                <w:szCs w:val="18"/>
              </w:rPr>
              <w:t>Facturación emitida</w:t>
            </w:r>
          </w:p>
        </w:tc>
        <w:tc>
          <w:tcPr>
            <w:tcW w:w="2900" w:type="dxa"/>
            <w:tcMar>
              <w:top w:w="80" w:type="dxa"/>
              <w:left w:w="100" w:type="dxa"/>
              <w:bottom w:w="80" w:type="dxa"/>
              <w:right w:w="100" w:type="dxa"/>
            </w:tcMar>
          </w:tcPr>
          <w:p w14:paraId="4328BCA9" w14:textId="77777777" w:rsidR="0013518E" w:rsidRDefault="00B900B3">
            <w:pPr>
              <w:rPr>
                <w:rFonts w:ascii="Arial" w:hAnsi="Arial" w:cs="Arial"/>
              </w:rPr>
            </w:pPr>
            <w:r>
              <w:rPr>
                <w:rFonts w:ascii="Arial" w:hAnsi="Arial" w:cs="Arial"/>
                <w:color w:val="000000"/>
                <w:sz w:val="18"/>
                <w:szCs w:val="18"/>
              </w:rPr>
              <w:t>Días medios de cobro (DSO) y liquidez disponible</w:t>
            </w:r>
          </w:p>
        </w:tc>
        <w:tc>
          <w:tcPr>
            <w:tcW w:w="2688" w:type="dxa"/>
            <w:tcMar>
              <w:top w:w="80" w:type="dxa"/>
              <w:left w:w="100" w:type="dxa"/>
              <w:bottom w:w="80" w:type="dxa"/>
              <w:right w:w="100" w:type="dxa"/>
            </w:tcMar>
          </w:tcPr>
          <w:p w14:paraId="0CDA7A5C" w14:textId="77777777" w:rsidR="0013518E" w:rsidRDefault="00B900B3">
            <w:pPr>
              <w:rPr>
                <w:rFonts w:ascii="Arial" w:hAnsi="Arial" w:cs="Arial"/>
              </w:rPr>
            </w:pPr>
            <w:r>
              <w:rPr>
                <w:rFonts w:ascii="Arial" w:hAnsi="Arial" w:cs="Arial"/>
                <w:color w:val="000000"/>
                <w:sz w:val="18"/>
                <w:szCs w:val="18"/>
              </w:rPr>
              <w:t>Facturar no es cobrar.</w:t>
            </w:r>
          </w:p>
        </w:tc>
      </w:tr>
      <w:tr w:rsidR="0013518E" w14:paraId="720CE16B" w14:textId="77777777">
        <w:trPr>
          <w:cantSplit/>
        </w:trPr>
        <w:tc>
          <w:tcPr>
            <w:tcW w:w="1700" w:type="dxa"/>
            <w:shd w:val="clear" w:color="auto" w:fill="E8F0EE"/>
            <w:tcMar>
              <w:top w:w="80" w:type="dxa"/>
              <w:left w:w="100" w:type="dxa"/>
              <w:bottom w:w="80" w:type="dxa"/>
              <w:right w:w="100" w:type="dxa"/>
            </w:tcMar>
          </w:tcPr>
          <w:p w14:paraId="4EC33D58" w14:textId="77777777" w:rsidR="0013518E" w:rsidRDefault="00B900B3">
            <w:pPr>
              <w:rPr>
                <w:rFonts w:ascii="Arial" w:hAnsi="Arial" w:cs="Arial"/>
              </w:rPr>
            </w:pPr>
            <w:r>
              <w:rPr>
                <w:rFonts w:ascii="Arial" w:hAnsi="Arial" w:cs="Arial"/>
                <w:b/>
                <w:bCs/>
                <w:color w:val="000000"/>
                <w:sz w:val="18"/>
                <w:szCs w:val="18"/>
              </w:rPr>
              <w:t>Recursos Humanos</w:t>
            </w:r>
          </w:p>
        </w:tc>
        <w:tc>
          <w:tcPr>
            <w:tcW w:w="2350" w:type="dxa"/>
            <w:tcMar>
              <w:top w:w="80" w:type="dxa"/>
              <w:left w:w="100" w:type="dxa"/>
              <w:bottom w:w="80" w:type="dxa"/>
              <w:right w:w="100" w:type="dxa"/>
            </w:tcMar>
          </w:tcPr>
          <w:p w14:paraId="33152CD1" w14:textId="77777777" w:rsidR="0013518E" w:rsidRDefault="00B900B3">
            <w:pPr>
              <w:rPr>
                <w:rFonts w:ascii="Arial" w:hAnsi="Arial" w:cs="Arial"/>
              </w:rPr>
            </w:pPr>
            <w:r>
              <w:rPr>
                <w:rFonts w:ascii="Arial" w:hAnsi="Arial" w:cs="Arial"/>
                <w:color w:val="000000"/>
                <w:sz w:val="18"/>
                <w:szCs w:val="18"/>
              </w:rPr>
              <w:t>Número de candidaturas recibidas</w:t>
            </w:r>
          </w:p>
        </w:tc>
        <w:tc>
          <w:tcPr>
            <w:tcW w:w="2900" w:type="dxa"/>
            <w:tcMar>
              <w:top w:w="80" w:type="dxa"/>
              <w:left w:w="100" w:type="dxa"/>
              <w:bottom w:w="80" w:type="dxa"/>
              <w:right w:w="100" w:type="dxa"/>
            </w:tcMar>
          </w:tcPr>
          <w:p w14:paraId="4E650B37" w14:textId="77777777" w:rsidR="0013518E" w:rsidRDefault="00B900B3">
            <w:pPr>
              <w:rPr>
                <w:rFonts w:ascii="Arial" w:hAnsi="Arial" w:cs="Arial"/>
              </w:rPr>
            </w:pPr>
            <w:r>
              <w:rPr>
                <w:rFonts w:ascii="Arial" w:hAnsi="Arial" w:cs="Arial"/>
                <w:color w:val="000000"/>
                <w:sz w:val="18"/>
                <w:szCs w:val="18"/>
              </w:rPr>
              <w:t>Tiempo de cobertura de una vacante y rotación voluntaria</w:t>
            </w:r>
          </w:p>
        </w:tc>
        <w:tc>
          <w:tcPr>
            <w:tcW w:w="2688" w:type="dxa"/>
            <w:tcMar>
              <w:top w:w="80" w:type="dxa"/>
              <w:left w:w="100" w:type="dxa"/>
              <w:bottom w:w="80" w:type="dxa"/>
              <w:right w:w="100" w:type="dxa"/>
            </w:tcMar>
          </w:tcPr>
          <w:p w14:paraId="156C2D27" w14:textId="77777777" w:rsidR="0013518E" w:rsidRDefault="00B900B3">
            <w:pPr>
              <w:rPr>
                <w:rFonts w:ascii="Arial" w:hAnsi="Arial" w:cs="Arial"/>
              </w:rPr>
            </w:pPr>
            <w:r>
              <w:rPr>
                <w:rFonts w:ascii="Arial" w:hAnsi="Arial" w:cs="Arial"/>
                <w:color w:val="000000"/>
                <w:sz w:val="18"/>
                <w:szCs w:val="18"/>
              </w:rPr>
              <w:t>Mide si el equipo se mantiene y se completa a tiempo.</w:t>
            </w:r>
          </w:p>
        </w:tc>
      </w:tr>
      <w:tr w:rsidR="0013518E" w14:paraId="00C04AE1" w14:textId="77777777">
        <w:trPr>
          <w:cantSplit/>
        </w:trPr>
        <w:tc>
          <w:tcPr>
            <w:tcW w:w="1700" w:type="dxa"/>
            <w:shd w:val="clear" w:color="auto" w:fill="E8F0EE"/>
            <w:tcMar>
              <w:top w:w="80" w:type="dxa"/>
              <w:left w:w="100" w:type="dxa"/>
              <w:bottom w:w="80" w:type="dxa"/>
              <w:right w:w="100" w:type="dxa"/>
            </w:tcMar>
          </w:tcPr>
          <w:p w14:paraId="7330C52C" w14:textId="77777777" w:rsidR="0013518E" w:rsidRDefault="00B900B3">
            <w:pPr>
              <w:rPr>
                <w:rFonts w:ascii="Arial" w:hAnsi="Arial" w:cs="Arial"/>
              </w:rPr>
            </w:pPr>
            <w:r>
              <w:rPr>
                <w:rFonts w:ascii="Arial" w:hAnsi="Arial" w:cs="Arial"/>
                <w:b/>
                <w:bCs/>
                <w:color w:val="000000"/>
                <w:sz w:val="18"/>
                <w:szCs w:val="18"/>
              </w:rPr>
              <w:t>Sistemas e IT</w:t>
            </w:r>
          </w:p>
        </w:tc>
        <w:tc>
          <w:tcPr>
            <w:tcW w:w="2350" w:type="dxa"/>
            <w:tcMar>
              <w:top w:w="80" w:type="dxa"/>
              <w:left w:w="100" w:type="dxa"/>
              <w:bottom w:w="80" w:type="dxa"/>
              <w:right w:w="100" w:type="dxa"/>
            </w:tcMar>
          </w:tcPr>
          <w:p w14:paraId="31091A34" w14:textId="77777777" w:rsidR="0013518E" w:rsidRDefault="00B900B3">
            <w:pPr>
              <w:rPr>
                <w:rFonts w:ascii="Arial" w:hAnsi="Arial" w:cs="Arial"/>
              </w:rPr>
            </w:pPr>
            <w:r>
              <w:rPr>
                <w:rFonts w:ascii="Arial" w:hAnsi="Arial" w:cs="Arial"/>
                <w:color w:val="000000"/>
                <w:sz w:val="18"/>
                <w:szCs w:val="18"/>
              </w:rPr>
              <w:t>Número de dashboards publicados</w:t>
            </w:r>
          </w:p>
        </w:tc>
        <w:tc>
          <w:tcPr>
            <w:tcW w:w="2900" w:type="dxa"/>
            <w:tcMar>
              <w:top w:w="80" w:type="dxa"/>
              <w:left w:w="100" w:type="dxa"/>
              <w:bottom w:w="80" w:type="dxa"/>
              <w:right w:w="100" w:type="dxa"/>
            </w:tcMar>
          </w:tcPr>
          <w:p w14:paraId="453F020D" w14:textId="77777777" w:rsidR="0013518E" w:rsidRDefault="00B900B3">
            <w:pPr>
              <w:rPr>
                <w:rFonts w:ascii="Arial" w:hAnsi="Arial" w:cs="Arial"/>
              </w:rPr>
            </w:pPr>
            <w:r>
              <w:rPr>
                <w:rFonts w:ascii="Arial" w:hAnsi="Arial" w:cs="Arial"/>
                <w:color w:val="000000"/>
                <w:sz w:val="18"/>
                <w:szCs w:val="18"/>
              </w:rPr>
              <w:t>Decisiones que cambiaron gracias a un panel y nivel de uso de los paneles</w:t>
            </w:r>
          </w:p>
        </w:tc>
        <w:tc>
          <w:tcPr>
            <w:tcW w:w="2688" w:type="dxa"/>
            <w:tcMar>
              <w:top w:w="80" w:type="dxa"/>
              <w:left w:w="100" w:type="dxa"/>
              <w:bottom w:w="80" w:type="dxa"/>
              <w:right w:w="100" w:type="dxa"/>
            </w:tcMar>
          </w:tcPr>
          <w:p w14:paraId="1D3E794D" w14:textId="77777777" w:rsidR="0013518E" w:rsidRDefault="00B900B3">
            <w:pPr>
              <w:rPr>
                <w:rFonts w:ascii="Arial" w:hAnsi="Arial" w:cs="Arial"/>
              </w:rPr>
            </w:pPr>
            <w:r>
              <w:rPr>
                <w:rFonts w:ascii="Arial" w:hAnsi="Arial" w:cs="Arial"/>
                <w:color w:val="000000"/>
                <w:sz w:val="18"/>
                <w:szCs w:val="18"/>
              </w:rPr>
              <w:t>Un informe que nadie mira no vale.</w:t>
            </w:r>
          </w:p>
        </w:tc>
      </w:tr>
    </w:tbl>
    <w:p w14:paraId="6C054D49" w14:textId="77777777" w:rsidR="0013518E" w:rsidRDefault="0013518E">
      <w:pPr>
        <w:spacing w:after="120"/>
      </w:pPr>
    </w:p>
    <w:p w14:paraId="2272E887" w14:textId="77777777" w:rsidR="0013518E" w:rsidRDefault="00B900B3">
      <w:pPr>
        <w:spacing w:after="200" w:line="360" w:lineRule="auto"/>
        <w:jc w:val="both"/>
        <w:rPr>
          <w:rFonts w:ascii="Arial" w:hAnsi="Arial" w:cs="Arial"/>
        </w:rPr>
      </w:pPr>
      <w:r>
        <w:rPr>
          <w:rFonts w:ascii="Arial" w:hAnsi="Arial" w:cs="Arial"/>
        </w:rPr>
        <w:t xml:space="preserve">Siguiendo el principio de </w:t>
      </w:r>
      <w:r>
        <w:rPr>
          <w:rFonts w:ascii="Arial" w:hAnsi="Arial" w:cs="Arial"/>
          <w:i/>
          <w:iCs/>
        </w:rPr>
        <w:t>Lean Analytics</w:t>
      </w:r>
      <w:r>
        <w:rPr>
          <w:rFonts w:ascii="Arial" w:hAnsi="Arial" w:cs="Arial"/>
        </w:rPr>
        <w:t xml:space="preserve"> de centrarse en una métrica que importa (OMTM) en cada etapa, la métrica que importa para DataPyme Consulting en su fase actual de consolidación es la </w:t>
      </w:r>
      <w:r>
        <w:rPr>
          <w:rFonts w:ascii="Arial" w:hAnsi="Arial" w:cs="Arial"/>
          <w:b/>
          <w:bCs/>
        </w:rPr>
        <w:t>rentabilidad real por proyecto</w:t>
      </w:r>
      <w:r>
        <w:rPr>
          <w:rFonts w:ascii="Arial" w:hAnsi="Arial" w:cs="Arial"/>
        </w:rPr>
        <w:t>, es decir, los ingresos facturados menos el coste de las horas imputadas. Es la métrica que más decisiones condiciona (qué proyectos aceptar, a qué tarifa, con qué equipo) y la que hoy no se puede calcular con rapidez ni con fiabilidad. Esta misma métrica es la que guía el proyecto interno de la segunda parte del trabajo.</w:t>
      </w:r>
    </w:p>
    <w:p w14:paraId="06ADECF6" w14:textId="77777777" w:rsidR="00D531A0" w:rsidRDefault="00B900B3">
      <w:pPr>
        <w:pStyle w:val="Ttulo2"/>
        <w:spacing w:before="280" w:after="160"/>
      </w:pPr>
      <w:bookmarkStart w:id="19" w:name="_Toc241477546"/>
      <w:r>
        <w:rPr>
          <w:b/>
          <w:bCs/>
          <w:color w:val="1C7A5E"/>
        </w:rPr>
        <w:t>1.3. Niveles jerárquicos de la empresa</w:t>
      </w:r>
      <w:bookmarkEnd w:id="19"/>
    </w:p>
    <w:p w14:paraId="06ADECF7" w14:textId="468D2735" w:rsidR="00D531A0" w:rsidRPr="007D0965" w:rsidRDefault="00B900B3">
      <w:pPr>
        <w:spacing w:after="200" w:line="360" w:lineRule="auto"/>
        <w:jc w:val="both"/>
        <w:rPr>
          <w:rFonts w:ascii="Arial" w:hAnsi="Arial" w:cs="Arial"/>
        </w:rPr>
      </w:pPr>
      <w:r>
        <w:rPr>
          <w:rFonts w:ascii="Arial" w:hAnsi="Arial" w:cs="Arial"/>
        </w:rPr>
        <w:t>DataPyme Consulting se organiza, como la mayoría de las empresas, en tres niveles jerárquicos clásicos: estratégico, táctico y operativo. Se diferencian tanto por el tipo de decisiones que se toman en cada uno como por el tipo de datos a los que tienen acceso y el horizonte temporal de sus decisiones.</w:t>
      </w:r>
    </w:p>
    <w:p w14:paraId="06ADECF8" w14:textId="77777777" w:rsidR="00D531A0" w:rsidRDefault="00B900B3">
      <w:pPr>
        <w:spacing w:before="200" w:after="80"/>
        <w:jc w:val="center"/>
      </w:pPr>
      <w:r>
        <w:rPr>
          <w:noProof/>
        </w:rPr>
        <w:lastRenderedPageBreak/>
        <w:drawing>
          <wp:inline distT="0" distB="0" distL="0" distR="0" wp14:anchorId="06ADED55" wp14:editId="06ADED56">
            <wp:extent cx="4752975" cy="31908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2975" cy="3190875"/>
                    </a:xfrm>
                    <a:prstGeom prst="rect">
                      <a:avLst/>
                    </a:prstGeom>
                  </pic:spPr>
                </pic:pic>
              </a:graphicData>
            </a:graphic>
          </wp:inline>
        </w:drawing>
      </w:r>
    </w:p>
    <w:p w14:paraId="06ADECF9" w14:textId="77777777" w:rsidR="00D531A0" w:rsidRDefault="00B900B3">
      <w:pPr>
        <w:spacing w:before="100" w:after="300"/>
        <w:jc w:val="center"/>
      </w:pPr>
      <w:r>
        <w:rPr>
          <w:i/>
          <w:iCs/>
          <w:color w:val="555555"/>
          <w:sz w:val="20"/>
          <w:szCs w:val="20"/>
        </w:rPr>
        <w:t>Figura 1. Niveles jerárquicos de DataPyme Consulting.</w:t>
      </w:r>
    </w:p>
    <w:p w14:paraId="06ADECFA" w14:textId="77777777" w:rsidR="00D531A0" w:rsidRDefault="00B900B3">
      <w:pPr>
        <w:pStyle w:val="Ttulo3"/>
        <w:spacing w:before="220" w:after="120"/>
      </w:pPr>
      <w:bookmarkStart w:id="20" w:name="_Toc241477547"/>
      <w:r>
        <w:rPr>
          <w:b/>
          <w:bCs/>
          <w:color w:val="0D3B4F"/>
          <w:sz w:val="23"/>
          <w:szCs w:val="23"/>
        </w:rPr>
        <w:t>Nivel estratégico</w:t>
      </w:r>
      <w:bookmarkEnd w:id="20"/>
    </w:p>
    <w:p w14:paraId="06ADECFB" w14:textId="332ADCBF" w:rsidR="00D531A0" w:rsidRPr="007D0965" w:rsidRDefault="00B900B3">
      <w:pPr>
        <w:spacing w:after="200" w:line="360" w:lineRule="auto"/>
        <w:jc w:val="both"/>
        <w:rPr>
          <w:rFonts w:ascii="Arial" w:hAnsi="Arial" w:cs="Arial"/>
        </w:rPr>
      </w:pPr>
      <w:r>
        <w:rPr>
          <w:rFonts w:ascii="Arial" w:hAnsi="Arial" w:cs="Arial"/>
        </w:rPr>
        <w:t>Este nivel lo integran socios fundadores y Dirección General (Gerencia). Define la visión, la misión y los objetivos a largo plazo de la empresa: en qué territorios expandirse, qué nuevas líneas de servicio desarrollar (por ejemplo, servicios de inteligencia artificial aplicada), o si conviene incorporar nuevos socios o buscar financiación externa. En este nivel las decisiones se apoyan en datos muy agregados como facturación global, rentabilidad media, cuota de mercado y en información cualitativa procedente del mercado y del sector, analizada mediante herramientas de Business Intelligence.</w:t>
      </w:r>
    </w:p>
    <w:p w14:paraId="06ADECFC" w14:textId="77777777" w:rsidR="00D531A0" w:rsidRDefault="00B900B3">
      <w:pPr>
        <w:pStyle w:val="Ttulo3"/>
        <w:spacing w:before="220" w:after="120"/>
      </w:pPr>
      <w:bookmarkStart w:id="21" w:name="_Toc241477548"/>
      <w:r>
        <w:rPr>
          <w:b/>
          <w:bCs/>
          <w:color w:val="0D3B4F"/>
          <w:sz w:val="23"/>
          <w:szCs w:val="23"/>
        </w:rPr>
        <w:t>Nivel táctico</w:t>
      </w:r>
      <w:bookmarkEnd w:id="21"/>
    </w:p>
    <w:p w14:paraId="06ADECFD" w14:textId="52ED1120" w:rsidR="00D531A0" w:rsidRPr="001A22BD" w:rsidRDefault="00B900B3">
      <w:pPr>
        <w:spacing w:after="200" w:line="360" w:lineRule="auto"/>
        <w:jc w:val="both"/>
        <w:rPr>
          <w:rFonts w:ascii="Arial" w:hAnsi="Arial" w:cs="Arial"/>
        </w:rPr>
      </w:pPr>
      <w:r>
        <w:rPr>
          <w:rFonts w:ascii="Arial" w:hAnsi="Arial" w:cs="Arial"/>
        </w:rPr>
        <w:t>Este nivel lo integran responsables de departamento: Comercial, Consultoría y Proyectos, Marketing y Administración. Traduce la estrategia definida por Dirección General en planes de acción concretos a medio plazo: qué consultores se asignan a cada proyecto, qué tarifas se aplican a cada tipo de cliente, qué campañas de marketing se lanzan cada trimestre. Trabaja con datos más desagregados que el nivel estratégico, KPIs mensuales de cada departamento, pero todavía agregados respecto a la actividad diaria de cada persona.</w:t>
      </w:r>
    </w:p>
    <w:p w14:paraId="06ADECFE" w14:textId="77777777" w:rsidR="00D531A0" w:rsidRDefault="00B900B3">
      <w:pPr>
        <w:pStyle w:val="Ttulo3"/>
        <w:spacing w:before="220" w:after="120"/>
      </w:pPr>
      <w:bookmarkStart w:id="22" w:name="_Toc241477549"/>
      <w:r>
        <w:rPr>
          <w:b/>
          <w:bCs/>
          <w:color w:val="0D3B4F"/>
          <w:sz w:val="23"/>
          <w:szCs w:val="23"/>
        </w:rPr>
        <w:t>Nivel operativo</w:t>
      </w:r>
      <w:bookmarkEnd w:id="22"/>
    </w:p>
    <w:p w14:paraId="06ADECFF" w14:textId="5CD6847F" w:rsidR="00D531A0" w:rsidRPr="001A22BD" w:rsidRDefault="00B900B3">
      <w:pPr>
        <w:spacing w:after="200" w:line="360" w:lineRule="auto"/>
        <w:jc w:val="both"/>
        <w:rPr>
          <w:rFonts w:ascii="Arial" w:hAnsi="Arial" w:cs="Arial"/>
        </w:rPr>
      </w:pPr>
      <w:r>
        <w:rPr>
          <w:rFonts w:ascii="Arial" w:hAnsi="Arial" w:cs="Arial"/>
        </w:rPr>
        <w:t>Este nivel lo integran consultores, analistas de datos, técnicos de sistemas y personal administrativo. Ejecuta el día a día de la empresa: reuniones con clientes, extracción y limpieza de datos, elaboración de cuadros de mando, atención telefónica, registro de facturas. Es el nivel que genera la mayor parte de los datos de la empresa (horas imputadas, incidencias, correos, tareas completadas), datos que después se agregan y resumen para alimentar los niveles táctico y estratégico.</w:t>
      </w:r>
    </w:p>
    <w:p w14:paraId="06ADED00" w14:textId="77777777" w:rsidR="00D531A0" w:rsidRDefault="00B900B3">
      <w:pPr>
        <w:pStyle w:val="Ttulo3"/>
        <w:spacing w:before="220" w:after="120"/>
      </w:pPr>
      <w:bookmarkStart w:id="23" w:name="_Toc241477550"/>
      <w:r>
        <w:rPr>
          <w:b/>
          <w:bCs/>
          <w:color w:val="0D3B4F"/>
          <w:sz w:val="23"/>
          <w:szCs w:val="23"/>
        </w:rPr>
        <w:lastRenderedPageBreak/>
        <w:t>Indicadores y acceso a los datos según el nivel</w:t>
      </w:r>
      <w:bookmarkEnd w:id="23"/>
    </w:p>
    <w:p w14:paraId="06ADED01" w14:textId="77777777" w:rsidR="00D531A0" w:rsidRPr="00A574F0" w:rsidRDefault="00B900B3">
      <w:pPr>
        <w:spacing w:after="200" w:line="360" w:lineRule="auto"/>
        <w:jc w:val="both"/>
        <w:rPr>
          <w:rFonts w:ascii="Arial" w:hAnsi="Arial" w:cs="Arial"/>
        </w:rPr>
      </w:pPr>
      <w:r>
        <w:rPr>
          <w:rFonts w:ascii="Arial" w:hAnsi="Arial" w:cs="Arial"/>
        </w:rPr>
        <w:t>El acceso a los datos y su nivel de detalle no es idéntico en todos los niveles. En DataPyme Consulting se aplica el principio de que cada persona accede a la información que necesita para decidir, con el grado de agregación adecuado a su horizonte temporal, y no más.</w:t>
      </w:r>
    </w:p>
    <w:p w14:paraId="06ADED02" w14:textId="77777777" w:rsidR="00D531A0" w:rsidRPr="00A574F0" w:rsidRDefault="00B900B3">
      <w:pPr>
        <w:spacing w:after="200" w:line="360" w:lineRule="auto"/>
        <w:jc w:val="both"/>
        <w:rPr>
          <w:rFonts w:ascii="Arial" w:hAnsi="Arial" w:cs="Arial"/>
        </w:rPr>
      </w:pPr>
      <w:r>
        <w:rPr>
          <w:rFonts w:ascii="Arial" w:hAnsi="Arial" w:cs="Arial"/>
        </w:rPr>
        <w:t>En el nivel estratégico, los indicadores principales son la evolución de la facturación, la rentabilidad o margen de beneficio, el retorno de la inversión (ROI), la cuota de mercado, el porcentaje de gastos respecto a ingresos y la satisfacción agregada de los clientes. Se consultan a través de un panel ejecutivo de Power BI, junto con la información financiera de Holded y los objetivos (OKR) registrados en Notion. Dirección General tiene una visión global y agregada de toda la empresa, con acceso completo a los datos financieros.</w:t>
      </w:r>
    </w:p>
    <w:p w14:paraId="06ADED03" w14:textId="6E02A999" w:rsidR="00D531A0" w:rsidRPr="00A574F0" w:rsidRDefault="00B900B3">
      <w:pPr>
        <w:spacing w:after="200" w:line="360" w:lineRule="auto"/>
        <w:jc w:val="both"/>
        <w:rPr>
          <w:rFonts w:ascii="Arial" w:hAnsi="Arial" w:cs="Arial"/>
        </w:rPr>
      </w:pPr>
      <w:r>
        <w:rPr>
          <w:rFonts w:ascii="Arial" w:hAnsi="Arial" w:cs="Arial"/>
        </w:rPr>
        <w:t>En el nivel táctico, los responsables de departamento trabajan con indicadores como la tasa de conversión de ventas, el coste de adquisición de cliente, la ocupación del equipo, el cumplimiento de plazos y el margen por cliente. Se utiliza para ello un panel de seguimiento en Power BI, el CRM HubSpot, las herramientas de control horario y los flujos de Power Automate. Acceden a datos detallados de su propio departamento y a datos agregados de los demás.</w:t>
      </w:r>
    </w:p>
    <w:p w14:paraId="06ADED04" w14:textId="77777777" w:rsidR="00D531A0" w:rsidRPr="00A574F0" w:rsidRDefault="00B900B3">
      <w:pPr>
        <w:spacing w:after="200" w:line="360" w:lineRule="auto"/>
        <w:jc w:val="both"/>
        <w:rPr>
          <w:rFonts w:ascii="Arial" w:hAnsi="Arial" w:cs="Arial"/>
        </w:rPr>
      </w:pPr>
      <w:r>
        <w:rPr>
          <w:rFonts w:ascii="Arial" w:hAnsi="Arial" w:cs="Arial"/>
        </w:rPr>
        <w:t>En el nivel operativo, los datos son los generados por el propio trabajo diario: horas imputadas, tareas completadas, incidencias resueltas, leads gestionados o facturas registradas. Se recogen mediante Toggl o Clockify, Microsoft Teams, Notion, Google Analytics y Holded, y cada persona accede a los datos en bruto de su trabajo y de los proyectos en los que participa.</w:t>
      </w:r>
    </w:p>
    <w:p w14:paraId="06ADED05" w14:textId="77777777" w:rsidR="00D531A0" w:rsidRPr="00A574F0" w:rsidRDefault="00B900B3">
      <w:pPr>
        <w:spacing w:after="200" w:line="360" w:lineRule="auto"/>
        <w:jc w:val="both"/>
        <w:rPr>
          <w:rFonts w:ascii="Arial" w:hAnsi="Arial" w:cs="Arial"/>
        </w:rPr>
      </w:pPr>
      <w:r>
        <w:rPr>
          <w:rFonts w:ascii="Arial" w:hAnsi="Arial" w:cs="Arial"/>
        </w:rPr>
        <w:t>Esta distribución refleja además un cambio de fondo que el Big Data está provocando en las organizaciones: mientras que antes la información fluía de arriba hacia abajo, hoy las herramientas de análisis permiten que cada nivel tome decisiones más informadas y autónomas. En DataPyme Consulting, por ejemplo, cada consultor puede ver en tiempo real su propia ocupación y la rentabilidad del proyecto en el que trabaja, sin depender de un informe mensual de su responsable. Asimismo, la automatización de las tareas de registro reduce la supervisión constante en el nivel operativo y libera a los mandos intermedios para tareas de análisis.</w:t>
      </w:r>
    </w:p>
    <w:p w14:paraId="06ADED06" w14:textId="77777777" w:rsidR="00D531A0" w:rsidRDefault="00B900B3">
      <w:pPr>
        <w:spacing w:after="200" w:line="360" w:lineRule="auto"/>
        <w:jc w:val="both"/>
        <w:rPr>
          <w:rFonts w:ascii="Arial" w:hAnsi="Arial" w:cs="Arial"/>
        </w:rPr>
      </w:pPr>
      <w:r>
        <w:rPr>
          <w:rFonts w:ascii="Arial" w:hAnsi="Arial" w:cs="Arial"/>
        </w:rPr>
        <w:t>Dentro de este modelo, el papel del Chief Data Officer (CDO) lo asume, por el momento, uno de los tres socios fundadores desde el nivel estratégico, con la responsabilidad de garantizar que la empresa utiliza los datos de manera eficaz y coherente. Los analistas y científicos de datos del departamento de Consultoría operan en los niveles táctico y operativo, y colaboran con Dirección General para que los datos se recopilen, analicen y presenten de forma que impulsen las decisiones de negocio.</w:t>
      </w:r>
    </w:p>
    <w:p w14:paraId="643DC5F7" w14:textId="77777777" w:rsidR="004D02C1" w:rsidRDefault="004D02C1">
      <w:pPr>
        <w:spacing w:after="200" w:line="360" w:lineRule="auto"/>
        <w:jc w:val="both"/>
        <w:rPr>
          <w:rFonts w:ascii="Arial" w:hAnsi="Arial" w:cs="Arial"/>
        </w:rPr>
      </w:pPr>
    </w:p>
    <w:p w14:paraId="2D3B05FF" w14:textId="77777777" w:rsidR="004D02C1" w:rsidRPr="00A574F0" w:rsidRDefault="004D02C1">
      <w:pPr>
        <w:spacing w:after="200" w:line="360" w:lineRule="auto"/>
        <w:jc w:val="both"/>
        <w:rPr>
          <w:rFonts w:ascii="Arial" w:hAnsi="Arial" w:cs="Arial"/>
        </w:rPr>
      </w:pPr>
    </w:p>
    <w:p w14:paraId="2D4F3D90" w14:textId="77777777" w:rsidR="0013518E" w:rsidRDefault="00B900B3">
      <w:pPr>
        <w:pStyle w:val="Ttulo3"/>
        <w:keepNext/>
        <w:spacing w:before="220" w:after="120"/>
      </w:pPr>
      <w:bookmarkStart w:id="24" w:name="_Toc91003"/>
      <w:r>
        <w:rPr>
          <w:b/>
          <w:bCs/>
          <w:color w:val="0D3B4F"/>
          <w:sz w:val="23"/>
          <w:szCs w:val="23"/>
        </w:rPr>
        <w:lastRenderedPageBreak/>
        <w:t>Cultura del dato en todos los niveles</w:t>
      </w:r>
      <w:bookmarkEnd w:id="24"/>
    </w:p>
    <w:p w14:paraId="53F991D5" w14:textId="77777777" w:rsidR="0013518E" w:rsidRDefault="00B900B3">
      <w:pPr>
        <w:spacing w:after="200" w:line="360" w:lineRule="auto"/>
        <w:jc w:val="both"/>
        <w:rPr>
          <w:rFonts w:ascii="Arial" w:hAnsi="Arial" w:cs="Arial"/>
        </w:rPr>
      </w:pPr>
      <w:r>
        <w:rPr>
          <w:rFonts w:ascii="Arial" w:hAnsi="Arial" w:cs="Arial"/>
        </w:rPr>
        <w:t>Que el acceso a los datos esté bien repartido no basta si cada persona no sabe qué dato mirar ni para qué. Por eso en DataPyme Consulting la cultura del dato se trabaja en los tres niveles, con un enfoque distinto en cada uno según el tipo de decisión:</w:t>
      </w:r>
    </w:p>
    <w:p w14:paraId="285C6E06" w14:textId="77777777" w:rsidR="0013518E" w:rsidRDefault="00B900B3">
      <w:pPr>
        <w:keepNext/>
        <w:spacing w:before="200" w:after="100"/>
        <w:jc w:val="center"/>
      </w:pPr>
      <w:r>
        <w:rPr>
          <w:i/>
          <w:iCs/>
          <w:color w:val="555555"/>
          <w:sz w:val="20"/>
          <w:szCs w:val="20"/>
        </w:rPr>
        <w:t>Tabla 4. Cultura del dato por nivel jerárquico.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00"/>
        <w:gridCol w:w="2300"/>
        <w:gridCol w:w="2700"/>
        <w:gridCol w:w="3238"/>
      </w:tblGrid>
      <w:tr w:rsidR="0013518E" w14:paraId="10CD79DA" w14:textId="77777777">
        <w:trPr>
          <w:cantSplit/>
          <w:tblHeader/>
        </w:trPr>
        <w:tc>
          <w:tcPr>
            <w:tcW w:w="1400" w:type="dxa"/>
            <w:shd w:val="clear" w:color="auto" w:fill="0D3B4F"/>
            <w:tcMar>
              <w:top w:w="80" w:type="dxa"/>
              <w:left w:w="100" w:type="dxa"/>
              <w:bottom w:w="80" w:type="dxa"/>
              <w:right w:w="100" w:type="dxa"/>
            </w:tcMar>
          </w:tcPr>
          <w:p w14:paraId="7CF5A741" w14:textId="77777777" w:rsidR="0013518E" w:rsidRDefault="00B900B3">
            <w:pPr>
              <w:keepNext/>
              <w:rPr>
                <w:rFonts w:ascii="Arial" w:hAnsi="Arial" w:cs="Arial"/>
              </w:rPr>
            </w:pPr>
            <w:r>
              <w:rPr>
                <w:rFonts w:ascii="Arial" w:hAnsi="Arial" w:cs="Arial"/>
                <w:b/>
                <w:bCs/>
                <w:color w:val="FFFFFF"/>
                <w:sz w:val="18"/>
                <w:szCs w:val="18"/>
              </w:rPr>
              <w:t>Nivel</w:t>
            </w:r>
          </w:p>
        </w:tc>
        <w:tc>
          <w:tcPr>
            <w:tcW w:w="2300" w:type="dxa"/>
            <w:shd w:val="clear" w:color="auto" w:fill="0D3B4F"/>
            <w:tcMar>
              <w:top w:w="80" w:type="dxa"/>
              <w:left w:w="100" w:type="dxa"/>
              <w:bottom w:w="80" w:type="dxa"/>
              <w:right w:w="100" w:type="dxa"/>
            </w:tcMar>
          </w:tcPr>
          <w:p w14:paraId="771E68F6" w14:textId="77777777" w:rsidR="0013518E" w:rsidRDefault="00B900B3">
            <w:pPr>
              <w:keepNext/>
              <w:rPr>
                <w:rFonts w:ascii="Arial" w:hAnsi="Arial" w:cs="Arial"/>
              </w:rPr>
            </w:pPr>
            <w:r>
              <w:rPr>
                <w:rFonts w:ascii="Arial" w:hAnsi="Arial" w:cs="Arial"/>
                <w:b/>
                <w:bCs/>
                <w:color w:val="FFFFFF"/>
                <w:sz w:val="18"/>
                <w:szCs w:val="18"/>
              </w:rPr>
              <w:t>Decisión tipo</w:t>
            </w:r>
          </w:p>
        </w:tc>
        <w:tc>
          <w:tcPr>
            <w:tcW w:w="2700" w:type="dxa"/>
            <w:shd w:val="clear" w:color="auto" w:fill="0D3B4F"/>
            <w:tcMar>
              <w:top w:w="80" w:type="dxa"/>
              <w:left w:w="100" w:type="dxa"/>
              <w:bottom w:w="80" w:type="dxa"/>
              <w:right w:w="100" w:type="dxa"/>
            </w:tcMar>
          </w:tcPr>
          <w:p w14:paraId="64ADAB69" w14:textId="77777777" w:rsidR="0013518E" w:rsidRDefault="00B900B3">
            <w:pPr>
              <w:keepNext/>
              <w:rPr>
                <w:rFonts w:ascii="Arial" w:hAnsi="Arial" w:cs="Arial"/>
              </w:rPr>
            </w:pPr>
            <w:r>
              <w:rPr>
                <w:rFonts w:ascii="Arial" w:hAnsi="Arial" w:cs="Arial"/>
                <w:b/>
                <w:bCs/>
                <w:color w:val="FFFFFF"/>
                <w:sz w:val="18"/>
                <w:szCs w:val="18"/>
              </w:rPr>
              <w:t>Enfoque</w:t>
            </w:r>
          </w:p>
        </w:tc>
        <w:tc>
          <w:tcPr>
            <w:tcW w:w="3238" w:type="dxa"/>
            <w:shd w:val="clear" w:color="auto" w:fill="0D3B4F"/>
            <w:tcMar>
              <w:top w:w="80" w:type="dxa"/>
              <w:left w:w="100" w:type="dxa"/>
              <w:bottom w:w="80" w:type="dxa"/>
              <w:right w:w="100" w:type="dxa"/>
            </w:tcMar>
          </w:tcPr>
          <w:p w14:paraId="7595D9B2" w14:textId="77777777" w:rsidR="0013518E" w:rsidRDefault="00B900B3">
            <w:pPr>
              <w:keepNext/>
              <w:rPr>
                <w:rFonts w:ascii="Arial" w:hAnsi="Arial" w:cs="Arial"/>
              </w:rPr>
            </w:pPr>
            <w:r>
              <w:rPr>
                <w:rFonts w:ascii="Arial" w:hAnsi="Arial" w:cs="Arial"/>
                <w:b/>
                <w:bCs/>
                <w:color w:val="FFFFFF"/>
                <w:sz w:val="18"/>
                <w:szCs w:val="18"/>
              </w:rPr>
              <w:t>Dato que consulta y para qué</w:t>
            </w:r>
          </w:p>
        </w:tc>
      </w:tr>
      <w:tr w:rsidR="0013518E" w14:paraId="3722408A" w14:textId="77777777">
        <w:trPr>
          <w:cantSplit/>
        </w:trPr>
        <w:tc>
          <w:tcPr>
            <w:tcW w:w="1400" w:type="dxa"/>
            <w:shd w:val="clear" w:color="auto" w:fill="E8F0EE"/>
            <w:tcMar>
              <w:top w:w="80" w:type="dxa"/>
              <w:left w:w="100" w:type="dxa"/>
              <w:bottom w:w="80" w:type="dxa"/>
              <w:right w:w="100" w:type="dxa"/>
            </w:tcMar>
          </w:tcPr>
          <w:p w14:paraId="35C86129" w14:textId="77777777" w:rsidR="0013518E" w:rsidRDefault="00B900B3">
            <w:pPr>
              <w:keepNext/>
              <w:rPr>
                <w:rFonts w:ascii="Arial" w:hAnsi="Arial" w:cs="Arial"/>
              </w:rPr>
            </w:pPr>
            <w:r>
              <w:rPr>
                <w:rFonts w:ascii="Arial" w:hAnsi="Arial" w:cs="Arial"/>
                <w:b/>
                <w:bCs/>
                <w:color w:val="000000"/>
                <w:sz w:val="18"/>
                <w:szCs w:val="18"/>
              </w:rPr>
              <w:t>Estratégico</w:t>
            </w:r>
          </w:p>
        </w:tc>
        <w:tc>
          <w:tcPr>
            <w:tcW w:w="2300" w:type="dxa"/>
            <w:tcMar>
              <w:top w:w="80" w:type="dxa"/>
              <w:left w:w="100" w:type="dxa"/>
              <w:bottom w:w="80" w:type="dxa"/>
              <w:right w:w="100" w:type="dxa"/>
            </w:tcMar>
          </w:tcPr>
          <w:p w14:paraId="634427E0" w14:textId="77777777" w:rsidR="0013518E" w:rsidRDefault="00B900B3">
            <w:pPr>
              <w:keepNext/>
              <w:rPr>
                <w:rFonts w:ascii="Arial" w:hAnsi="Arial" w:cs="Arial"/>
              </w:rPr>
            </w:pPr>
            <w:r>
              <w:rPr>
                <w:rFonts w:ascii="Arial" w:hAnsi="Arial" w:cs="Arial"/>
                <w:color w:val="000000"/>
                <w:sz w:val="18"/>
                <w:szCs w:val="18"/>
              </w:rPr>
              <w:t>Abrir una nueva línea de servicio o ampliar el territorio</w:t>
            </w:r>
          </w:p>
        </w:tc>
        <w:tc>
          <w:tcPr>
            <w:tcW w:w="2700" w:type="dxa"/>
            <w:tcMar>
              <w:top w:w="80" w:type="dxa"/>
              <w:left w:w="100" w:type="dxa"/>
              <w:bottom w:w="80" w:type="dxa"/>
              <w:right w:w="100" w:type="dxa"/>
            </w:tcMar>
          </w:tcPr>
          <w:p w14:paraId="48BAAF3D" w14:textId="77777777" w:rsidR="0013518E" w:rsidRDefault="00B900B3">
            <w:pPr>
              <w:keepNext/>
              <w:rPr>
                <w:rFonts w:ascii="Arial" w:hAnsi="Arial" w:cs="Arial"/>
              </w:rPr>
            </w:pPr>
            <w:r>
              <w:rPr>
                <w:rFonts w:ascii="Arial" w:hAnsi="Arial" w:cs="Arial"/>
                <w:color w:val="000000"/>
                <w:sz w:val="18"/>
                <w:szCs w:val="18"/>
              </w:rPr>
              <w:t>Data-informed: el dato aporta evidencia y decide el criterio de Dirección</w:t>
            </w:r>
          </w:p>
        </w:tc>
        <w:tc>
          <w:tcPr>
            <w:tcW w:w="3238" w:type="dxa"/>
            <w:tcMar>
              <w:top w:w="80" w:type="dxa"/>
              <w:left w:w="100" w:type="dxa"/>
              <w:bottom w:w="80" w:type="dxa"/>
              <w:right w:w="100" w:type="dxa"/>
            </w:tcMar>
          </w:tcPr>
          <w:p w14:paraId="3CE1A275" w14:textId="77777777" w:rsidR="0013518E" w:rsidRDefault="00B900B3">
            <w:pPr>
              <w:keepNext/>
              <w:rPr>
                <w:rFonts w:ascii="Arial" w:hAnsi="Arial" w:cs="Arial"/>
              </w:rPr>
            </w:pPr>
            <w:r>
              <w:rPr>
                <w:rFonts w:ascii="Arial" w:hAnsi="Arial" w:cs="Arial"/>
                <w:color w:val="000000"/>
                <w:sz w:val="18"/>
                <w:szCs w:val="18"/>
              </w:rPr>
              <w:t>Panel ejecutivo: rentabilidad, pipeline y NPS agregados, para contrastar la estrategia con la realidad.</w:t>
            </w:r>
          </w:p>
        </w:tc>
      </w:tr>
      <w:tr w:rsidR="0013518E" w14:paraId="3E8D153C" w14:textId="77777777">
        <w:trPr>
          <w:cantSplit/>
        </w:trPr>
        <w:tc>
          <w:tcPr>
            <w:tcW w:w="1400" w:type="dxa"/>
            <w:shd w:val="clear" w:color="auto" w:fill="E8F0EE"/>
            <w:tcMar>
              <w:top w:w="80" w:type="dxa"/>
              <w:left w:w="100" w:type="dxa"/>
              <w:bottom w:w="80" w:type="dxa"/>
              <w:right w:w="100" w:type="dxa"/>
            </w:tcMar>
          </w:tcPr>
          <w:p w14:paraId="3812C666" w14:textId="77777777" w:rsidR="0013518E" w:rsidRDefault="00B900B3">
            <w:pPr>
              <w:rPr>
                <w:rFonts w:ascii="Arial" w:hAnsi="Arial" w:cs="Arial"/>
              </w:rPr>
            </w:pPr>
            <w:r>
              <w:rPr>
                <w:rFonts w:ascii="Arial" w:hAnsi="Arial" w:cs="Arial"/>
                <w:b/>
                <w:bCs/>
                <w:color w:val="000000"/>
                <w:sz w:val="18"/>
                <w:szCs w:val="18"/>
              </w:rPr>
              <w:t>Táctico</w:t>
            </w:r>
          </w:p>
        </w:tc>
        <w:tc>
          <w:tcPr>
            <w:tcW w:w="2300" w:type="dxa"/>
            <w:tcMar>
              <w:top w:w="80" w:type="dxa"/>
              <w:left w:w="100" w:type="dxa"/>
              <w:bottom w:w="80" w:type="dxa"/>
              <w:right w:w="100" w:type="dxa"/>
            </w:tcMar>
          </w:tcPr>
          <w:p w14:paraId="43520FD8" w14:textId="77777777" w:rsidR="0013518E" w:rsidRDefault="00B900B3">
            <w:pPr>
              <w:rPr>
                <w:rFonts w:ascii="Arial" w:hAnsi="Arial" w:cs="Arial"/>
              </w:rPr>
            </w:pPr>
            <w:r>
              <w:rPr>
                <w:rFonts w:ascii="Arial" w:hAnsi="Arial" w:cs="Arial"/>
                <w:color w:val="000000"/>
                <w:sz w:val="18"/>
                <w:szCs w:val="18"/>
              </w:rPr>
              <w:t>Reasignar consultores o reforzar el equipo comercial</w:t>
            </w:r>
          </w:p>
        </w:tc>
        <w:tc>
          <w:tcPr>
            <w:tcW w:w="2700" w:type="dxa"/>
            <w:tcMar>
              <w:top w:w="80" w:type="dxa"/>
              <w:left w:w="100" w:type="dxa"/>
              <w:bottom w:w="80" w:type="dxa"/>
              <w:right w:w="100" w:type="dxa"/>
            </w:tcMar>
          </w:tcPr>
          <w:p w14:paraId="3E36B4AD" w14:textId="77777777" w:rsidR="0013518E" w:rsidRDefault="00B900B3">
            <w:pPr>
              <w:rPr>
                <w:rFonts w:ascii="Arial" w:hAnsi="Arial" w:cs="Arial"/>
              </w:rPr>
            </w:pPr>
            <w:r>
              <w:rPr>
                <w:rFonts w:ascii="Arial" w:hAnsi="Arial" w:cs="Arial"/>
                <w:color w:val="000000"/>
                <w:sz w:val="18"/>
                <w:szCs w:val="18"/>
              </w:rPr>
              <w:t>Mixto: umbrales de ocupación y desviación que activan la revisión</w:t>
            </w:r>
          </w:p>
        </w:tc>
        <w:tc>
          <w:tcPr>
            <w:tcW w:w="3238" w:type="dxa"/>
            <w:tcMar>
              <w:top w:w="80" w:type="dxa"/>
              <w:left w:w="100" w:type="dxa"/>
              <w:bottom w:w="80" w:type="dxa"/>
              <w:right w:w="100" w:type="dxa"/>
            </w:tcMar>
          </w:tcPr>
          <w:p w14:paraId="53BE1734" w14:textId="77777777" w:rsidR="0013518E" w:rsidRDefault="00B900B3">
            <w:pPr>
              <w:rPr>
                <w:rFonts w:ascii="Arial" w:hAnsi="Arial" w:cs="Arial"/>
              </w:rPr>
            </w:pPr>
            <w:r>
              <w:rPr>
                <w:rFonts w:ascii="Arial" w:hAnsi="Arial" w:cs="Arial"/>
                <w:color w:val="000000"/>
                <w:sz w:val="18"/>
                <w:szCs w:val="18"/>
              </w:rPr>
              <w:t>Panel de seguimiento: ocupación y plazos de su equipo, para anticipar desviaciones.</w:t>
            </w:r>
          </w:p>
        </w:tc>
      </w:tr>
      <w:tr w:rsidR="0013518E" w14:paraId="48710B6D" w14:textId="77777777">
        <w:trPr>
          <w:cantSplit/>
        </w:trPr>
        <w:tc>
          <w:tcPr>
            <w:tcW w:w="1400" w:type="dxa"/>
            <w:shd w:val="clear" w:color="auto" w:fill="E8F0EE"/>
            <w:tcMar>
              <w:top w:w="80" w:type="dxa"/>
              <w:left w:w="100" w:type="dxa"/>
              <w:bottom w:w="80" w:type="dxa"/>
              <w:right w:w="100" w:type="dxa"/>
            </w:tcMar>
          </w:tcPr>
          <w:p w14:paraId="4574757D" w14:textId="77777777" w:rsidR="0013518E" w:rsidRDefault="00B900B3">
            <w:pPr>
              <w:rPr>
                <w:rFonts w:ascii="Arial" w:hAnsi="Arial" w:cs="Arial"/>
              </w:rPr>
            </w:pPr>
            <w:r>
              <w:rPr>
                <w:rFonts w:ascii="Arial" w:hAnsi="Arial" w:cs="Arial"/>
                <w:b/>
                <w:bCs/>
                <w:color w:val="000000"/>
                <w:sz w:val="18"/>
                <w:szCs w:val="18"/>
              </w:rPr>
              <w:t>Operativo</w:t>
            </w:r>
          </w:p>
        </w:tc>
        <w:tc>
          <w:tcPr>
            <w:tcW w:w="2300" w:type="dxa"/>
            <w:tcMar>
              <w:top w:w="80" w:type="dxa"/>
              <w:left w:w="100" w:type="dxa"/>
              <w:bottom w:w="80" w:type="dxa"/>
              <w:right w:w="100" w:type="dxa"/>
            </w:tcMar>
          </w:tcPr>
          <w:p w14:paraId="1FCC1C52" w14:textId="77777777" w:rsidR="0013518E" w:rsidRDefault="00B900B3">
            <w:pPr>
              <w:rPr>
                <w:rFonts w:ascii="Arial" w:hAnsi="Arial" w:cs="Arial"/>
              </w:rPr>
            </w:pPr>
            <w:r>
              <w:rPr>
                <w:rFonts w:ascii="Arial" w:hAnsi="Arial" w:cs="Arial"/>
                <w:color w:val="000000"/>
                <w:sz w:val="18"/>
                <w:szCs w:val="18"/>
              </w:rPr>
              <w:t>Priorizar una tarea o resolver una incidencia</w:t>
            </w:r>
          </w:p>
        </w:tc>
        <w:tc>
          <w:tcPr>
            <w:tcW w:w="2700" w:type="dxa"/>
            <w:tcMar>
              <w:top w:w="80" w:type="dxa"/>
              <w:left w:w="100" w:type="dxa"/>
              <w:bottom w:w="80" w:type="dxa"/>
              <w:right w:w="100" w:type="dxa"/>
            </w:tcMar>
          </w:tcPr>
          <w:p w14:paraId="74673C72" w14:textId="77777777" w:rsidR="0013518E" w:rsidRDefault="00B900B3">
            <w:pPr>
              <w:rPr>
                <w:rFonts w:ascii="Arial" w:hAnsi="Arial" w:cs="Arial"/>
              </w:rPr>
            </w:pPr>
            <w:r>
              <w:rPr>
                <w:rFonts w:ascii="Arial" w:hAnsi="Arial" w:cs="Arial"/>
                <w:color w:val="000000"/>
                <w:sz w:val="18"/>
                <w:szCs w:val="18"/>
              </w:rPr>
              <w:t>Data-driven: reglas y alertas automáticas</w:t>
            </w:r>
          </w:p>
        </w:tc>
        <w:tc>
          <w:tcPr>
            <w:tcW w:w="3238" w:type="dxa"/>
            <w:tcMar>
              <w:top w:w="80" w:type="dxa"/>
              <w:left w:w="100" w:type="dxa"/>
              <w:bottom w:w="80" w:type="dxa"/>
              <w:right w:w="100" w:type="dxa"/>
            </w:tcMar>
          </w:tcPr>
          <w:p w14:paraId="3786C645" w14:textId="77777777" w:rsidR="0013518E" w:rsidRDefault="00B900B3">
            <w:pPr>
              <w:rPr>
                <w:rFonts w:ascii="Arial" w:hAnsi="Arial" w:cs="Arial"/>
              </w:rPr>
            </w:pPr>
            <w:r>
              <w:rPr>
                <w:rFonts w:ascii="Arial" w:hAnsi="Arial" w:cs="Arial"/>
                <w:color w:val="000000"/>
                <w:sz w:val="18"/>
                <w:szCs w:val="18"/>
              </w:rPr>
              <w:t>Panel personal: carga de trabajo y rentabilidad de su proyecto, sin esperar al informe mensual.</w:t>
            </w:r>
          </w:p>
        </w:tc>
      </w:tr>
    </w:tbl>
    <w:p w14:paraId="33D01D94" w14:textId="77777777" w:rsidR="0013518E" w:rsidRDefault="0013518E">
      <w:pPr>
        <w:spacing w:after="120"/>
      </w:pPr>
    </w:p>
    <w:p w14:paraId="520B8D75" w14:textId="77777777" w:rsidR="0013518E" w:rsidRDefault="00B900B3">
      <w:pPr>
        <w:spacing w:after="200" w:line="360" w:lineRule="auto"/>
        <w:jc w:val="both"/>
        <w:rPr>
          <w:rFonts w:ascii="Arial" w:hAnsi="Arial" w:cs="Arial"/>
        </w:rPr>
      </w:pPr>
      <w:r>
        <w:rPr>
          <w:rFonts w:ascii="Arial" w:hAnsi="Arial" w:cs="Arial"/>
        </w:rPr>
        <w:t>Para que esta cultura se extienda a toda la plantilla, y no solo al equipo de datos, la formación en lectura e interpretación del cuadro de mando se dirige a todas las personas de la empresa (Fase 4 del proyecto DataPyme 360). Esta alfabetización de datos es, además, una obligación creciente en el ámbito normativo de la inteligencia artificial, como se indica en el apartado de gobernanza.</w:t>
      </w:r>
    </w:p>
    <w:p w14:paraId="06ADED07" w14:textId="77777777" w:rsidR="00D531A0" w:rsidRDefault="00B900B3">
      <w:pPr>
        <w:pStyle w:val="Ttulo2"/>
        <w:spacing w:before="280" w:after="160"/>
      </w:pPr>
      <w:bookmarkStart w:id="25" w:name="_Toc241477551"/>
      <w:r>
        <w:rPr>
          <w:b/>
          <w:bCs/>
          <w:color w:val="1C7A5E"/>
        </w:rPr>
        <w:t>1.4. Procesos clave de la empresa: mapa de procesos</w:t>
      </w:r>
      <w:bookmarkEnd w:id="25"/>
    </w:p>
    <w:p w14:paraId="06ADED08" w14:textId="081CF195" w:rsidR="00D531A0" w:rsidRDefault="00B900B3">
      <w:pPr>
        <w:spacing w:after="200" w:line="360" w:lineRule="auto"/>
        <w:jc w:val="both"/>
      </w:pPr>
      <w:r>
        <w:rPr>
          <w:rFonts w:ascii="Arial" w:hAnsi="Arial" w:cs="Arial"/>
        </w:rPr>
        <w:t>Frente a los niveles jerárquicos, que responden a la pregunta de quién toma cada decisión, los procesos de la empresa responden a la pregunta de cómo fluyen las actividades para producir el servicio que se entrega al cliente. DataPyme Consulting organiza sus procesos en tres grandes bloques: procesos estratégicos, procesos operativos y procesos de apoyo, tal y como recoge el mapa de procesos de la figura siguiente</w:t>
      </w:r>
      <w:r>
        <w:t>:</w:t>
      </w:r>
    </w:p>
    <w:p w14:paraId="06ADED09" w14:textId="77777777" w:rsidR="00D531A0" w:rsidRDefault="00B900B3">
      <w:pPr>
        <w:spacing w:before="200" w:after="80"/>
        <w:jc w:val="center"/>
      </w:pPr>
      <w:r>
        <w:rPr>
          <w:noProof/>
        </w:rPr>
        <w:lastRenderedPageBreak/>
        <w:drawing>
          <wp:inline distT="0" distB="0" distL="0" distR="0" wp14:anchorId="06ADED57" wp14:editId="06ADED58">
            <wp:extent cx="5762625" cy="3533775"/>
            <wp:effectExtent l="0" t="0" r="0" b="0"/>
            <wp:docPr id="698437736" name="Imagen 698437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533775"/>
                    </a:xfrm>
                    <a:prstGeom prst="rect">
                      <a:avLst/>
                    </a:prstGeom>
                  </pic:spPr>
                </pic:pic>
              </a:graphicData>
            </a:graphic>
          </wp:inline>
        </w:drawing>
      </w:r>
    </w:p>
    <w:p w14:paraId="06ADED0A" w14:textId="77777777" w:rsidR="00D531A0" w:rsidRDefault="00B900B3">
      <w:pPr>
        <w:spacing w:before="100" w:after="300"/>
        <w:jc w:val="center"/>
      </w:pPr>
      <w:r>
        <w:rPr>
          <w:i/>
          <w:iCs/>
          <w:color w:val="555555"/>
          <w:sz w:val="20"/>
          <w:szCs w:val="20"/>
        </w:rPr>
        <w:t>Figura 2. Mapa de procesos de DataPyme Consulting.</w:t>
      </w:r>
    </w:p>
    <w:p w14:paraId="06ADED0B" w14:textId="77777777" w:rsidR="00D531A0" w:rsidRDefault="00B900B3">
      <w:pPr>
        <w:pStyle w:val="Ttulo3"/>
        <w:spacing w:before="220" w:after="120"/>
      </w:pPr>
      <w:bookmarkStart w:id="26" w:name="_Toc241477552"/>
      <w:r>
        <w:rPr>
          <w:b/>
          <w:bCs/>
          <w:color w:val="0D3B4F"/>
          <w:sz w:val="23"/>
          <w:szCs w:val="23"/>
        </w:rPr>
        <w:t>Procesos estratégicos (PE)</w:t>
      </w:r>
      <w:bookmarkEnd w:id="26"/>
    </w:p>
    <w:p w14:paraId="06ADED0C" w14:textId="77777777" w:rsidR="00D531A0" w:rsidRPr="004D02C1" w:rsidRDefault="00B900B3">
      <w:pPr>
        <w:spacing w:after="200" w:line="360" w:lineRule="auto"/>
        <w:jc w:val="both"/>
        <w:rPr>
          <w:rFonts w:ascii="Arial" w:hAnsi="Arial" w:cs="Arial"/>
        </w:rPr>
      </w:pPr>
      <w:r>
        <w:rPr>
          <w:rFonts w:ascii="Arial" w:hAnsi="Arial" w:cs="Arial"/>
        </w:rPr>
        <w:t>Definen el rumbo de la empresa a largo plazo. Incluyen la Dirección y Estrategia (PE01), donde se revisan trimestralmente los objetivos de negocio a partir del cuadro de mando ejecutivo, y la Mejora Continua (PE02), que recoge las propuestas de mejora surgidas de los propios procesos operativos y de apoyo y decide cuáles se incorporan a la forma de trabajar de la empresa.</w:t>
      </w:r>
    </w:p>
    <w:p w14:paraId="06ADED0D" w14:textId="77777777" w:rsidR="00D531A0" w:rsidRDefault="00B900B3">
      <w:pPr>
        <w:pStyle w:val="Ttulo3"/>
        <w:spacing w:before="220" w:after="120"/>
      </w:pPr>
      <w:bookmarkStart w:id="27" w:name="_Toc241477553"/>
      <w:r>
        <w:rPr>
          <w:b/>
          <w:bCs/>
          <w:color w:val="0D3B4F"/>
          <w:sz w:val="23"/>
          <w:szCs w:val="23"/>
        </w:rPr>
        <w:t>Procesos operativos (PO)</w:t>
      </w:r>
      <w:bookmarkEnd w:id="27"/>
    </w:p>
    <w:p w14:paraId="06ADED0E" w14:textId="38B5CBA8" w:rsidR="00D531A0" w:rsidRDefault="00B900B3">
      <w:pPr>
        <w:spacing w:after="200" w:line="360" w:lineRule="auto"/>
        <w:jc w:val="both"/>
        <w:rPr>
          <w:rFonts w:ascii="Arial" w:hAnsi="Arial" w:cs="Arial"/>
        </w:rPr>
      </w:pPr>
      <w:r>
        <w:rPr>
          <w:rFonts w:ascii="Arial" w:hAnsi="Arial" w:cs="Arial"/>
        </w:rPr>
        <w:t>Constituyen la cadena de valor de DataPyme Consulting, desde la captación del cliente hasta la entrega del servicio: Captación y venta (PO01), Diagnóstico y propuesta (PO02), Ejecución del proyecto (PO03) y Entrega y seguimiento (PO04), junto con dos procesos transversales que dan soporte a los anteriores, Diseño de soluciones de datos (PO05) y Gestión de datos del cliente (PO06). Cabe destacar, que el proceso de entrega y seguimiento (PO04) realimenta información al de Diagnóstico y propuesta (PO02): las lecciones aprendidas en proyectos ya cerrados mejoran el diagnóstico de los siguientes clientes.</w:t>
      </w:r>
    </w:p>
    <w:p w14:paraId="132C3A82" w14:textId="77777777" w:rsidR="004D02C1" w:rsidRPr="004D02C1" w:rsidRDefault="004D02C1">
      <w:pPr>
        <w:spacing w:after="200" w:line="360" w:lineRule="auto"/>
        <w:jc w:val="both"/>
        <w:rPr>
          <w:rFonts w:ascii="Arial" w:hAnsi="Arial" w:cs="Arial"/>
        </w:rPr>
      </w:pPr>
    </w:p>
    <w:p w14:paraId="06ADED0F" w14:textId="77777777" w:rsidR="00D531A0" w:rsidRDefault="00B900B3">
      <w:pPr>
        <w:pStyle w:val="Ttulo3"/>
        <w:spacing w:before="220" w:after="120"/>
      </w:pPr>
      <w:bookmarkStart w:id="28" w:name="_Toc241477554"/>
      <w:r>
        <w:rPr>
          <w:b/>
          <w:bCs/>
          <w:color w:val="0D3B4F"/>
          <w:sz w:val="23"/>
          <w:szCs w:val="23"/>
        </w:rPr>
        <w:t>Procesos de apoyo (PA)</w:t>
      </w:r>
      <w:bookmarkEnd w:id="28"/>
    </w:p>
    <w:p w14:paraId="06ADED10" w14:textId="77777777" w:rsidR="00D531A0" w:rsidRPr="009C00FD" w:rsidRDefault="00B900B3">
      <w:pPr>
        <w:spacing w:after="200" w:line="360" w:lineRule="auto"/>
        <w:jc w:val="both"/>
        <w:rPr>
          <w:rFonts w:ascii="Arial" w:hAnsi="Arial" w:cs="Arial"/>
        </w:rPr>
      </w:pPr>
      <w:r>
        <w:rPr>
          <w:rFonts w:ascii="Arial" w:hAnsi="Arial" w:cs="Arial"/>
        </w:rPr>
        <w:t>Proporcionan los recursos que necesitan los procesos operativos para funcionar: el Aprovisionamiento tecnológico (PA01, licencias de software y hardware), la Gestión de personas y talento (PA02), la Gestión de sistemas e IT (PA03) y la Administración y finanzas (PA04).</w:t>
      </w:r>
    </w:p>
    <w:p w14:paraId="06ADED11" w14:textId="77777777" w:rsidR="00D531A0" w:rsidRDefault="00B900B3">
      <w:pPr>
        <w:pStyle w:val="Ttulo3"/>
        <w:spacing w:before="220" w:after="120"/>
      </w:pPr>
      <w:bookmarkStart w:id="29" w:name="_Toc241477555"/>
      <w:r>
        <w:rPr>
          <w:b/>
          <w:bCs/>
          <w:color w:val="0D3B4F"/>
          <w:sz w:val="23"/>
          <w:szCs w:val="23"/>
        </w:rPr>
        <w:t>Contribución de los datos y los sistemas de información a la eficiencia operativa</w:t>
      </w:r>
      <w:bookmarkEnd w:id="29"/>
    </w:p>
    <w:p w14:paraId="06ADED12" w14:textId="77777777" w:rsidR="00D531A0" w:rsidRPr="001152B7" w:rsidRDefault="00B900B3">
      <w:pPr>
        <w:spacing w:after="200" w:line="360" w:lineRule="auto"/>
        <w:jc w:val="both"/>
        <w:rPr>
          <w:rFonts w:ascii="Arial" w:hAnsi="Arial" w:cs="Arial"/>
        </w:rPr>
      </w:pPr>
      <w:r>
        <w:rPr>
          <w:rFonts w:ascii="Arial" w:hAnsi="Arial" w:cs="Arial"/>
        </w:rPr>
        <w:lastRenderedPageBreak/>
        <w:t>Cada proceso del mapa se apoya en uno o varios sistemas de información que generan y consumen datos, y es ahí donde se materializa la eficiencia operativa de la empresa.</w:t>
      </w:r>
    </w:p>
    <w:p w14:paraId="06ADED13" w14:textId="77777777" w:rsidR="00D531A0" w:rsidRPr="001152B7" w:rsidRDefault="00B900B3">
      <w:pPr>
        <w:spacing w:after="200" w:line="360" w:lineRule="auto"/>
        <w:jc w:val="both"/>
        <w:rPr>
          <w:rFonts w:ascii="Arial" w:hAnsi="Arial" w:cs="Arial"/>
        </w:rPr>
      </w:pPr>
      <w:r>
        <w:rPr>
          <w:rFonts w:ascii="Arial" w:hAnsi="Arial" w:cs="Arial"/>
        </w:rPr>
        <w:t>En la captación y venta (PO01), los leads y las oportunidades se registran en el CRM HubSpot junto con su probabilidad de cierre, lo que permite priorizar las oportunidades más prometedoras y acortar el ciclo de venta. En el diagnóstico y propuesta (PO02), el histórico de proyectos similares, las tarifas y la capacidad disponible de los consultores permiten elaborar propuestas más precisas en alcance y precio, gracias a la realimentación que llega desde el proceso de entrega.</w:t>
      </w:r>
    </w:p>
    <w:p w14:paraId="06ADED14" w14:textId="77777777" w:rsidR="00D531A0" w:rsidRPr="001152B7" w:rsidRDefault="00B900B3">
      <w:pPr>
        <w:spacing w:after="200" w:line="360" w:lineRule="auto"/>
        <w:jc w:val="both"/>
        <w:rPr>
          <w:rFonts w:ascii="Arial" w:hAnsi="Arial" w:cs="Arial"/>
        </w:rPr>
      </w:pPr>
      <w:r>
        <w:rPr>
          <w:rFonts w:ascii="Arial" w:hAnsi="Arial" w:cs="Arial"/>
        </w:rPr>
        <w:t>Durante la ejecución del proyecto (PO03), las horas imputadas, los hitos y los entregables se registran con Toggl o Clockify y se coordinan mediante Teams y Notion, lo que permite un seguimiento casi en tiempo real de plazos y costes y la detección temprana de desviaciones. En la entrega y seguimiento (PO04), la satisfacción del cliente se mide mediante encuestas y alimenta tanto la mejora continua (PE02) como la retención de clientes. Por último, en la administración y finanzas (PA04), Holded y A3 Nómina reducen los días de cobro y permiten calcular la rentabilidad real de cada proyecto.</w:t>
      </w:r>
    </w:p>
    <w:p w14:paraId="06ADED15" w14:textId="77777777" w:rsidR="00D531A0" w:rsidRDefault="00B900B3">
      <w:pPr>
        <w:pStyle w:val="Ttulo2"/>
        <w:spacing w:before="280" w:after="160"/>
      </w:pPr>
      <w:bookmarkStart w:id="30" w:name="_Toc241477556"/>
      <w:r>
        <w:rPr>
          <w:b/>
          <w:bCs/>
          <w:color w:val="1C7A5E"/>
        </w:rPr>
        <w:t>1.5. Relación entre niveles, procesos y datos</w:t>
      </w:r>
      <w:bookmarkEnd w:id="30"/>
    </w:p>
    <w:p w14:paraId="06ADED16" w14:textId="76B88C78" w:rsidR="00D531A0" w:rsidRPr="00C62291" w:rsidRDefault="00B900B3">
      <w:pPr>
        <w:spacing w:after="200" w:line="360" w:lineRule="auto"/>
        <w:jc w:val="both"/>
        <w:rPr>
          <w:rFonts w:ascii="Arial" w:hAnsi="Arial" w:cs="Arial"/>
        </w:rPr>
      </w:pPr>
      <w:r>
        <w:rPr>
          <w:rFonts w:ascii="Arial" w:hAnsi="Arial" w:cs="Arial"/>
        </w:rPr>
        <w:t>Los apartados anteriores han descrito, por separado, los niveles jerárquicos y los procesos de DataPyme Consulting. En la práctica, sin embargo, ambas dimensiones están estrechamente relacionadas: cada proceso se ejecuta principalmente en un nivel jerárquico determinado, y el tipo de dato que se maneja y su horizonte temporal varía en función de ese nivel. A continuación, se resume esta relación, mostrando cómo la información se agrega y sintetiza a medida que asciende de un nivel a otro: los datos «en bruto» que se generan en el nivel operativo (una hora imputada, una factura, un correo) se convierten en indicadores mensuales en el nivel táctico, y estos, a su vez, se resumen en unos pocos indicadores agregados que orientan las decisiones del nivel estratégico.</w:t>
      </w:r>
    </w:p>
    <w:p w14:paraId="06ADED17" w14:textId="77777777" w:rsidR="00D531A0" w:rsidRPr="00095DDC" w:rsidRDefault="00B900B3">
      <w:pPr>
        <w:spacing w:after="200" w:line="360" w:lineRule="auto"/>
        <w:jc w:val="both"/>
        <w:rPr>
          <w:rFonts w:ascii="Arial" w:hAnsi="Arial" w:cs="Arial"/>
        </w:rPr>
      </w:pPr>
      <w:r>
        <w:rPr>
          <w:rFonts w:ascii="Arial" w:hAnsi="Arial" w:cs="Arial"/>
        </w:rPr>
        <w:t>En el nivel estratégico, que se ocupa de los procesos de dirección y mejora continua (PE01 y PE02), el horizonte temporal es de años y los datos son agregados: facturación global, rentabilidad media, cuota de mercado o tendencias del sector. Una decisión típica de este nivel es abrir una nueva línea de servicio o expandirse a otra comunidad autónoma. En el nivel táctico, vinculado a la captación, el diagnóstico y la entrega (PO01, PO02 y PO04), el horizonte es mensual o trimestral y los datos son indicadores por departamento, como el pipeline comercial o la ocupación media del equipo; aquí se decide, por ejemplo, reforzar el equipo comercial o reasignar consultores entre proyectos.</w:t>
      </w:r>
    </w:p>
    <w:p w14:paraId="06ADED18" w14:textId="77777777" w:rsidR="00D531A0" w:rsidRPr="00095DDC" w:rsidRDefault="00B900B3">
      <w:pPr>
        <w:spacing w:after="200" w:line="360" w:lineRule="auto"/>
        <w:jc w:val="both"/>
        <w:rPr>
          <w:rFonts w:ascii="Arial" w:hAnsi="Arial" w:cs="Arial"/>
        </w:rPr>
      </w:pPr>
      <w:r>
        <w:rPr>
          <w:rFonts w:ascii="Arial" w:hAnsi="Arial" w:cs="Arial"/>
        </w:rPr>
        <w:t xml:space="preserve">En el nivel operativo, que ejecuta los procesos de ejecución del proyecto, diseño de soluciones y gestión de datos del cliente (PO03, PO05 y PO06), el horizonte es diario o semanal y los datos son en bruto: horas imputadas, tareas completadas o incidencias; las decisiones son tan concretas como priorizar una tarea o resolver la incidencia de un cliente. Finalmente, los procesos de apoyo (PA01 a PA04) tienen un horizonte variable según la necesidad, manejan datos de recursos como el </w:t>
      </w:r>
      <w:r>
        <w:rPr>
          <w:rFonts w:ascii="Arial" w:hAnsi="Arial" w:cs="Arial"/>
        </w:rPr>
        <w:lastRenderedPageBreak/>
        <w:t>presupuesto disponible o las incidencias técnicas, y sustentan decisiones como renovar una licencia de software o cubrir una vacante.</w:t>
      </w:r>
    </w:p>
    <w:p w14:paraId="203EA16A" w14:textId="77777777" w:rsidR="0013518E" w:rsidRDefault="00B900B3">
      <w:pPr>
        <w:pStyle w:val="Ttulo2"/>
        <w:keepNext/>
        <w:spacing w:before="280" w:after="160"/>
      </w:pPr>
      <w:bookmarkStart w:id="31" w:name="_Toc91004"/>
      <w:r>
        <w:rPr>
          <w:b/>
          <w:bCs/>
          <w:color w:val="1C7A5E"/>
        </w:rPr>
        <w:t>1.6. Gobernanza y seguridad del dato</w:t>
      </w:r>
      <w:bookmarkEnd w:id="31"/>
    </w:p>
    <w:p w14:paraId="1DC3262B" w14:textId="77777777" w:rsidR="0013518E" w:rsidRDefault="00B900B3">
      <w:pPr>
        <w:spacing w:after="200" w:line="360" w:lineRule="auto"/>
        <w:jc w:val="both"/>
        <w:rPr>
          <w:rFonts w:ascii="Arial" w:hAnsi="Arial" w:cs="Arial"/>
        </w:rPr>
      </w:pPr>
      <w:r>
        <w:rPr>
          <w:rFonts w:ascii="Arial" w:hAnsi="Arial" w:cs="Arial"/>
        </w:rPr>
        <w:t>Sin gobierno, el dato es un riesgo; con gobierno, es un activo. La gobernanza del dato es el conjunto de políticas, procesos y normas que garantizan que los datos se gestionan de forma segura, eficiente y ética, y que quien decide puede confiar en ellos. En una consultora como DataPyme Consulting esta cuestión es doblemente relevante, porque gestiona tanto sus propios datos como los de sus clientes (proceso PO06). Se articula en tres ejes.</w:t>
      </w:r>
    </w:p>
    <w:p w14:paraId="629BFE1C" w14:textId="77777777" w:rsidR="0013518E" w:rsidRDefault="00B900B3">
      <w:pPr>
        <w:pStyle w:val="Ttulo3"/>
        <w:keepNext/>
        <w:spacing w:before="220" w:after="120"/>
      </w:pPr>
      <w:bookmarkStart w:id="32" w:name="_Toc91005"/>
      <w:r>
        <w:rPr>
          <w:b/>
          <w:bCs/>
          <w:color w:val="0D3B4F"/>
          <w:sz w:val="23"/>
          <w:szCs w:val="23"/>
        </w:rPr>
        <w:t>Roles y responsabilidades</w:t>
      </w:r>
      <w:bookmarkEnd w:id="32"/>
    </w:p>
    <w:p w14:paraId="157064BF" w14:textId="77777777" w:rsidR="0013518E" w:rsidRDefault="00B900B3">
      <w:pPr>
        <w:spacing w:after="200" w:line="360" w:lineRule="auto"/>
        <w:jc w:val="both"/>
        <w:rPr>
          <w:rFonts w:ascii="Arial" w:hAnsi="Arial" w:cs="Arial"/>
        </w:rPr>
      </w:pPr>
      <w:r>
        <w:rPr>
          <w:rFonts w:ascii="Arial" w:hAnsi="Arial" w:cs="Arial"/>
        </w:rPr>
        <w:t>Cada conjunto de datos tiene un propietario (</w:t>
      </w:r>
      <w:r>
        <w:rPr>
          <w:rFonts w:ascii="Arial" w:hAnsi="Arial" w:cs="Arial"/>
          <w:i/>
          <w:iCs/>
        </w:rPr>
        <w:t>data owner</w:t>
      </w:r>
      <w:r>
        <w:rPr>
          <w:rFonts w:ascii="Arial" w:hAnsi="Arial" w:cs="Arial"/>
        </w:rPr>
        <w:t>), responsable de su definición y de su uso, y un responsable de su calidad (</w:t>
      </w:r>
      <w:r>
        <w:rPr>
          <w:rFonts w:ascii="Arial" w:hAnsi="Arial" w:cs="Arial"/>
          <w:i/>
          <w:iCs/>
        </w:rPr>
        <w:t>data steward</w:t>
      </w:r>
      <w:r>
        <w:rPr>
          <w:rFonts w:ascii="Arial" w:hAnsi="Arial" w:cs="Arial"/>
        </w:rPr>
        <w:t>), que supervisa que se cumplan las reglas. El papel de líder del dato lo asume, como ya se ha indicado, un socio fundador con funciones de Chief Data Officer (CDO). Como se aprecia en la tabla siguiente, los propietarios son los responsables de cada departamento, mientras que Sistemas e IT actúa como responsable técnico de la calidad en todos los casos:</w:t>
      </w:r>
    </w:p>
    <w:p w14:paraId="13D5AE6F" w14:textId="77777777" w:rsidR="0013518E" w:rsidRDefault="00B900B3">
      <w:pPr>
        <w:keepNext/>
        <w:spacing w:before="200" w:after="100"/>
        <w:jc w:val="center"/>
      </w:pPr>
      <w:r>
        <w:rPr>
          <w:i/>
          <w:iCs/>
          <w:color w:val="555555"/>
          <w:sz w:val="20"/>
          <w:szCs w:val="20"/>
        </w:rPr>
        <w:t>Tabla 5. Propietarios y reglas de calidad de los principales datos de DataPyme Consulting.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1400"/>
        <w:gridCol w:w="1900"/>
        <w:gridCol w:w="1500"/>
        <w:gridCol w:w="3138"/>
      </w:tblGrid>
      <w:tr w:rsidR="0013518E" w14:paraId="7D8B1D51" w14:textId="77777777">
        <w:trPr>
          <w:cantSplit/>
          <w:tblHeader/>
        </w:trPr>
        <w:tc>
          <w:tcPr>
            <w:tcW w:w="1700" w:type="dxa"/>
            <w:shd w:val="clear" w:color="auto" w:fill="0D3B4F"/>
            <w:tcMar>
              <w:top w:w="80" w:type="dxa"/>
              <w:left w:w="100" w:type="dxa"/>
              <w:bottom w:w="80" w:type="dxa"/>
              <w:right w:w="100" w:type="dxa"/>
            </w:tcMar>
          </w:tcPr>
          <w:p w14:paraId="079190E6" w14:textId="77777777" w:rsidR="0013518E" w:rsidRDefault="00B900B3">
            <w:pPr>
              <w:keepNext/>
              <w:rPr>
                <w:rFonts w:ascii="Arial" w:hAnsi="Arial" w:cs="Arial"/>
              </w:rPr>
            </w:pPr>
            <w:r>
              <w:rPr>
                <w:rFonts w:ascii="Arial" w:hAnsi="Arial" w:cs="Arial"/>
                <w:b/>
                <w:bCs/>
                <w:color w:val="FFFFFF"/>
                <w:sz w:val="18"/>
                <w:szCs w:val="18"/>
              </w:rPr>
              <w:t>Dato</w:t>
            </w:r>
          </w:p>
        </w:tc>
        <w:tc>
          <w:tcPr>
            <w:tcW w:w="1400" w:type="dxa"/>
            <w:shd w:val="clear" w:color="auto" w:fill="0D3B4F"/>
            <w:tcMar>
              <w:top w:w="80" w:type="dxa"/>
              <w:left w:w="100" w:type="dxa"/>
              <w:bottom w:w="80" w:type="dxa"/>
              <w:right w:w="100" w:type="dxa"/>
            </w:tcMar>
          </w:tcPr>
          <w:p w14:paraId="76708059" w14:textId="77777777" w:rsidR="0013518E" w:rsidRDefault="00B900B3">
            <w:pPr>
              <w:keepNext/>
              <w:rPr>
                <w:rFonts w:ascii="Arial" w:hAnsi="Arial" w:cs="Arial"/>
              </w:rPr>
            </w:pPr>
            <w:r>
              <w:rPr>
                <w:rFonts w:ascii="Arial" w:hAnsi="Arial" w:cs="Arial"/>
                <w:b/>
                <w:bCs/>
                <w:color w:val="FFFFFF"/>
                <w:sz w:val="18"/>
                <w:szCs w:val="18"/>
              </w:rPr>
              <w:t>Sistema</w:t>
            </w:r>
          </w:p>
        </w:tc>
        <w:tc>
          <w:tcPr>
            <w:tcW w:w="1900" w:type="dxa"/>
            <w:shd w:val="clear" w:color="auto" w:fill="0D3B4F"/>
            <w:tcMar>
              <w:top w:w="80" w:type="dxa"/>
              <w:left w:w="100" w:type="dxa"/>
              <w:bottom w:w="80" w:type="dxa"/>
              <w:right w:w="100" w:type="dxa"/>
            </w:tcMar>
          </w:tcPr>
          <w:p w14:paraId="54F8CA65" w14:textId="77777777" w:rsidR="0013518E" w:rsidRDefault="00B900B3">
            <w:pPr>
              <w:keepNext/>
              <w:rPr>
                <w:rFonts w:ascii="Arial" w:hAnsi="Arial" w:cs="Arial"/>
              </w:rPr>
            </w:pPr>
            <w:r>
              <w:rPr>
                <w:rFonts w:ascii="Arial" w:hAnsi="Arial" w:cs="Arial"/>
                <w:b/>
                <w:bCs/>
                <w:color w:val="FFFFFF"/>
                <w:sz w:val="18"/>
                <w:szCs w:val="18"/>
              </w:rPr>
              <w:t>Data owner</w:t>
            </w:r>
          </w:p>
        </w:tc>
        <w:tc>
          <w:tcPr>
            <w:tcW w:w="1500" w:type="dxa"/>
            <w:shd w:val="clear" w:color="auto" w:fill="0D3B4F"/>
            <w:tcMar>
              <w:top w:w="80" w:type="dxa"/>
              <w:left w:w="100" w:type="dxa"/>
              <w:bottom w:w="80" w:type="dxa"/>
              <w:right w:w="100" w:type="dxa"/>
            </w:tcMar>
          </w:tcPr>
          <w:p w14:paraId="67796C77" w14:textId="77777777" w:rsidR="0013518E" w:rsidRDefault="00B900B3">
            <w:pPr>
              <w:keepNext/>
              <w:rPr>
                <w:rFonts w:ascii="Arial" w:hAnsi="Arial" w:cs="Arial"/>
              </w:rPr>
            </w:pPr>
            <w:r>
              <w:rPr>
                <w:rFonts w:ascii="Arial" w:hAnsi="Arial" w:cs="Arial"/>
                <w:b/>
                <w:bCs/>
                <w:color w:val="FFFFFF"/>
                <w:sz w:val="18"/>
                <w:szCs w:val="18"/>
              </w:rPr>
              <w:t>Data steward</w:t>
            </w:r>
          </w:p>
        </w:tc>
        <w:tc>
          <w:tcPr>
            <w:tcW w:w="3138" w:type="dxa"/>
            <w:shd w:val="clear" w:color="auto" w:fill="0D3B4F"/>
            <w:tcMar>
              <w:top w:w="80" w:type="dxa"/>
              <w:left w:w="100" w:type="dxa"/>
              <w:bottom w:w="80" w:type="dxa"/>
              <w:right w:w="100" w:type="dxa"/>
            </w:tcMar>
          </w:tcPr>
          <w:p w14:paraId="38430106" w14:textId="77777777" w:rsidR="0013518E" w:rsidRDefault="00B900B3">
            <w:pPr>
              <w:keepNext/>
              <w:rPr>
                <w:rFonts w:ascii="Arial" w:hAnsi="Arial" w:cs="Arial"/>
              </w:rPr>
            </w:pPr>
            <w:r>
              <w:rPr>
                <w:rFonts w:ascii="Arial" w:hAnsi="Arial" w:cs="Arial"/>
                <w:b/>
                <w:bCs/>
                <w:color w:val="FFFFFF"/>
                <w:sz w:val="18"/>
                <w:szCs w:val="18"/>
              </w:rPr>
              <w:t>Regla de calidad</w:t>
            </w:r>
          </w:p>
        </w:tc>
      </w:tr>
      <w:tr w:rsidR="0013518E" w14:paraId="7F2A9D16" w14:textId="77777777">
        <w:trPr>
          <w:cantSplit/>
        </w:trPr>
        <w:tc>
          <w:tcPr>
            <w:tcW w:w="1700" w:type="dxa"/>
            <w:shd w:val="clear" w:color="auto" w:fill="E8F0EE"/>
            <w:tcMar>
              <w:top w:w="80" w:type="dxa"/>
              <w:left w:w="100" w:type="dxa"/>
              <w:bottom w:w="80" w:type="dxa"/>
              <w:right w:w="100" w:type="dxa"/>
            </w:tcMar>
          </w:tcPr>
          <w:p w14:paraId="5CF099F8" w14:textId="77777777" w:rsidR="0013518E" w:rsidRDefault="00B900B3">
            <w:pPr>
              <w:keepNext/>
              <w:rPr>
                <w:rFonts w:ascii="Arial" w:hAnsi="Arial" w:cs="Arial"/>
              </w:rPr>
            </w:pPr>
            <w:r>
              <w:rPr>
                <w:rFonts w:ascii="Arial" w:hAnsi="Arial" w:cs="Arial"/>
                <w:b/>
                <w:bCs/>
                <w:color w:val="000000"/>
                <w:sz w:val="18"/>
                <w:szCs w:val="18"/>
              </w:rPr>
              <w:t>Oportunidades y pipeline</w:t>
            </w:r>
          </w:p>
        </w:tc>
        <w:tc>
          <w:tcPr>
            <w:tcW w:w="1400" w:type="dxa"/>
            <w:tcMar>
              <w:top w:w="80" w:type="dxa"/>
              <w:left w:w="100" w:type="dxa"/>
              <w:bottom w:w="80" w:type="dxa"/>
              <w:right w:w="100" w:type="dxa"/>
            </w:tcMar>
          </w:tcPr>
          <w:p w14:paraId="154FAE84" w14:textId="77777777" w:rsidR="0013518E" w:rsidRDefault="00B900B3">
            <w:pPr>
              <w:keepNext/>
              <w:rPr>
                <w:rFonts w:ascii="Arial" w:hAnsi="Arial" w:cs="Arial"/>
              </w:rPr>
            </w:pPr>
            <w:r>
              <w:rPr>
                <w:rFonts w:ascii="Arial" w:hAnsi="Arial" w:cs="Arial"/>
                <w:color w:val="000000"/>
                <w:sz w:val="18"/>
                <w:szCs w:val="18"/>
              </w:rPr>
              <w:t>HubSpot</w:t>
            </w:r>
          </w:p>
        </w:tc>
        <w:tc>
          <w:tcPr>
            <w:tcW w:w="1900" w:type="dxa"/>
            <w:tcMar>
              <w:top w:w="80" w:type="dxa"/>
              <w:left w:w="100" w:type="dxa"/>
              <w:bottom w:w="80" w:type="dxa"/>
              <w:right w:w="100" w:type="dxa"/>
            </w:tcMar>
          </w:tcPr>
          <w:p w14:paraId="2CE6B540" w14:textId="77777777" w:rsidR="0013518E" w:rsidRDefault="00B900B3">
            <w:pPr>
              <w:keepNext/>
              <w:rPr>
                <w:rFonts w:ascii="Arial" w:hAnsi="Arial" w:cs="Arial"/>
              </w:rPr>
            </w:pPr>
            <w:r>
              <w:rPr>
                <w:rFonts w:ascii="Arial" w:hAnsi="Arial" w:cs="Arial"/>
                <w:color w:val="000000"/>
                <w:sz w:val="18"/>
                <w:szCs w:val="18"/>
              </w:rPr>
              <w:t>Responsable comercial</w:t>
            </w:r>
          </w:p>
        </w:tc>
        <w:tc>
          <w:tcPr>
            <w:tcW w:w="1500" w:type="dxa"/>
            <w:tcMar>
              <w:top w:w="80" w:type="dxa"/>
              <w:left w:w="100" w:type="dxa"/>
              <w:bottom w:w="80" w:type="dxa"/>
              <w:right w:w="100" w:type="dxa"/>
            </w:tcMar>
          </w:tcPr>
          <w:p w14:paraId="29C4340A" w14:textId="77777777" w:rsidR="0013518E" w:rsidRDefault="00B900B3">
            <w:pPr>
              <w:keepNext/>
              <w:rPr>
                <w:rFonts w:ascii="Arial" w:hAnsi="Arial" w:cs="Arial"/>
              </w:rPr>
            </w:pPr>
            <w:r>
              <w:rPr>
                <w:rFonts w:ascii="Arial" w:hAnsi="Arial" w:cs="Arial"/>
                <w:color w:val="000000"/>
                <w:sz w:val="18"/>
                <w:szCs w:val="18"/>
              </w:rPr>
              <w:t>Sistemas e IT</w:t>
            </w:r>
          </w:p>
        </w:tc>
        <w:tc>
          <w:tcPr>
            <w:tcW w:w="3138" w:type="dxa"/>
            <w:tcMar>
              <w:top w:w="80" w:type="dxa"/>
              <w:left w:w="100" w:type="dxa"/>
              <w:bottom w:w="80" w:type="dxa"/>
              <w:right w:w="100" w:type="dxa"/>
            </w:tcMar>
          </w:tcPr>
          <w:p w14:paraId="670D2AAA" w14:textId="77777777" w:rsidR="0013518E" w:rsidRDefault="00B900B3">
            <w:pPr>
              <w:keepNext/>
              <w:rPr>
                <w:rFonts w:ascii="Arial" w:hAnsi="Arial" w:cs="Arial"/>
              </w:rPr>
            </w:pPr>
            <w:r>
              <w:rPr>
                <w:rFonts w:ascii="Arial" w:hAnsi="Arial" w:cs="Arial"/>
                <w:color w:val="000000"/>
                <w:sz w:val="18"/>
                <w:szCs w:val="18"/>
              </w:rPr>
              <w:t>Toda oportunidad con cliente, importe y probabilidad de cierre.</w:t>
            </w:r>
          </w:p>
        </w:tc>
      </w:tr>
      <w:tr w:rsidR="0013518E" w14:paraId="7661B25E" w14:textId="77777777">
        <w:trPr>
          <w:cantSplit/>
        </w:trPr>
        <w:tc>
          <w:tcPr>
            <w:tcW w:w="1700" w:type="dxa"/>
            <w:shd w:val="clear" w:color="auto" w:fill="E8F0EE"/>
            <w:tcMar>
              <w:top w:w="80" w:type="dxa"/>
              <w:left w:w="100" w:type="dxa"/>
              <w:bottom w:w="80" w:type="dxa"/>
              <w:right w:w="100" w:type="dxa"/>
            </w:tcMar>
          </w:tcPr>
          <w:p w14:paraId="20D95353" w14:textId="77777777" w:rsidR="0013518E" w:rsidRDefault="00B900B3">
            <w:pPr>
              <w:rPr>
                <w:rFonts w:ascii="Arial" w:hAnsi="Arial" w:cs="Arial"/>
              </w:rPr>
            </w:pPr>
            <w:r>
              <w:rPr>
                <w:rFonts w:ascii="Arial" w:hAnsi="Arial" w:cs="Arial"/>
                <w:b/>
                <w:bCs/>
                <w:color w:val="000000"/>
                <w:sz w:val="18"/>
                <w:szCs w:val="18"/>
              </w:rPr>
              <w:t>Horas imputadas</w:t>
            </w:r>
          </w:p>
        </w:tc>
        <w:tc>
          <w:tcPr>
            <w:tcW w:w="1400" w:type="dxa"/>
            <w:tcMar>
              <w:top w:w="80" w:type="dxa"/>
              <w:left w:w="100" w:type="dxa"/>
              <w:bottom w:w="80" w:type="dxa"/>
              <w:right w:w="100" w:type="dxa"/>
            </w:tcMar>
          </w:tcPr>
          <w:p w14:paraId="4C5E5438" w14:textId="77777777" w:rsidR="0013518E" w:rsidRDefault="00B900B3">
            <w:pPr>
              <w:rPr>
                <w:rFonts w:ascii="Arial" w:hAnsi="Arial" w:cs="Arial"/>
              </w:rPr>
            </w:pPr>
            <w:r>
              <w:rPr>
                <w:rFonts w:ascii="Arial" w:hAnsi="Arial" w:cs="Arial"/>
                <w:color w:val="000000"/>
                <w:sz w:val="18"/>
                <w:szCs w:val="18"/>
              </w:rPr>
              <w:t>Toggl / Clockify</w:t>
            </w:r>
          </w:p>
        </w:tc>
        <w:tc>
          <w:tcPr>
            <w:tcW w:w="1900" w:type="dxa"/>
            <w:tcMar>
              <w:top w:w="80" w:type="dxa"/>
              <w:left w:w="100" w:type="dxa"/>
              <w:bottom w:w="80" w:type="dxa"/>
              <w:right w:w="100" w:type="dxa"/>
            </w:tcMar>
          </w:tcPr>
          <w:p w14:paraId="59D1C39B" w14:textId="77777777" w:rsidR="0013518E" w:rsidRDefault="00B900B3">
            <w:pPr>
              <w:rPr>
                <w:rFonts w:ascii="Arial" w:hAnsi="Arial" w:cs="Arial"/>
              </w:rPr>
            </w:pPr>
            <w:r>
              <w:rPr>
                <w:rFonts w:ascii="Arial" w:hAnsi="Arial" w:cs="Arial"/>
                <w:color w:val="000000"/>
                <w:sz w:val="18"/>
                <w:szCs w:val="18"/>
              </w:rPr>
              <w:t>Responsable de proyectos</w:t>
            </w:r>
          </w:p>
        </w:tc>
        <w:tc>
          <w:tcPr>
            <w:tcW w:w="1500" w:type="dxa"/>
            <w:tcMar>
              <w:top w:w="80" w:type="dxa"/>
              <w:left w:w="100" w:type="dxa"/>
              <w:bottom w:w="80" w:type="dxa"/>
              <w:right w:w="100" w:type="dxa"/>
            </w:tcMar>
          </w:tcPr>
          <w:p w14:paraId="5F49F44A" w14:textId="77777777" w:rsidR="0013518E" w:rsidRDefault="00B900B3">
            <w:pPr>
              <w:rPr>
                <w:rFonts w:ascii="Arial" w:hAnsi="Arial" w:cs="Arial"/>
              </w:rPr>
            </w:pPr>
            <w:r>
              <w:rPr>
                <w:rFonts w:ascii="Arial" w:hAnsi="Arial" w:cs="Arial"/>
                <w:color w:val="000000"/>
                <w:sz w:val="18"/>
                <w:szCs w:val="18"/>
              </w:rPr>
              <w:t>Sistemas e IT</w:t>
            </w:r>
          </w:p>
        </w:tc>
        <w:tc>
          <w:tcPr>
            <w:tcW w:w="3138" w:type="dxa"/>
            <w:tcMar>
              <w:top w:w="80" w:type="dxa"/>
              <w:left w:w="100" w:type="dxa"/>
              <w:bottom w:w="80" w:type="dxa"/>
              <w:right w:w="100" w:type="dxa"/>
            </w:tcMar>
          </w:tcPr>
          <w:p w14:paraId="332D92B3" w14:textId="77777777" w:rsidR="0013518E" w:rsidRDefault="00B900B3">
            <w:pPr>
              <w:rPr>
                <w:rFonts w:ascii="Arial" w:hAnsi="Arial" w:cs="Arial"/>
              </w:rPr>
            </w:pPr>
            <w:r>
              <w:rPr>
                <w:rFonts w:ascii="Arial" w:hAnsi="Arial" w:cs="Arial"/>
                <w:color w:val="000000"/>
                <w:sz w:val="18"/>
                <w:szCs w:val="18"/>
              </w:rPr>
              <w:t>Horas registradas en un máximo de 24 h, siempre con proyecto y tarea.</w:t>
            </w:r>
          </w:p>
        </w:tc>
      </w:tr>
      <w:tr w:rsidR="0013518E" w14:paraId="3DACE966" w14:textId="77777777">
        <w:trPr>
          <w:cantSplit/>
        </w:trPr>
        <w:tc>
          <w:tcPr>
            <w:tcW w:w="1700" w:type="dxa"/>
            <w:shd w:val="clear" w:color="auto" w:fill="E8F0EE"/>
            <w:tcMar>
              <w:top w:w="80" w:type="dxa"/>
              <w:left w:w="100" w:type="dxa"/>
              <w:bottom w:w="80" w:type="dxa"/>
              <w:right w:w="100" w:type="dxa"/>
            </w:tcMar>
          </w:tcPr>
          <w:p w14:paraId="1D04BC15" w14:textId="77777777" w:rsidR="0013518E" w:rsidRDefault="00B900B3">
            <w:pPr>
              <w:rPr>
                <w:rFonts w:ascii="Arial" w:hAnsi="Arial" w:cs="Arial"/>
              </w:rPr>
            </w:pPr>
            <w:r>
              <w:rPr>
                <w:rFonts w:ascii="Arial" w:hAnsi="Arial" w:cs="Arial"/>
                <w:b/>
                <w:bCs/>
                <w:color w:val="000000"/>
                <w:sz w:val="18"/>
                <w:szCs w:val="18"/>
              </w:rPr>
              <w:t>Facturación y costes</w:t>
            </w:r>
          </w:p>
        </w:tc>
        <w:tc>
          <w:tcPr>
            <w:tcW w:w="1400" w:type="dxa"/>
            <w:tcMar>
              <w:top w:w="80" w:type="dxa"/>
              <w:left w:w="100" w:type="dxa"/>
              <w:bottom w:w="80" w:type="dxa"/>
              <w:right w:w="100" w:type="dxa"/>
            </w:tcMar>
          </w:tcPr>
          <w:p w14:paraId="59B035E3" w14:textId="77777777" w:rsidR="0013518E" w:rsidRDefault="00B900B3">
            <w:pPr>
              <w:rPr>
                <w:rFonts w:ascii="Arial" w:hAnsi="Arial" w:cs="Arial"/>
              </w:rPr>
            </w:pPr>
            <w:r>
              <w:rPr>
                <w:rFonts w:ascii="Arial" w:hAnsi="Arial" w:cs="Arial"/>
                <w:color w:val="000000"/>
                <w:sz w:val="18"/>
                <w:szCs w:val="18"/>
              </w:rPr>
              <w:t>Holded</w:t>
            </w:r>
          </w:p>
        </w:tc>
        <w:tc>
          <w:tcPr>
            <w:tcW w:w="1900" w:type="dxa"/>
            <w:tcMar>
              <w:top w:w="80" w:type="dxa"/>
              <w:left w:w="100" w:type="dxa"/>
              <w:bottom w:w="80" w:type="dxa"/>
              <w:right w:w="100" w:type="dxa"/>
            </w:tcMar>
          </w:tcPr>
          <w:p w14:paraId="58103183" w14:textId="77777777" w:rsidR="0013518E" w:rsidRDefault="00B900B3">
            <w:pPr>
              <w:rPr>
                <w:rFonts w:ascii="Arial" w:hAnsi="Arial" w:cs="Arial"/>
              </w:rPr>
            </w:pPr>
            <w:r>
              <w:rPr>
                <w:rFonts w:ascii="Arial" w:hAnsi="Arial" w:cs="Arial"/>
                <w:color w:val="000000"/>
                <w:sz w:val="18"/>
                <w:szCs w:val="18"/>
              </w:rPr>
              <w:t>Administración y Finanzas</w:t>
            </w:r>
          </w:p>
        </w:tc>
        <w:tc>
          <w:tcPr>
            <w:tcW w:w="1500" w:type="dxa"/>
            <w:tcMar>
              <w:top w:w="80" w:type="dxa"/>
              <w:left w:w="100" w:type="dxa"/>
              <w:bottom w:w="80" w:type="dxa"/>
              <w:right w:w="100" w:type="dxa"/>
            </w:tcMar>
          </w:tcPr>
          <w:p w14:paraId="00484596" w14:textId="77777777" w:rsidR="0013518E" w:rsidRDefault="00B900B3">
            <w:pPr>
              <w:rPr>
                <w:rFonts w:ascii="Arial" w:hAnsi="Arial" w:cs="Arial"/>
              </w:rPr>
            </w:pPr>
            <w:r>
              <w:rPr>
                <w:rFonts w:ascii="Arial" w:hAnsi="Arial" w:cs="Arial"/>
                <w:color w:val="000000"/>
                <w:sz w:val="18"/>
                <w:szCs w:val="18"/>
              </w:rPr>
              <w:t>Sistemas e IT</w:t>
            </w:r>
          </w:p>
        </w:tc>
        <w:tc>
          <w:tcPr>
            <w:tcW w:w="3138" w:type="dxa"/>
            <w:tcMar>
              <w:top w:w="80" w:type="dxa"/>
              <w:left w:w="100" w:type="dxa"/>
              <w:bottom w:w="80" w:type="dxa"/>
              <w:right w:w="100" w:type="dxa"/>
            </w:tcMar>
          </w:tcPr>
          <w:p w14:paraId="6FA23A8B" w14:textId="77777777" w:rsidR="0013518E" w:rsidRDefault="00B900B3">
            <w:pPr>
              <w:rPr>
                <w:rFonts w:ascii="Arial" w:hAnsi="Arial" w:cs="Arial"/>
              </w:rPr>
            </w:pPr>
            <w:r>
              <w:rPr>
                <w:rFonts w:ascii="Arial" w:hAnsi="Arial" w:cs="Arial"/>
                <w:color w:val="000000"/>
                <w:sz w:val="18"/>
                <w:szCs w:val="18"/>
              </w:rPr>
              <w:t>Conciliación mensual con el modelo de datos.</w:t>
            </w:r>
          </w:p>
        </w:tc>
      </w:tr>
      <w:tr w:rsidR="0013518E" w14:paraId="1029764F" w14:textId="77777777">
        <w:trPr>
          <w:cantSplit/>
        </w:trPr>
        <w:tc>
          <w:tcPr>
            <w:tcW w:w="1700" w:type="dxa"/>
            <w:shd w:val="clear" w:color="auto" w:fill="E8F0EE"/>
            <w:tcMar>
              <w:top w:w="80" w:type="dxa"/>
              <w:left w:w="100" w:type="dxa"/>
              <w:bottom w:w="80" w:type="dxa"/>
              <w:right w:w="100" w:type="dxa"/>
            </w:tcMar>
          </w:tcPr>
          <w:p w14:paraId="2D82BC82" w14:textId="77777777" w:rsidR="0013518E" w:rsidRDefault="00B900B3">
            <w:pPr>
              <w:rPr>
                <w:rFonts w:ascii="Arial" w:hAnsi="Arial" w:cs="Arial"/>
              </w:rPr>
            </w:pPr>
            <w:r>
              <w:rPr>
                <w:rFonts w:ascii="Arial" w:hAnsi="Arial" w:cs="Arial"/>
                <w:b/>
                <w:bCs/>
                <w:color w:val="000000"/>
                <w:sz w:val="18"/>
                <w:szCs w:val="18"/>
              </w:rPr>
              <w:t>Satisfacción del cliente</w:t>
            </w:r>
          </w:p>
        </w:tc>
        <w:tc>
          <w:tcPr>
            <w:tcW w:w="1400" w:type="dxa"/>
            <w:tcMar>
              <w:top w:w="80" w:type="dxa"/>
              <w:left w:w="100" w:type="dxa"/>
              <w:bottom w:w="80" w:type="dxa"/>
              <w:right w:w="100" w:type="dxa"/>
            </w:tcMar>
          </w:tcPr>
          <w:p w14:paraId="0B868186" w14:textId="77777777" w:rsidR="0013518E" w:rsidRDefault="00B900B3">
            <w:pPr>
              <w:rPr>
                <w:rFonts w:ascii="Arial" w:hAnsi="Arial" w:cs="Arial"/>
              </w:rPr>
            </w:pPr>
            <w:r>
              <w:rPr>
                <w:rFonts w:ascii="Arial" w:hAnsi="Arial" w:cs="Arial"/>
                <w:color w:val="000000"/>
                <w:sz w:val="18"/>
                <w:szCs w:val="18"/>
              </w:rPr>
              <w:t>Google Forms</w:t>
            </w:r>
          </w:p>
        </w:tc>
        <w:tc>
          <w:tcPr>
            <w:tcW w:w="1900" w:type="dxa"/>
            <w:tcMar>
              <w:top w:w="80" w:type="dxa"/>
              <w:left w:w="100" w:type="dxa"/>
              <w:bottom w:w="80" w:type="dxa"/>
              <w:right w:w="100" w:type="dxa"/>
            </w:tcMar>
          </w:tcPr>
          <w:p w14:paraId="4223B14B" w14:textId="77777777" w:rsidR="0013518E" w:rsidRDefault="00B900B3">
            <w:pPr>
              <w:rPr>
                <w:rFonts w:ascii="Arial" w:hAnsi="Arial" w:cs="Arial"/>
              </w:rPr>
            </w:pPr>
            <w:r>
              <w:rPr>
                <w:rFonts w:ascii="Arial" w:hAnsi="Arial" w:cs="Arial"/>
                <w:color w:val="000000"/>
                <w:sz w:val="18"/>
                <w:szCs w:val="18"/>
              </w:rPr>
              <w:t>Responsable de proyectos</w:t>
            </w:r>
          </w:p>
        </w:tc>
        <w:tc>
          <w:tcPr>
            <w:tcW w:w="1500" w:type="dxa"/>
            <w:tcMar>
              <w:top w:w="80" w:type="dxa"/>
              <w:left w:w="100" w:type="dxa"/>
              <w:bottom w:w="80" w:type="dxa"/>
              <w:right w:w="100" w:type="dxa"/>
            </w:tcMar>
          </w:tcPr>
          <w:p w14:paraId="6E556C40" w14:textId="77777777" w:rsidR="0013518E" w:rsidRDefault="00B900B3">
            <w:pPr>
              <w:rPr>
                <w:rFonts w:ascii="Arial" w:hAnsi="Arial" w:cs="Arial"/>
              </w:rPr>
            </w:pPr>
            <w:r>
              <w:rPr>
                <w:rFonts w:ascii="Arial" w:hAnsi="Arial" w:cs="Arial"/>
                <w:color w:val="000000"/>
                <w:sz w:val="18"/>
                <w:szCs w:val="18"/>
              </w:rPr>
              <w:t>Sistemas e IT</w:t>
            </w:r>
          </w:p>
        </w:tc>
        <w:tc>
          <w:tcPr>
            <w:tcW w:w="3138" w:type="dxa"/>
            <w:tcMar>
              <w:top w:w="80" w:type="dxa"/>
              <w:left w:w="100" w:type="dxa"/>
              <w:bottom w:w="80" w:type="dxa"/>
              <w:right w:w="100" w:type="dxa"/>
            </w:tcMar>
          </w:tcPr>
          <w:p w14:paraId="5E26C391" w14:textId="77777777" w:rsidR="0013518E" w:rsidRDefault="00B900B3">
            <w:pPr>
              <w:rPr>
                <w:rFonts w:ascii="Arial" w:hAnsi="Arial" w:cs="Arial"/>
              </w:rPr>
            </w:pPr>
            <w:r>
              <w:rPr>
                <w:rFonts w:ascii="Arial" w:hAnsi="Arial" w:cs="Arial"/>
                <w:color w:val="000000"/>
                <w:sz w:val="18"/>
                <w:szCs w:val="18"/>
              </w:rPr>
              <w:t>Una encuesta por proyecto cerrado.</w:t>
            </w:r>
          </w:p>
        </w:tc>
      </w:tr>
      <w:tr w:rsidR="0013518E" w14:paraId="2E79DE61" w14:textId="77777777">
        <w:trPr>
          <w:cantSplit/>
        </w:trPr>
        <w:tc>
          <w:tcPr>
            <w:tcW w:w="1700" w:type="dxa"/>
            <w:shd w:val="clear" w:color="auto" w:fill="E8F0EE"/>
            <w:tcMar>
              <w:top w:w="80" w:type="dxa"/>
              <w:left w:w="100" w:type="dxa"/>
              <w:bottom w:w="80" w:type="dxa"/>
              <w:right w:w="100" w:type="dxa"/>
            </w:tcMar>
          </w:tcPr>
          <w:p w14:paraId="21AC6601" w14:textId="77777777" w:rsidR="0013518E" w:rsidRDefault="00B900B3">
            <w:pPr>
              <w:rPr>
                <w:rFonts w:ascii="Arial" w:hAnsi="Arial" w:cs="Arial"/>
              </w:rPr>
            </w:pPr>
            <w:r>
              <w:rPr>
                <w:rFonts w:ascii="Arial" w:hAnsi="Arial" w:cs="Arial"/>
                <w:b/>
                <w:bCs/>
                <w:color w:val="000000"/>
                <w:sz w:val="18"/>
                <w:szCs w:val="18"/>
              </w:rPr>
              <w:t>Datos de personas</w:t>
            </w:r>
          </w:p>
        </w:tc>
        <w:tc>
          <w:tcPr>
            <w:tcW w:w="1400" w:type="dxa"/>
            <w:tcMar>
              <w:top w:w="80" w:type="dxa"/>
              <w:left w:w="100" w:type="dxa"/>
              <w:bottom w:w="80" w:type="dxa"/>
              <w:right w:w="100" w:type="dxa"/>
            </w:tcMar>
          </w:tcPr>
          <w:p w14:paraId="6DD1FBC4" w14:textId="77777777" w:rsidR="0013518E" w:rsidRDefault="00B900B3">
            <w:pPr>
              <w:rPr>
                <w:rFonts w:ascii="Arial" w:hAnsi="Arial" w:cs="Arial"/>
              </w:rPr>
            </w:pPr>
            <w:r>
              <w:rPr>
                <w:rFonts w:ascii="Arial" w:hAnsi="Arial" w:cs="Arial"/>
                <w:color w:val="000000"/>
                <w:sz w:val="18"/>
                <w:szCs w:val="18"/>
              </w:rPr>
              <w:t>Factorial HR</w:t>
            </w:r>
          </w:p>
        </w:tc>
        <w:tc>
          <w:tcPr>
            <w:tcW w:w="1900" w:type="dxa"/>
            <w:tcMar>
              <w:top w:w="80" w:type="dxa"/>
              <w:left w:w="100" w:type="dxa"/>
              <w:bottom w:w="80" w:type="dxa"/>
              <w:right w:w="100" w:type="dxa"/>
            </w:tcMar>
          </w:tcPr>
          <w:p w14:paraId="2BB49261" w14:textId="77777777" w:rsidR="0013518E" w:rsidRDefault="00B900B3">
            <w:pPr>
              <w:rPr>
                <w:rFonts w:ascii="Arial" w:hAnsi="Arial" w:cs="Arial"/>
              </w:rPr>
            </w:pPr>
            <w:r>
              <w:rPr>
                <w:rFonts w:ascii="Arial" w:hAnsi="Arial" w:cs="Arial"/>
                <w:color w:val="000000"/>
                <w:sz w:val="18"/>
                <w:szCs w:val="18"/>
              </w:rPr>
              <w:t>Recursos Humanos / Dirección</w:t>
            </w:r>
          </w:p>
        </w:tc>
        <w:tc>
          <w:tcPr>
            <w:tcW w:w="1500" w:type="dxa"/>
            <w:tcMar>
              <w:top w:w="80" w:type="dxa"/>
              <w:left w:w="100" w:type="dxa"/>
              <w:bottom w:w="80" w:type="dxa"/>
              <w:right w:w="100" w:type="dxa"/>
            </w:tcMar>
          </w:tcPr>
          <w:p w14:paraId="49605699" w14:textId="77777777" w:rsidR="0013518E" w:rsidRDefault="00B900B3">
            <w:pPr>
              <w:rPr>
                <w:rFonts w:ascii="Arial" w:hAnsi="Arial" w:cs="Arial"/>
              </w:rPr>
            </w:pPr>
            <w:r>
              <w:rPr>
                <w:rFonts w:ascii="Arial" w:hAnsi="Arial" w:cs="Arial"/>
                <w:color w:val="000000"/>
                <w:sz w:val="18"/>
                <w:szCs w:val="18"/>
              </w:rPr>
              <w:t>Sistemas e IT</w:t>
            </w:r>
          </w:p>
        </w:tc>
        <w:tc>
          <w:tcPr>
            <w:tcW w:w="3138" w:type="dxa"/>
            <w:tcMar>
              <w:top w:w="80" w:type="dxa"/>
              <w:left w:w="100" w:type="dxa"/>
              <w:bottom w:w="80" w:type="dxa"/>
              <w:right w:w="100" w:type="dxa"/>
            </w:tcMar>
          </w:tcPr>
          <w:p w14:paraId="0FE710BD" w14:textId="77777777" w:rsidR="0013518E" w:rsidRDefault="00B900B3">
            <w:pPr>
              <w:rPr>
                <w:rFonts w:ascii="Arial" w:hAnsi="Arial" w:cs="Arial"/>
              </w:rPr>
            </w:pPr>
            <w:r>
              <w:rPr>
                <w:rFonts w:ascii="Arial" w:hAnsi="Arial" w:cs="Arial"/>
                <w:color w:val="000000"/>
                <w:sz w:val="18"/>
                <w:szCs w:val="18"/>
              </w:rPr>
              <w:t>Acceso restringido y datos mínimos necesarios.</w:t>
            </w:r>
          </w:p>
        </w:tc>
      </w:tr>
    </w:tbl>
    <w:p w14:paraId="1455002A" w14:textId="77777777" w:rsidR="0013518E" w:rsidRDefault="0013518E">
      <w:pPr>
        <w:spacing w:after="120"/>
      </w:pPr>
    </w:p>
    <w:p w14:paraId="1BF40554" w14:textId="77777777" w:rsidR="0013518E" w:rsidRDefault="00B900B3">
      <w:pPr>
        <w:pStyle w:val="Ttulo3"/>
        <w:keepNext/>
        <w:spacing w:before="220" w:after="120"/>
      </w:pPr>
      <w:bookmarkStart w:id="33" w:name="_Toc91006"/>
      <w:r>
        <w:rPr>
          <w:b/>
          <w:bCs/>
          <w:color w:val="0D3B4F"/>
          <w:sz w:val="23"/>
          <w:szCs w:val="23"/>
        </w:rPr>
        <w:t>Calidad y trazabilidad</w:t>
      </w:r>
      <w:bookmarkEnd w:id="33"/>
    </w:p>
    <w:p w14:paraId="7B7D3896" w14:textId="77777777" w:rsidR="0013518E" w:rsidRDefault="00B900B3">
      <w:pPr>
        <w:spacing w:after="200" w:line="360" w:lineRule="auto"/>
        <w:jc w:val="both"/>
        <w:rPr>
          <w:rFonts w:ascii="Arial" w:hAnsi="Arial" w:cs="Arial"/>
        </w:rPr>
      </w:pPr>
      <w:r>
        <w:rPr>
          <w:rFonts w:ascii="Arial" w:hAnsi="Arial" w:cs="Arial"/>
        </w:rPr>
        <w:t>Más datos no significa mejores decisiones: sin calidad, más dato es más ruido. En 2026 Starbucks retiró en Norteamérica una herramienta de inventario asistida por IA tras detectar errores de conteo, porque el dato que la alimentaba no era fiable. Para evitar un caso similar, DataPyme Consulting define reglas de calidad medidas (como las de la tabla anterior), mantiene un catálogo de datos en Notion con la definición de cada indicador (por ejemplo, qué es una «hora facturable» o un «proyecto activo») y garantiza la trazabilidad de cada cifra: todo indicador del cuadro de mando muestra su fuente y la fecha de la última actualización. Así se evita el problema de las «cinco hojas de Excel que no cuadran».</w:t>
      </w:r>
    </w:p>
    <w:p w14:paraId="0DF0C0DD" w14:textId="77777777" w:rsidR="0013518E" w:rsidRDefault="00B900B3">
      <w:pPr>
        <w:pStyle w:val="Ttulo3"/>
        <w:keepNext/>
        <w:spacing w:before="220" w:after="120"/>
      </w:pPr>
      <w:bookmarkStart w:id="34" w:name="_Toc91007"/>
      <w:r>
        <w:rPr>
          <w:b/>
          <w:bCs/>
          <w:color w:val="0D3B4F"/>
          <w:sz w:val="23"/>
          <w:szCs w:val="23"/>
        </w:rPr>
        <w:lastRenderedPageBreak/>
        <w:t>Cumplimiento normativo y seguridad</w:t>
      </w:r>
      <w:bookmarkEnd w:id="34"/>
    </w:p>
    <w:p w14:paraId="6823A730" w14:textId="77777777" w:rsidR="0013518E" w:rsidRDefault="00B900B3">
      <w:pPr>
        <w:spacing w:after="200" w:line="360" w:lineRule="auto"/>
        <w:jc w:val="both"/>
        <w:rPr>
          <w:rFonts w:ascii="Arial" w:hAnsi="Arial" w:cs="Arial"/>
        </w:rPr>
      </w:pPr>
      <w:r>
        <w:rPr>
          <w:rFonts w:ascii="Arial" w:hAnsi="Arial" w:cs="Arial"/>
        </w:rPr>
        <w:t>Al gestionar datos de clientes, y en ocasiones datos personales de sus empleados o clientes finales, DataPyme Consulting debe cumplir el Reglamento General de Protección de Datos (RGPD). Cuando trata datos personales por cuenta de un cliente actúa como encargado del tratamiento, lo que exige un contrato específico, aplicar el principio de minimización (solo se accede a los datos estrictamente necesarios) y seudonimizar los datos siempre que el análisis lo permita. En cuanto a la inteligencia artificial, el Reglamento de IA (AI Act), modificado por el Reglamento Ómnibus Digital (UE) 2026/1744, exige la alfabetización en IA de las personas que utilizan estos sistemas desde febrero de 2025 (aunque el Ómnibus de 2026 ha suavizado esta obligación) y las obligaciones de transparencia son de aplicación general desde el 2 de agosto de 2026, mientras que las de alto riesgo se han aplazado hasta diciembre de 2027. Esto afecta directamente a la futura línea de servicios de IA aplicada de la empresa.</w:t>
      </w:r>
    </w:p>
    <w:p w14:paraId="3AD1D286" w14:textId="77777777" w:rsidR="0013518E" w:rsidRDefault="00B900B3">
      <w:pPr>
        <w:spacing w:after="200" w:line="360" w:lineRule="auto"/>
        <w:jc w:val="both"/>
        <w:rPr>
          <w:rFonts w:ascii="Arial" w:hAnsi="Arial" w:cs="Arial"/>
        </w:rPr>
      </w:pPr>
      <w:r>
        <w:rPr>
          <w:rFonts w:ascii="Arial" w:hAnsi="Arial" w:cs="Arial"/>
        </w:rPr>
        <w:t>En materia de seguridad, se aplican tres medidas: cifrado y accesos por permisos según el nivel jerárquico (cada persona accede a lo que necesita y no más, tal y como se describe en el apartado 1.3), copias de seguridad aisladas y permisos mínimos para las automatizaciones. Esta última medida recoge la lección del incidente de PocketOS de abril de 2026, en el que un agente de IA de programación borró en segundos una base de datos de producción y sus copias, que se recuperaron dos días después. Por ello, los flujos de Power Automate del proyecto utilizan cuentas de servicio de solo lectura sobre los sistemas de origen y las copias de seguridad se mantienen fuera de su alcance. Con todo ello se busca el equilibrio fundamental de la gobernanza: abrir los datos para innovar sin perder privacidad ni confidencialidad.</w:t>
      </w:r>
    </w:p>
    <w:p w14:paraId="06ADED19" w14:textId="77777777" w:rsidR="00D531A0" w:rsidRDefault="00B900B3">
      <w:pPr>
        <w:pStyle w:val="Ttulo1"/>
        <w:spacing w:before="360" w:after="200"/>
      </w:pPr>
      <w:bookmarkStart w:id="35" w:name="_Toc241477557"/>
      <w:r>
        <w:rPr>
          <w:b/>
          <w:bCs/>
          <w:color w:val="0D3B4F"/>
        </w:rPr>
        <w:t>2. Diseño de un proyecto Data-Driven</w:t>
      </w:r>
      <w:bookmarkEnd w:id="35"/>
    </w:p>
    <w:p w14:paraId="06ADED1A" w14:textId="77777777" w:rsidR="00D531A0" w:rsidRDefault="00B900B3">
      <w:pPr>
        <w:pStyle w:val="Ttulo2"/>
        <w:spacing w:before="280" w:after="160"/>
      </w:pPr>
      <w:bookmarkStart w:id="36" w:name="_Toc241477558"/>
      <w:r>
        <w:rPr>
          <w:b/>
          <w:bCs/>
          <w:color w:val="1C7A5E"/>
        </w:rPr>
        <w:t>2.1. Identificación de la problemática y objetivos (Project Charter)</w:t>
      </w:r>
      <w:bookmarkEnd w:id="36"/>
    </w:p>
    <w:p w14:paraId="06ADED1B" w14:textId="2B41BE32" w:rsidR="00D531A0" w:rsidRPr="00275B8F" w:rsidRDefault="00B900B3">
      <w:pPr>
        <w:spacing w:after="200" w:line="360" w:lineRule="auto"/>
        <w:jc w:val="both"/>
        <w:rPr>
          <w:rFonts w:ascii="Arial" w:hAnsi="Arial" w:cs="Arial"/>
        </w:rPr>
      </w:pPr>
      <w:r>
        <w:rPr>
          <w:rFonts w:ascii="Arial" w:hAnsi="Arial" w:cs="Arial"/>
        </w:rPr>
        <w:t>Desde la creación en 2023, DataPyme Consulting ha crecido de tres a catorce personas y de dos a más de veinte proyectos simultáneos al año. Este crecimiento, sin embargo, no ha ido acompañado de una evolución equivalente en sus propios sistemas de información internos: hoy en día, los datos comerciales viven en el CRM, las horas de cada consultor se registran en una aplicación de fichaje independiente, la facturación se gestiona en el software de contabilidad y la planificación de cada proyecto se controla en hojas de cálculo distintas para cada responsable. La consecuencia directa es que Dirección General no dispone de una visión unificada y actualizada de la rentabilidad real de cada proyecto, de la ocupación de cada consultor o de la fiabilidad de las previsiones de ingresos a tres meses vista, y que gran parte del tiempo de los responsables de área se dedica a consolidar manualmente esta información cada mes en lugar de analizarla y actuar sobre ella. Esta es, precisamente, la paradoja de una consultora que vende a sus clientes la importancia de gestionar con datos, sin aplicar plenamente ese mismo principio puertas adentro.</w:t>
      </w:r>
    </w:p>
    <w:p w14:paraId="1E8642B6" w14:textId="77777777" w:rsidR="0013518E" w:rsidRDefault="00B900B3">
      <w:pPr>
        <w:spacing w:after="200" w:line="360" w:lineRule="auto"/>
        <w:jc w:val="both"/>
        <w:rPr>
          <w:rFonts w:ascii="Arial" w:hAnsi="Arial" w:cs="Arial"/>
        </w:rPr>
      </w:pPr>
      <w:r>
        <w:rPr>
          <w:rFonts w:ascii="Arial" w:hAnsi="Arial" w:cs="Arial"/>
        </w:rPr>
        <w:lastRenderedPageBreak/>
        <w:t>Para llegar a este enunciado del problema se ha seguido el método de los cinco porqués. ¿Por qué Dirección General no conoce la rentabilidad real de cada proyecto? Porque los datos de horas, ingresos y costes están en sistemas distintos. ¿Por qué están separados? Porque cada herramienta se adoptó según la necesidad de cada momento, sin un modelo de datos común. ¿Por qué no se unificaron? Porque con tres personas no era necesario y nadie tenía asignada esa responsabilidad. ¿Por qué se mantiene ahora? Porque no existen definiciones comunes (qué es una hora facturable, qué es un proyecto activo) ni propietarios de cada dato. La causa raíz no es, por tanto, la falta de herramientas, sino la falta de un modelo de datos único y de un gobierno del dato. Este diagnóstico se contrasta en la Fase 1 con entrevistas a los responsables de cada área, la observación del cierre mensual y la medición, durante dos semanas, del tiempo que se dedica a consolidar los informes, que servirá como línea base del segundo objetivo.</w:t>
      </w:r>
    </w:p>
    <w:p w14:paraId="1FBA0667" w14:textId="77777777" w:rsidR="0013518E" w:rsidRDefault="00B900B3">
      <w:pPr>
        <w:spacing w:after="200" w:line="360" w:lineRule="auto"/>
        <w:jc w:val="both"/>
        <w:rPr>
          <w:rFonts w:ascii="Arial" w:hAnsi="Arial" w:cs="Arial"/>
        </w:rPr>
      </w:pPr>
      <w:r>
        <w:rPr>
          <w:rFonts w:ascii="Arial" w:hAnsi="Arial" w:cs="Arial"/>
        </w:rPr>
        <w:t xml:space="preserve">Con todo ello, el problema queda bien definido, con objetivo, métrica, alcance, plazo y restricción: </w:t>
      </w:r>
      <w:r>
        <w:rPr>
          <w:rFonts w:ascii="Arial" w:hAnsi="Arial" w:cs="Arial"/>
          <w:b/>
          <w:bCs/>
        </w:rPr>
        <w:t>reducir un 30 % el tiempo de consolidación manual de informes, disponer de una previsión fiable de ingresos a tres meses y aumentar un 15 % la rentabilidad media por proyecto en los doce meses posteriores a la puesta en marcha, con un presupuesto máximo de 9.500 € y sin interrumpir la actividad con los clientes.</w:t>
      </w:r>
    </w:p>
    <w:p w14:paraId="06ADED1C" w14:textId="77777777" w:rsidR="00D531A0" w:rsidRPr="00275B8F" w:rsidRDefault="00B900B3">
      <w:pPr>
        <w:spacing w:after="200" w:line="360" w:lineRule="auto"/>
        <w:jc w:val="both"/>
        <w:rPr>
          <w:rFonts w:ascii="Arial" w:hAnsi="Arial" w:cs="Arial"/>
        </w:rPr>
      </w:pPr>
      <w:r>
        <w:rPr>
          <w:rFonts w:ascii="Arial" w:hAnsi="Arial" w:cs="Arial"/>
        </w:rPr>
        <w:t>Con el proyecto se persiguen cuatro objetivos principales. En primer lugar, centralizar en un único sistema de información los datos comerciales, de proyecto, de horas y de facturación, hoy dispersos en aplicaciones y hojas de cálculo independientes. En segundo lugar, reducir en un 30 % el tiempo mensual dedicado por los responsables de departamento a la consolidación manual de informes. En tercer lugar, disponer de una previsión fiable de ingresos y de disponibilidad de consultores a tres meses vista. Y, por último, aumentar en un 15 % la rentabilidad media por proyecto mediante una mejor asignación de los consultores en función de su carga de trabajo real. Todos ellos son medibles y verificables a partir de los propios indicadores que el proyecto pondrá en marcha, lo que permitirá evaluar su éxito con criterios objetivos.</w:t>
      </w:r>
    </w:p>
    <w:p w14:paraId="3E945F6E" w14:textId="77777777" w:rsidR="0013518E" w:rsidRDefault="00B900B3">
      <w:pPr>
        <w:spacing w:after="200" w:line="360" w:lineRule="auto"/>
        <w:jc w:val="both"/>
        <w:rPr>
          <w:rFonts w:ascii="Arial" w:hAnsi="Arial" w:cs="Arial"/>
        </w:rPr>
      </w:pPr>
      <w:r>
        <w:rPr>
          <w:rFonts w:ascii="Arial" w:hAnsi="Arial" w:cs="Arial"/>
        </w:rPr>
        <w:t>Para que los objetivos sean SMART (específicos, medibles, alcanzables, relevantes y con plazo), cada uno se asocia a un indicador, una meta, un plazo y un responsable. A los cuatro objetivos anteriores se añade un quinto, de adopción, porque un sistema técnicamente correcto que nadie utiliza no genera valor:</w:t>
      </w:r>
    </w:p>
    <w:p w14:paraId="5D1DD9C6" w14:textId="77777777" w:rsidR="0013518E" w:rsidRDefault="00B900B3">
      <w:pPr>
        <w:keepNext/>
        <w:spacing w:before="200" w:after="100"/>
        <w:jc w:val="center"/>
      </w:pPr>
      <w:r>
        <w:rPr>
          <w:i/>
          <w:iCs/>
          <w:color w:val="555555"/>
          <w:sz w:val="20"/>
          <w:szCs w:val="20"/>
        </w:rPr>
        <w:t>Tabla 6. Objetivos SMART del proyecto DataPyme 360.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2300"/>
        <w:gridCol w:w="2300"/>
        <w:gridCol w:w="1500"/>
        <w:gridCol w:w="1638"/>
      </w:tblGrid>
      <w:tr w:rsidR="0013518E" w14:paraId="42728646" w14:textId="77777777">
        <w:trPr>
          <w:cantSplit/>
          <w:tblHeader/>
        </w:trPr>
        <w:tc>
          <w:tcPr>
            <w:tcW w:w="1900" w:type="dxa"/>
            <w:shd w:val="clear" w:color="auto" w:fill="0D3B4F"/>
            <w:tcMar>
              <w:top w:w="80" w:type="dxa"/>
              <w:left w:w="100" w:type="dxa"/>
              <w:bottom w:w="80" w:type="dxa"/>
              <w:right w:w="100" w:type="dxa"/>
            </w:tcMar>
          </w:tcPr>
          <w:p w14:paraId="5D386076" w14:textId="77777777" w:rsidR="0013518E" w:rsidRDefault="00B900B3">
            <w:pPr>
              <w:keepNext/>
              <w:rPr>
                <w:rFonts w:ascii="Arial" w:hAnsi="Arial" w:cs="Arial"/>
              </w:rPr>
            </w:pPr>
            <w:r>
              <w:rPr>
                <w:rFonts w:ascii="Arial" w:hAnsi="Arial" w:cs="Arial"/>
                <w:b/>
                <w:bCs/>
                <w:color w:val="FFFFFF"/>
                <w:sz w:val="18"/>
                <w:szCs w:val="18"/>
              </w:rPr>
              <w:t>Objetivo</w:t>
            </w:r>
          </w:p>
        </w:tc>
        <w:tc>
          <w:tcPr>
            <w:tcW w:w="2300" w:type="dxa"/>
            <w:shd w:val="clear" w:color="auto" w:fill="0D3B4F"/>
            <w:tcMar>
              <w:top w:w="80" w:type="dxa"/>
              <w:left w:w="100" w:type="dxa"/>
              <w:bottom w:w="80" w:type="dxa"/>
              <w:right w:w="100" w:type="dxa"/>
            </w:tcMar>
          </w:tcPr>
          <w:p w14:paraId="56D97F69" w14:textId="77777777" w:rsidR="0013518E" w:rsidRDefault="00B900B3">
            <w:pPr>
              <w:keepNext/>
              <w:rPr>
                <w:rFonts w:ascii="Arial" w:hAnsi="Arial" w:cs="Arial"/>
              </w:rPr>
            </w:pPr>
            <w:r>
              <w:rPr>
                <w:rFonts w:ascii="Arial" w:hAnsi="Arial" w:cs="Arial"/>
                <w:b/>
                <w:bCs/>
                <w:color w:val="FFFFFF"/>
                <w:sz w:val="18"/>
                <w:szCs w:val="18"/>
              </w:rPr>
              <w:t>Indicador</w:t>
            </w:r>
          </w:p>
        </w:tc>
        <w:tc>
          <w:tcPr>
            <w:tcW w:w="2300" w:type="dxa"/>
            <w:shd w:val="clear" w:color="auto" w:fill="0D3B4F"/>
            <w:tcMar>
              <w:top w:w="80" w:type="dxa"/>
              <w:left w:w="100" w:type="dxa"/>
              <w:bottom w:w="80" w:type="dxa"/>
              <w:right w:w="100" w:type="dxa"/>
            </w:tcMar>
          </w:tcPr>
          <w:p w14:paraId="70F9B23D" w14:textId="77777777" w:rsidR="0013518E" w:rsidRDefault="00B900B3">
            <w:pPr>
              <w:keepNext/>
              <w:rPr>
                <w:rFonts w:ascii="Arial" w:hAnsi="Arial" w:cs="Arial"/>
              </w:rPr>
            </w:pPr>
            <w:r>
              <w:rPr>
                <w:rFonts w:ascii="Arial" w:hAnsi="Arial" w:cs="Arial"/>
                <w:b/>
                <w:bCs/>
                <w:color w:val="FFFFFF"/>
                <w:sz w:val="18"/>
                <w:szCs w:val="18"/>
              </w:rPr>
              <w:t>Meta</w:t>
            </w:r>
          </w:p>
        </w:tc>
        <w:tc>
          <w:tcPr>
            <w:tcW w:w="1500" w:type="dxa"/>
            <w:shd w:val="clear" w:color="auto" w:fill="0D3B4F"/>
            <w:tcMar>
              <w:top w:w="80" w:type="dxa"/>
              <w:left w:w="100" w:type="dxa"/>
              <w:bottom w:w="80" w:type="dxa"/>
              <w:right w:w="100" w:type="dxa"/>
            </w:tcMar>
          </w:tcPr>
          <w:p w14:paraId="3637B8DC" w14:textId="77777777" w:rsidR="0013518E" w:rsidRDefault="00B900B3">
            <w:pPr>
              <w:keepNext/>
              <w:rPr>
                <w:rFonts w:ascii="Arial" w:hAnsi="Arial" w:cs="Arial"/>
              </w:rPr>
            </w:pPr>
            <w:r>
              <w:rPr>
                <w:rFonts w:ascii="Arial" w:hAnsi="Arial" w:cs="Arial"/>
                <w:b/>
                <w:bCs/>
                <w:color w:val="FFFFFF"/>
                <w:sz w:val="18"/>
                <w:szCs w:val="18"/>
              </w:rPr>
              <w:t>Plazo</w:t>
            </w:r>
          </w:p>
        </w:tc>
        <w:tc>
          <w:tcPr>
            <w:tcW w:w="1638" w:type="dxa"/>
            <w:shd w:val="clear" w:color="auto" w:fill="0D3B4F"/>
            <w:tcMar>
              <w:top w:w="80" w:type="dxa"/>
              <w:left w:w="100" w:type="dxa"/>
              <w:bottom w:w="80" w:type="dxa"/>
              <w:right w:w="100" w:type="dxa"/>
            </w:tcMar>
          </w:tcPr>
          <w:p w14:paraId="12BB9C94" w14:textId="77777777" w:rsidR="0013518E" w:rsidRDefault="00B900B3">
            <w:pPr>
              <w:keepNext/>
              <w:rPr>
                <w:rFonts w:ascii="Arial" w:hAnsi="Arial" w:cs="Arial"/>
              </w:rPr>
            </w:pPr>
            <w:r>
              <w:rPr>
                <w:rFonts w:ascii="Arial" w:hAnsi="Arial" w:cs="Arial"/>
                <w:b/>
                <w:bCs/>
                <w:color w:val="FFFFFF"/>
                <w:sz w:val="18"/>
                <w:szCs w:val="18"/>
              </w:rPr>
              <w:t>Responsable</w:t>
            </w:r>
          </w:p>
        </w:tc>
      </w:tr>
      <w:tr w:rsidR="0013518E" w14:paraId="4E7164EF" w14:textId="77777777">
        <w:trPr>
          <w:cantSplit/>
        </w:trPr>
        <w:tc>
          <w:tcPr>
            <w:tcW w:w="1900" w:type="dxa"/>
            <w:shd w:val="clear" w:color="auto" w:fill="E8F0EE"/>
            <w:tcMar>
              <w:top w:w="80" w:type="dxa"/>
              <w:left w:w="100" w:type="dxa"/>
              <w:bottom w:w="80" w:type="dxa"/>
              <w:right w:w="100" w:type="dxa"/>
            </w:tcMar>
          </w:tcPr>
          <w:p w14:paraId="3E960139" w14:textId="77777777" w:rsidR="0013518E" w:rsidRDefault="00B900B3">
            <w:pPr>
              <w:keepNext/>
              <w:rPr>
                <w:rFonts w:ascii="Arial" w:hAnsi="Arial" w:cs="Arial"/>
              </w:rPr>
            </w:pPr>
            <w:r>
              <w:rPr>
                <w:rFonts w:ascii="Arial" w:hAnsi="Arial" w:cs="Arial"/>
                <w:b/>
                <w:bCs/>
                <w:color w:val="000000"/>
                <w:sz w:val="18"/>
                <w:szCs w:val="18"/>
              </w:rPr>
              <w:t>1. Centralizar los datos</w:t>
            </w:r>
          </w:p>
        </w:tc>
        <w:tc>
          <w:tcPr>
            <w:tcW w:w="2300" w:type="dxa"/>
            <w:tcMar>
              <w:top w:w="80" w:type="dxa"/>
              <w:left w:w="100" w:type="dxa"/>
              <w:bottom w:w="80" w:type="dxa"/>
              <w:right w:w="100" w:type="dxa"/>
            </w:tcMar>
          </w:tcPr>
          <w:p w14:paraId="1BB9C0B9" w14:textId="77777777" w:rsidR="0013518E" w:rsidRDefault="00B900B3">
            <w:pPr>
              <w:keepNext/>
              <w:rPr>
                <w:rFonts w:ascii="Arial" w:hAnsi="Arial" w:cs="Arial"/>
              </w:rPr>
            </w:pPr>
            <w:r>
              <w:rPr>
                <w:rFonts w:ascii="Arial" w:hAnsi="Arial" w:cs="Arial"/>
                <w:color w:val="000000"/>
                <w:sz w:val="18"/>
                <w:szCs w:val="18"/>
              </w:rPr>
              <w:t>Fuentes integradas automáticamente</w:t>
            </w:r>
          </w:p>
        </w:tc>
        <w:tc>
          <w:tcPr>
            <w:tcW w:w="2300" w:type="dxa"/>
            <w:tcMar>
              <w:top w:w="80" w:type="dxa"/>
              <w:left w:w="100" w:type="dxa"/>
              <w:bottom w:w="80" w:type="dxa"/>
              <w:right w:w="100" w:type="dxa"/>
            </w:tcMar>
          </w:tcPr>
          <w:p w14:paraId="40234AF4" w14:textId="77777777" w:rsidR="0013518E" w:rsidRDefault="00B900B3">
            <w:pPr>
              <w:keepNext/>
              <w:rPr>
                <w:rFonts w:ascii="Arial" w:hAnsi="Arial" w:cs="Arial"/>
              </w:rPr>
            </w:pPr>
            <w:r>
              <w:rPr>
                <w:rFonts w:ascii="Arial" w:hAnsi="Arial" w:cs="Arial"/>
                <w:color w:val="000000"/>
                <w:sz w:val="18"/>
                <w:szCs w:val="18"/>
              </w:rPr>
              <w:t>4 de 4 fuentes (CRM, horas, contabilidad y encuestas)</w:t>
            </w:r>
          </w:p>
        </w:tc>
        <w:tc>
          <w:tcPr>
            <w:tcW w:w="1500" w:type="dxa"/>
            <w:tcMar>
              <w:top w:w="80" w:type="dxa"/>
              <w:left w:w="100" w:type="dxa"/>
              <w:bottom w:w="80" w:type="dxa"/>
              <w:right w:w="100" w:type="dxa"/>
            </w:tcMar>
          </w:tcPr>
          <w:p w14:paraId="24FF5300" w14:textId="77777777" w:rsidR="0013518E" w:rsidRDefault="00B900B3">
            <w:pPr>
              <w:keepNext/>
              <w:rPr>
                <w:rFonts w:ascii="Arial" w:hAnsi="Arial" w:cs="Arial"/>
              </w:rPr>
            </w:pPr>
            <w:r>
              <w:rPr>
                <w:rFonts w:ascii="Arial" w:hAnsi="Arial" w:cs="Arial"/>
                <w:color w:val="000000"/>
                <w:sz w:val="18"/>
                <w:szCs w:val="18"/>
              </w:rPr>
              <w:t>Semana 10</w:t>
            </w:r>
          </w:p>
        </w:tc>
        <w:tc>
          <w:tcPr>
            <w:tcW w:w="1638" w:type="dxa"/>
            <w:tcMar>
              <w:top w:w="80" w:type="dxa"/>
              <w:left w:w="100" w:type="dxa"/>
              <w:bottom w:w="80" w:type="dxa"/>
              <w:right w:w="100" w:type="dxa"/>
            </w:tcMar>
          </w:tcPr>
          <w:p w14:paraId="721FF11A" w14:textId="77777777" w:rsidR="0013518E" w:rsidRDefault="00B900B3">
            <w:pPr>
              <w:keepNext/>
              <w:rPr>
                <w:rFonts w:ascii="Arial" w:hAnsi="Arial" w:cs="Arial"/>
              </w:rPr>
            </w:pPr>
            <w:r>
              <w:rPr>
                <w:rFonts w:ascii="Arial" w:hAnsi="Arial" w:cs="Arial"/>
                <w:color w:val="000000"/>
                <w:sz w:val="18"/>
                <w:szCs w:val="18"/>
              </w:rPr>
              <w:t>Sistemas e IT</w:t>
            </w:r>
          </w:p>
        </w:tc>
      </w:tr>
      <w:tr w:rsidR="0013518E" w14:paraId="65151E56" w14:textId="77777777">
        <w:trPr>
          <w:cantSplit/>
        </w:trPr>
        <w:tc>
          <w:tcPr>
            <w:tcW w:w="1900" w:type="dxa"/>
            <w:shd w:val="clear" w:color="auto" w:fill="E8F0EE"/>
            <w:tcMar>
              <w:top w:w="80" w:type="dxa"/>
              <w:left w:w="100" w:type="dxa"/>
              <w:bottom w:w="80" w:type="dxa"/>
              <w:right w:w="100" w:type="dxa"/>
            </w:tcMar>
          </w:tcPr>
          <w:p w14:paraId="6F3A13A4" w14:textId="77777777" w:rsidR="0013518E" w:rsidRDefault="00B900B3">
            <w:pPr>
              <w:rPr>
                <w:rFonts w:ascii="Arial" w:hAnsi="Arial" w:cs="Arial"/>
              </w:rPr>
            </w:pPr>
            <w:r>
              <w:rPr>
                <w:rFonts w:ascii="Arial" w:hAnsi="Arial" w:cs="Arial"/>
                <w:b/>
                <w:bCs/>
                <w:color w:val="000000"/>
                <w:sz w:val="18"/>
                <w:szCs w:val="18"/>
              </w:rPr>
              <w:t>2. Reducir la consolidación manual</w:t>
            </w:r>
          </w:p>
        </w:tc>
        <w:tc>
          <w:tcPr>
            <w:tcW w:w="2300" w:type="dxa"/>
            <w:tcMar>
              <w:top w:w="80" w:type="dxa"/>
              <w:left w:w="100" w:type="dxa"/>
              <w:bottom w:w="80" w:type="dxa"/>
              <w:right w:w="100" w:type="dxa"/>
            </w:tcMar>
          </w:tcPr>
          <w:p w14:paraId="22106D38" w14:textId="77777777" w:rsidR="0013518E" w:rsidRDefault="00B900B3">
            <w:pPr>
              <w:rPr>
                <w:rFonts w:ascii="Arial" w:hAnsi="Arial" w:cs="Arial"/>
              </w:rPr>
            </w:pPr>
            <w:r>
              <w:rPr>
                <w:rFonts w:ascii="Arial" w:hAnsi="Arial" w:cs="Arial"/>
                <w:color w:val="000000"/>
                <w:sz w:val="18"/>
                <w:szCs w:val="18"/>
              </w:rPr>
              <w:t>Horas mensuales de consolidación de informes</w:t>
            </w:r>
          </w:p>
        </w:tc>
        <w:tc>
          <w:tcPr>
            <w:tcW w:w="2300" w:type="dxa"/>
            <w:tcMar>
              <w:top w:w="80" w:type="dxa"/>
              <w:left w:w="100" w:type="dxa"/>
              <w:bottom w:w="80" w:type="dxa"/>
              <w:right w:w="100" w:type="dxa"/>
            </w:tcMar>
          </w:tcPr>
          <w:p w14:paraId="6B3AD3E2" w14:textId="77777777" w:rsidR="0013518E" w:rsidRDefault="00B900B3">
            <w:pPr>
              <w:rPr>
                <w:rFonts w:ascii="Arial" w:hAnsi="Arial" w:cs="Arial"/>
              </w:rPr>
            </w:pPr>
            <w:r>
              <w:rPr>
                <w:rFonts w:ascii="Arial" w:hAnsi="Arial" w:cs="Arial"/>
                <w:color w:val="000000"/>
                <w:sz w:val="18"/>
                <w:szCs w:val="18"/>
              </w:rPr>
              <w:t>−30 % respecto a la línea base medida en la Fase 1</w:t>
            </w:r>
          </w:p>
        </w:tc>
        <w:tc>
          <w:tcPr>
            <w:tcW w:w="1500" w:type="dxa"/>
            <w:tcMar>
              <w:top w:w="80" w:type="dxa"/>
              <w:left w:w="100" w:type="dxa"/>
              <w:bottom w:w="80" w:type="dxa"/>
              <w:right w:w="100" w:type="dxa"/>
            </w:tcMar>
          </w:tcPr>
          <w:p w14:paraId="4ADF7D70" w14:textId="77777777" w:rsidR="0013518E" w:rsidRDefault="00B900B3">
            <w:pPr>
              <w:rPr>
                <w:rFonts w:ascii="Arial" w:hAnsi="Arial" w:cs="Arial"/>
              </w:rPr>
            </w:pPr>
            <w:r>
              <w:rPr>
                <w:rFonts w:ascii="Arial" w:hAnsi="Arial" w:cs="Arial"/>
                <w:color w:val="000000"/>
                <w:sz w:val="18"/>
                <w:szCs w:val="18"/>
              </w:rPr>
              <w:t>3 meses tras el despliegue</w:t>
            </w:r>
          </w:p>
        </w:tc>
        <w:tc>
          <w:tcPr>
            <w:tcW w:w="1638" w:type="dxa"/>
            <w:tcMar>
              <w:top w:w="80" w:type="dxa"/>
              <w:left w:w="100" w:type="dxa"/>
              <w:bottom w:w="80" w:type="dxa"/>
              <w:right w:w="100" w:type="dxa"/>
            </w:tcMar>
          </w:tcPr>
          <w:p w14:paraId="7ADC00BC" w14:textId="77777777" w:rsidR="0013518E" w:rsidRDefault="00B900B3">
            <w:pPr>
              <w:rPr>
                <w:rFonts w:ascii="Arial" w:hAnsi="Arial" w:cs="Arial"/>
              </w:rPr>
            </w:pPr>
            <w:r>
              <w:rPr>
                <w:rFonts w:ascii="Arial" w:hAnsi="Arial" w:cs="Arial"/>
                <w:color w:val="000000"/>
                <w:sz w:val="18"/>
                <w:szCs w:val="18"/>
              </w:rPr>
              <w:t>Responsables de departamento</w:t>
            </w:r>
          </w:p>
        </w:tc>
      </w:tr>
      <w:tr w:rsidR="0013518E" w14:paraId="16A56984" w14:textId="77777777">
        <w:trPr>
          <w:cantSplit/>
        </w:trPr>
        <w:tc>
          <w:tcPr>
            <w:tcW w:w="1900" w:type="dxa"/>
            <w:shd w:val="clear" w:color="auto" w:fill="E8F0EE"/>
            <w:tcMar>
              <w:top w:w="80" w:type="dxa"/>
              <w:left w:w="100" w:type="dxa"/>
              <w:bottom w:w="80" w:type="dxa"/>
              <w:right w:w="100" w:type="dxa"/>
            </w:tcMar>
          </w:tcPr>
          <w:p w14:paraId="7639B4C3" w14:textId="77777777" w:rsidR="0013518E" w:rsidRDefault="00B900B3">
            <w:pPr>
              <w:rPr>
                <w:rFonts w:ascii="Arial" w:hAnsi="Arial" w:cs="Arial"/>
              </w:rPr>
            </w:pPr>
            <w:r>
              <w:rPr>
                <w:rFonts w:ascii="Arial" w:hAnsi="Arial" w:cs="Arial"/>
                <w:b/>
                <w:bCs/>
                <w:color w:val="000000"/>
                <w:sz w:val="18"/>
                <w:szCs w:val="18"/>
              </w:rPr>
              <w:lastRenderedPageBreak/>
              <w:t>3. Previsión fiable</w:t>
            </w:r>
          </w:p>
        </w:tc>
        <w:tc>
          <w:tcPr>
            <w:tcW w:w="2300" w:type="dxa"/>
            <w:tcMar>
              <w:top w:w="80" w:type="dxa"/>
              <w:left w:w="100" w:type="dxa"/>
              <w:bottom w:w="80" w:type="dxa"/>
              <w:right w:w="100" w:type="dxa"/>
            </w:tcMar>
          </w:tcPr>
          <w:p w14:paraId="1ED88FC8" w14:textId="77777777" w:rsidR="0013518E" w:rsidRDefault="00B900B3">
            <w:pPr>
              <w:rPr>
                <w:rFonts w:ascii="Arial" w:hAnsi="Arial" w:cs="Arial"/>
              </w:rPr>
            </w:pPr>
            <w:r>
              <w:rPr>
                <w:rFonts w:ascii="Arial" w:hAnsi="Arial" w:cs="Arial"/>
                <w:color w:val="000000"/>
                <w:sz w:val="18"/>
                <w:szCs w:val="18"/>
              </w:rPr>
              <w:t>Desviación entre la previsión de ingresos a 3 meses y el ingreso real</w:t>
            </w:r>
          </w:p>
        </w:tc>
        <w:tc>
          <w:tcPr>
            <w:tcW w:w="2300" w:type="dxa"/>
            <w:tcMar>
              <w:top w:w="80" w:type="dxa"/>
              <w:left w:w="100" w:type="dxa"/>
              <w:bottom w:w="80" w:type="dxa"/>
              <w:right w:w="100" w:type="dxa"/>
            </w:tcMar>
          </w:tcPr>
          <w:p w14:paraId="7510B7B5" w14:textId="77777777" w:rsidR="0013518E" w:rsidRDefault="00B900B3">
            <w:pPr>
              <w:rPr>
                <w:rFonts w:ascii="Arial" w:hAnsi="Arial" w:cs="Arial"/>
              </w:rPr>
            </w:pPr>
            <w:r>
              <w:rPr>
                <w:rFonts w:ascii="Arial" w:hAnsi="Arial" w:cs="Arial"/>
                <w:color w:val="000000"/>
                <w:sz w:val="18"/>
                <w:szCs w:val="18"/>
              </w:rPr>
              <w:t>Desviación inferior al 10 %</w:t>
            </w:r>
          </w:p>
        </w:tc>
        <w:tc>
          <w:tcPr>
            <w:tcW w:w="1500" w:type="dxa"/>
            <w:tcMar>
              <w:top w:w="80" w:type="dxa"/>
              <w:left w:w="100" w:type="dxa"/>
              <w:bottom w:w="80" w:type="dxa"/>
              <w:right w:w="100" w:type="dxa"/>
            </w:tcMar>
          </w:tcPr>
          <w:p w14:paraId="1D64829B" w14:textId="77777777" w:rsidR="0013518E" w:rsidRDefault="00B900B3">
            <w:pPr>
              <w:rPr>
                <w:rFonts w:ascii="Arial" w:hAnsi="Arial" w:cs="Arial"/>
              </w:rPr>
            </w:pPr>
            <w:r>
              <w:rPr>
                <w:rFonts w:ascii="Arial" w:hAnsi="Arial" w:cs="Arial"/>
                <w:color w:val="000000"/>
                <w:sz w:val="18"/>
                <w:szCs w:val="18"/>
              </w:rPr>
              <w:t>6 meses tras el despliegue</w:t>
            </w:r>
          </w:p>
        </w:tc>
        <w:tc>
          <w:tcPr>
            <w:tcW w:w="1638" w:type="dxa"/>
            <w:tcMar>
              <w:top w:w="80" w:type="dxa"/>
              <w:left w:w="100" w:type="dxa"/>
              <w:bottom w:w="80" w:type="dxa"/>
              <w:right w:w="100" w:type="dxa"/>
            </w:tcMar>
          </w:tcPr>
          <w:p w14:paraId="33F344DC" w14:textId="77777777" w:rsidR="0013518E" w:rsidRDefault="00B900B3">
            <w:pPr>
              <w:rPr>
                <w:rFonts w:ascii="Arial" w:hAnsi="Arial" w:cs="Arial"/>
              </w:rPr>
            </w:pPr>
            <w:r>
              <w:rPr>
                <w:rFonts w:ascii="Arial" w:hAnsi="Arial" w:cs="Arial"/>
                <w:color w:val="000000"/>
                <w:sz w:val="18"/>
                <w:szCs w:val="18"/>
              </w:rPr>
              <w:t>Dirección General y Administración</w:t>
            </w:r>
          </w:p>
        </w:tc>
      </w:tr>
      <w:tr w:rsidR="0013518E" w14:paraId="7F6B8E0E" w14:textId="77777777">
        <w:trPr>
          <w:cantSplit/>
        </w:trPr>
        <w:tc>
          <w:tcPr>
            <w:tcW w:w="1900" w:type="dxa"/>
            <w:shd w:val="clear" w:color="auto" w:fill="E8F0EE"/>
            <w:tcMar>
              <w:top w:w="80" w:type="dxa"/>
              <w:left w:w="100" w:type="dxa"/>
              <w:bottom w:w="80" w:type="dxa"/>
              <w:right w:w="100" w:type="dxa"/>
            </w:tcMar>
          </w:tcPr>
          <w:p w14:paraId="62CDAC44" w14:textId="77777777" w:rsidR="0013518E" w:rsidRDefault="00B900B3">
            <w:pPr>
              <w:rPr>
                <w:rFonts w:ascii="Arial" w:hAnsi="Arial" w:cs="Arial"/>
              </w:rPr>
            </w:pPr>
            <w:r>
              <w:rPr>
                <w:rFonts w:ascii="Arial" w:hAnsi="Arial" w:cs="Arial"/>
                <w:b/>
                <w:bCs/>
                <w:color w:val="000000"/>
                <w:sz w:val="18"/>
                <w:szCs w:val="18"/>
              </w:rPr>
              <w:t>4. Mayor rentabilidad</w:t>
            </w:r>
          </w:p>
        </w:tc>
        <w:tc>
          <w:tcPr>
            <w:tcW w:w="2300" w:type="dxa"/>
            <w:tcMar>
              <w:top w:w="80" w:type="dxa"/>
              <w:left w:w="100" w:type="dxa"/>
              <w:bottom w:w="80" w:type="dxa"/>
              <w:right w:w="100" w:type="dxa"/>
            </w:tcMar>
          </w:tcPr>
          <w:p w14:paraId="07569934" w14:textId="77777777" w:rsidR="0013518E" w:rsidRDefault="00B900B3">
            <w:pPr>
              <w:rPr>
                <w:rFonts w:ascii="Arial" w:hAnsi="Arial" w:cs="Arial"/>
              </w:rPr>
            </w:pPr>
            <w:r>
              <w:rPr>
                <w:rFonts w:ascii="Arial" w:hAnsi="Arial" w:cs="Arial"/>
                <w:color w:val="000000"/>
                <w:sz w:val="18"/>
                <w:szCs w:val="18"/>
              </w:rPr>
              <w:t>Rentabilidad media por proyecto</w:t>
            </w:r>
          </w:p>
        </w:tc>
        <w:tc>
          <w:tcPr>
            <w:tcW w:w="2300" w:type="dxa"/>
            <w:tcMar>
              <w:top w:w="80" w:type="dxa"/>
              <w:left w:w="100" w:type="dxa"/>
              <w:bottom w:w="80" w:type="dxa"/>
              <w:right w:w="100" w:type="dxa"/>
            </w:tcMar>
          </w:tcPr>
          <w:p w14:paraId="204013F8" w14:textId="77777777" w:rsidR="0013518E" w:rsidRDefault="00B900B3">
            <w:pPr>
              <w:rPr>
                <w:rFonts w:ascii="Arial" w:hAnsi="Arial" w:cs="Arial"/>
              </w:rPr>
            </w:pPr>
            <w:r>
              <w:rPr>
                <w:rFonts w:ascii="Arial" w:hAnsi="Arial" w:cs="Arial"/>
                <w:color w:val="000000"/>
                <w:sz w:val="18"/>
                <w:szCs w:val="18"/>
              </w:rPr>
              <w:t>+15 %</w:t>
            </w:r>
          </w:p>
        </w:tc>
        <w:tc>
          <w:tcPr>
            <w:tcW w:w="1500" w:type="dxa"/>
            <w:tcMar>
              <w:top w:w="80" w:type="dxa"/>
              <w:left w:w="100" w:type="dxa"/>
              <w:bottom w:w="80" w:type="dxa"/>
              <w:right w:w="100" w:type="dxa"/>
            </w:tcMar>
          </w:tcPr>
          <w:p w14:paraId="554ACDC9" w14:textId="77777777" w:rsidR="0013518E" w:rsidRDefault="00B900B3">
            <w:pPr>
              <w:rPr>
                <w:rFonts w:ascii="Arial" w:hAnsi="Arial" w:cs="Arial"/>
              </w:rPr>
            </w:pPr>
            <w:r>
              <w:rPr>
                <w:rFonts w:ascii="Arial" w:hAnsi="Arial" w:cs="Arial"/>
                <w:color w:val="000000"/>
                <w:sz w:val="18"/>
                <w:szCs w:val="18"/>
              </w:rPr>
              <w:t>12 meses tras el despliegue</w:t>
            </w:r>
          </w:p>
        </w:tc>
        <w:tc>
          <w:tcPr>
            <w:tcW w:w="1638" w:type="dxa"/>
            <w:tcMar>
              <w:top w:w="80" w:type="dxa"/>
              <w:left w:w="100" w:type="dxa"/>
              <w:bottom w:w="80" w:type="dxa"/>
              <w:right w:w="100" w:type="dxa"/>
            </w:tcMar>
          </w:tcPr>
          <w:p w14:paraId="31C576CE" w14:textId="77777777" w:rsidR="0013518E" w:rsidRDefault="00B900B3">
            <w:pPr>
              <w:rPr>
                <w:rFonts w:ascii="Arial" w:hAnsi="Arial" w:cs="Arial"/>
              </w:rPr>
            </w:pPr>
            <w:r>
              <w:rPr>
                <w:rFonts w:ascii="Arial" w:hAnsi="Arial" w:cs="Arial"/>
                <w:color w:val="000000"/>
                <w:sz w:val="18"/>
                <w:szCs w:val="18"/>
              </w:rPr>
              <w:t>Consultoría y Proyectos</w:t>
            </w:r>
          </w:p>
        </w:tc>
      </w:tr>
      <w:tr w:rsidR="0013518E" w14:paraId="67F0D4BF" w14:textId="77777777">
        <w:trPr>
          <w:cantSplit/>
        </w:trPr>
        <w:tc>
          <w:tcPr>
            <w:tcW w:w="1900" w:type="dxa"/>
            <w:shd w:val="clear" w:color="auto" w:fill="E8F0EE"/>
            <w:tcMar>
              <w:top w:w="80" w:type="dxa"/>
              <w:left w:w="100" w:type="dxa"/>
              <w:bottom w:w="80" w:type="dxa"/>
              <w:right w:w="100" w:type="dxa"/>
            </w:tcMar>
          </w:tcPr>
          <w:p w14:paraId="5C35AB64" w14:textId="77777777" w:rsidR="0013518E" w:rsidRDefault="00B900B3">
            <w:pPr>
              <w:rPr>
                <w:rFonts w:ascii="Arial" w:hAnsi="Arial" w:cs="Arial"/>
              </w:rPr>
            </w:pPr>
            <w:r>
              <w:rPr>
                <w:rFonts w:ascii="Arial" w:hAnsi="Arial" w:cs="Arial"/>
                <w:b/>
                <w:bCs/>
                <w:color w:val="000000"/>
                <w:sz w:val="18"/>
                <w:szCs w:val="18"/>
              </w:rPr>
              <w:t>5. Adopción</w:t>
            </w:r>
          </w:p>
        </w:tc>
        <w:tc>
          <w:tcPr>
            <w:tcW w:w="2300" w:type="dxa"/>
            <w:tcMar>
              <w:top w:w="80" w:type="dxa"/>
              <w:left w:w="100" w:type="dxa"/>
              <w:bottom w:w="80" w:type="dxa"/>
              <w:right w:w="100" w:type="dxa"/>
            </w:tcMar>
          </w:tcPr>
          <w:p w14:paraId="11FD025C" w14:textId="77777777" w:rsidR="0013518E" w:rsidRDefault="00B900B3">
            <w:pPr>
              <w:rPr>
                <w:rFonts w:ascii="Arial" w:hAnsi="Arial" w:cs="Arial"/>
              </w:rPr>
            </w:pPr>
            <w:r>
              <w:rPr>
                <w:rFonts w:ascii="Arial" w:hAnsi="Arial" w:cs="Arial"/>
                <w:color w:val="000000"/>
                <w:sz w:val="18"/>
                <w:szCs w:val="18"/>
              </w:rPr>
              <w:t>Personas que consultan su panel al menos una vez por semana</w:t>
            </w:r>
          </w:p>
        </w:tc>
        <w:tc>
          <w:tcPr>
            <w:tcW w:w="2300" w:type="dxa"/>
            <w:tcMar>
              <w:top w:w="80" w:type="dxa"/>
              <w:left w:w="100" w:type="dxa"/>
              <w:bottom w:w="80" w:type="dxa"/>
              <w:right w:w="100" w:type="dxa"/>
            </w:tcMar>
          </w:tcPr>
          <w:p w14:paraId="32502D88" w14:textId="77777777" w:rsidR="0013518E" w:rsidRDefault="00B900B3">
            <w:pPr>
              <w:rPr>
                <w:rFonts w:ascii="Arial" w:hAnsi="Arial" w:cs="Arial"/>
              </w:rPr>
            </w:pPr>
            <w:r>
              <w:rPr>
                <w:rFonts w:ascii="Arial" w:hAnsi="Arial" w:cs="Arial"/>
                <w:color w:val="000000"/>
                <w:sz w:val="18"/>
                <w:szCs w:val="18"/>
              </w:rPr>
              <w:t>80 % de la plantilla</w:t>
            </w:r>
          </w:p>
        </w:tc>
        <w:tc>
          <w:tcPr>
            <w:tcW w:w="1500" w:type="dxa"/>
            <w:tcMar>
              <w:top w:w="80" w:type="dxa"/>
              <w:left w:w="100" w:type="dxa"/>
              <w:bottom w:w="80" w:type="dxa"/>
              <w:right w:w="100" w:type="dxa"/>
            </w:tcMar>
          </w:tcPr>
          <w:p w14:paraId="48EF9764" w14:textId="77777777" w:rsidR="0013518E" w:rsidRDefault="00B900B3">
            <w:pPr>
              <w:rPr>
                <w:rFonts w:ascii="Arial" w:hAnsi="Arial" w:cs="Arial"/>
              </w:rPr>
            </w:pPr>
            <w:r>
              <w:rPr>
                <w:rFonts w:ascii="Arial" w:hAnsi="Arial" w:cs="Arial"/>
                <w:color w:val="000000"/>
                <w:sz w:val="18"/>
                <w:szCs w:val="18"/>
              </w:rPr>
              <w:t>3 meses tras el despliegue</w:t>
            </w:r>
          </w:p>
        </w:tc>
        <w:tc>
          <w:tcPr>
            <w:tcW w:w="1638" w:type="dxa"/>
            <w:tcMar>
              <w:top w:w="80" w:type="dxa"/>
              <w:left w:w="100" w:type="dxa"/>
              <w:bottom w:w="80" w:type="dxa"/>
              <w:right w:w="100" w:type="dxa"/>
            </w:tcMar>
          </w:tcPr>
          <w:p w14:paraId="2A8FC121" w14:textId="77777777" w:rsidR="0013518E" w:rsidRDefault="00B900B3">
            <w:pPr>
              <w:rPr>
                <w:rFonts w:ascii="Arial" w:hAnsi="Arial" w:cs="Arial"/>
              </w:rPr>
            </w:pPr>
            <w:r>
              <w:rPr>
                <w:rFonts w:ascii="Arial" w:hAnsi="Arial" w:cs="Arial"/>
                <w:color w:val="000000"/>
                <w:sz w:val="18"/>
                <w:szCs w:val="18"/>
              </w:rPr>
              <w:t>Dirección General (CDO)</w:t>
            </w:r>
          </w:p>
        </w:tc>
      </w:tr>
    </w:tbl>
    <w:p w14:paraId="1D1E8159" w14:textId="77777777" w:rsidR="0013518E" w:rsidRDefault="0013518E">
      <w:pPr>
        <w:spacing w:after="120"/>
      </w:pPr>
    </w:p>
    <w:p w14:paraId="06ADED1D" w14:textId="77777777" w:rsidR="00D531A0" w:rsidRPr="00275B8F" w:rsidRDefault="00B900B3">
      <w:pPr>
        <w:spacing w:after="200" w:line="360" w:lineRule="auto"/>
        <w:jc w:val="both"/>
        <w:rPr>
          <w:rFonts w:ascii="Arial" w:hAnsi="Arial" w:cs="Arial"/>
        </w:rPr>
      </w:pPr>
      <w:r>
        <w:rPr>
          <w:rFonts w:ascii="Arial" w:hAnsi="Arial" w:cs="Arial"/>
        </w:rPr>
        <w:t>El resumen del proyecto, en formato de ficha o Project Charter, es el siguiente:</w:t>
      </w:r>
    </w:p>
    <w:p w14:paraId="365504A1" w14:textId="77777777" w:rsidR="0013518E" w:rsidRDefault="00B900B3">
      <w:pPr>
        <w:keepNext/>
        <w:spacing w:before="200" w:after="100"/>
        <w:jc w:val="center"/>
      </w:pPr>
      <w:r>
        <w:rPr>
          <w:i/>
          <w:iCs/>
          <w:color w:val="555555"/>
          <w:sz w:val="20"/>
          <w:szCs w:val="20"/>
        </w:rPr>
        <w:t>Tabla 7. Project Charter del proyecto DataPyme 360.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8"/>
        <w:gridCol w:w="6740"/>
      </w:tblGrid>
      <w:tr w:rsidR="00D531A0" w:rsidRPr="00275B8F" w14:paraId="06ADED20" w14:textId="77777777">
        <w:tc>
          <w:tcPr>
            <w:tcW w:w="1500" w:type="pct"/>
            <w:shd w:val="clear" w:color="auto" w:fill="E8F0EE"/>
            <w:tcMar>
              <w:top w:w="100" w:type="dxa"/>
              <w:left w:w="120" w:type="dxa"/>
              <w:bottom w:w="100" w:type="dxa"/>
              <w:right w:w="120" w:type="dxa"/>
            </w:tcMar>
          </w:tcPr>
          <w:p w14:paraId="06ADED1E" w14:textId="77777777" w:rsidR="00D531A0" w:rsidRPr="00275B8F" w:rsidRDefault="00B900B3">
            <w:pPr>
              <w:rPr>
                <w:rFonts w:ascii="Arial" w:hAnsi="Arial" w:cs="Arial"/>
              </w:rPr>
            </w:pPr>
            <w:r>
              <w:rPr>
                <w:rFonts w:ascii="Arial" w:hAnsi="Arial" w:cs="Arial"/>
                <w:b/>
                <w:bCs/>
                <w:color w:val="000000"/>
              </w:rPr>
              <w:t>Nombre del proyecto</w:t>
            </w:r>
          </w:p>
        </w:tc>
        <w:tc>
          <w:tcPr>
            <w:tcW w:w="3500" w:type="pct"/>
            <w:tcMar>
              <w:top w:w="100" w:type="dxa"/>
              <w:left w:w="120" w:type="dxa"/>
              <w:bottom w:w="100" w:type="dxa"/>
              <w:right w:w="120" w:type="dxa"/>
            </w:tcMar>
          </w:tcPr>
          <w:p w14:paraId="06ADED1F" w14:textId="19A6B15A" w:rsidR="00D531A0" w:rsidRPr="00275B8F" w:rsidRDefault="00B900B3">
            <w:pPr>
              <w:rPr>
                <w:rFonts w:ascii="Arial" w:hAnsi="Arial" w:cs="Arial"/>
              </w:rPr>
            </w:pPr>
            <w:r>
              <w:rPr>
                <w:rFonts w:ascii="Arial" w:hAnsi="Arial" w:cs="Arial"/>
                <w:color w:val="000000"/>
              </w:rPr>
              <w:t xml:space="preserve">Implantación de un sistema interno de Business Intelligence (Proyecto </w:t>
            </w:r>
            <w:r>
              <w:rPr>
                <w:rFonts w:ascii="Arial" w:hAnsi="Arial" w:cs="Arial"/>
                <w:i/>
                <w:iCs/>
                <w:color w:val="000000"/>
              </w:rPr>
              <w:t>DataPyme 360</w:t>
            </w:r>
            <w:r>
              <w:rPr>
                <w:rFonts w:ascii="Arial" w:hAnsi="Arial" w:cs="Arial"/>
                <w:color w:val="000000"/>
              </w:rPr>
              <w:t>)</w:t>
            </w:r>
          </w:p>
        </w:tc>
      </w:tr>
      <w:tr w:rsidR="00D531A0" w14:paraId="06ADED23" w14:textId="77777777">
        <w:tc>
          <w:tcPr>
            <w:tcW w:w="1500" w:type="pct"/>
            <w:shd w:val="clear" w:color="auto" w:fill="E8F0EE"/>
            <w:tcMar>
              <w:top w:w="100" w:type="dxa"/>
              <w:left w:w="120" w:type="dxa"/>
              <w:bottom w:w="100" w:type="dxa"/>
              <w:right w:w="120" w:type="dxa"/>
            </w:tcMar>
          </w:tcPr>
          <w:p w14:paraId="06ADED21" w14:textId="77777777" w:rsidR="00D531A0" w:rsidRPr="00275B8F" w:rsidRDefault="00B900B3">
            <w:pPr>
              <w:rPr>
                <w:rFonts w:ascii="Arial" w:hAnsi="Arial" w:cs="Arial"/>
              </w:rPr>
            </w:pPr>
            <w:r>
              <w:rPr>
                <w:rFonts w:ascii="Arial" w:hAnsi="Arial" w:cs="Arial"/>
                <w:b/>
                <w:bCs/>
                <w:color w:val="000000"/>
              </w:rPr>
              <w:t>Patrocinador</w:t>
            </w:r>
          </w:p>
        </w:tc>
        <w:tc>
          <w:tcPr>
            <w:tcW w:w="3500" w:type="pct"/>
            <w:tcMar>
              <w:top w:w="100" w:type="dxa"/>
              <w:left w:w="120" w:type="dxa"/>
              <w:bottom w:w="100" w:type="dxa"/>
              <w:right w:w="120" w:type="dxa"/>
            </w:tcMar>
          </w:tcPr>
          <w:p w14:paraId="06ADED22" w14:textId="77777777" w:rsidR="00D531A0" w:rsidRPr="00275B8F" w:rsidRDefault="00B900B3">
            <w:pPr>
              <w:rPr>
                <w:rFonts w:ascii="Arial" w:hAnsi="Arial" w:cs="Arial"/>
              </w:rPr>
            </w:pPr>
            <w:r>
              <w:rPr>
                <w:rFonts w:ascii="Arial" w:hAnsi="Arial" w:cs="Arial"/>
                <w:color w:val="000000"/>
              </w:rPr>
              <w:t>Dirección General (Gerencia)</w:t>
            </w:r>
          </w:p>
        </w:tc>
      </w:tr>
      <w:tr w:rsidR="00D531A0" w14:paraId="06ADED26" w14:textId="77777777">
        <w:tc>
          <w:tcPr>
            <w:tcW w:w="1500" w:type="pct"/>
            <w:shd w:val="clear" w:color="auto" w:fill="E8F0EE"/>
            <w:tcMar>
              <w:top w:w="100" w:type="dxa"/>
              <w:left w:w="120" w:type="dxa"/>
              <w:bottom w:w="100" w:type="dxa"/>
              <w:right w:w="120" w:type="dxa"/>
            </w:tcMar>
          </w:tcPr>
          <w:p w14:paraId="06ADED24" w14:textId="77777777" w:rsidR="00D531A0" w:rsidRPr="00275B8F" w:rsidRDefault="00B900B3">
            <w:pPr>
              <w:rPr>
                <w:rFonts w:ascii="Arial" w:hAnsi="Arial" w:cs="Arial"/>
              </w:rPr>
            </w:pPr>
            <w:r>
              <w:rPr>
                <w:rFonts w:ascii="Arial" w:hAnsi="Arial" w:cs="Arial"/>
                <w:b/>
                <w:bCs/>
                <w:color w:val="000000"/>
              </w:rPr>
              <w:t>Problema / oportunidad</w:t>
            </w:r>
          </w:p>
        </w:tc>
        <w:tc>
          <w:tcPr>
            <w:tcW w:w="3500" w:type="pct"/>
            <w:tcMar>
              <w:top w:w="100" w:type="dxa"/>
              <w:left w:w="120" w:type="dxa"/>
              <w:bottom w:w="100" w:type="dxa"/>
              <w:right w:w="120" w:type="dxa"/>
            </w:tcMar>
          </w:tcPr>
          <w:p w14:paraId="06ADED25" w14:textId="77777777" w:rsidR="00D531A0" w:rsidRPr="00275B8F" w:rsidRDefault="00B900B3">
            <w:pPr>
              <w:rPr>
                <w:rFonts w:ascii="Arial" w:hAnsi="Arial" w:cs="Arial"/>
              </w:rPr>
            </w:pPr>
            <w:r>
              <w:rPr>
                <w:rFonts w:ascii="Arial" w:hAnsi="Arial" w:cs="Arial"/>
                <w:color w:val="000000"/>
              </w:rPr>
              <w:t>Datos comerciales, de proyecto y de facturación dispersos en sistemas independientes; falta de visión unificada y en tiempo casi real de la rentabilidad y la ocupación</w:t>
            </w:r>
          </w:p>
        </w:tc>
      </w:tr>
      <w:tr w:rsidR="00D531A0" w14:paraId="06ADED29" w14:textId="77777777">
        <w:tc>
          <w:tcPr>
            <w:tcW w:w="1500" w:type="pct"/>
            <w:shd w:val="clear" w:color="auto" w:fill="E8F0EE"/>
            <w:tcMar>
              <w:top w:w="100" w:type="dxa"/>
              <w:left w:w="120" w:type="dxa"/>
              <w:bottom w:w="100" w:type="dxa"/>
              <w:right w:w="120" w:type="dxa"/>
            </w:tcMar>
          </w:tcPr>
          <w:p w14:paraId="06ADED27" w14:textId="77777777" w:rsidR="00D531A0" w:rsidRPr="00275B8F" w:rsidRDefault="00B900B3">
            <w:pPr>
              <w:rPr>
                <w:rFonts w:ascii="Arial" w:hAnsi="Arial" w:cs="Arial"/>
              </w:rPr>
            </w:pPr>
            <w:r>
              <w:rPr>
                <w:rFonts w:ascii="Arial" w:hAnsi="Arial" w:cs="Arial"/>
                <w:b/>
                <w:bCs/>
                <w:color w:val="000000"/>
              </w:rPr>
              <w:t>Objetivo principal</w:t>
            </w:r>
          </w:p>
        </w:tc>
        <w:tc>
          <w:tcPr>
            <w:tcW w:w="3500" w:type="pct"/>
            <w:tcMar>
              <w:top w:w="100" w:type="dxa"/>
              <w:left w:w="120" w:type="dxa"/>
              <w:bottom w:w="100" w:type="dxa"/>
              <w:right w:w="120" w:type="dxa"/>
            </w:tcMar>
          </w:tcPr>
          <w:p w14:paraId="06ADED28" w14:textId="77777777" w:rsidR="00D531A0" w:rsidRPr="00275B8F" w:rsidRDefault="00B900B3">
            <w:pPr>
              <w:rPr>
                <w:rFonts w:ascii="Arial" w:hAnsi="Arial" w:cs="Arial"/>
              </w:rPr>
            </w:pPr>
            <w:r>
              <w:rPr>
                <w:rFonts w:ascii="Arial" w:hAnsi="Arial" w:cs="Arial"/>
                <w:color w:val="000000"/>
              </w:rPr>
              <w:t>Disponer de un cuadro de mando único, alimentado automáticamente, con las tres vistas: estratégica, táctica y operativa</w:t>
            </w:r>
          </w:p>
        </w:tc>
      </w:tr>
      <w:tr w:rsidR="00D531A0" w14:paraId="06ADED2C" w14:textId="77777777">
        <w:tc>
          <w:tcPr>
            <w:tcW w:w="1500" w:type="pct"/>
            <w:shd w:val="clear" w:color="auto" w:fill="E8F0EE"/>
            <w:tcMar>
              <w:top w:w="100" w:type="dxa"/>
              <w:left w:w="120" w:type="dxa"/>
              <w:bottom w:w="100" w:type="dxa"/>
              <w:right w:w="120" w:type="dxa"/>
            </w:tcMar>
          </w:tcPr>
          <w:p w14:paraId="06ADED2A" w14:textId="77777777" w:rsidR="00D531A0" w:rsidRPr="00275B8F" w:rsidRDefault="00B900B3">
            <w:pPr>
              <w:rPr>
                <w:rFonts w:ascii="Arial" w:hAnsi="Arial" w:cs="Arial"/>
              </w:rPr>
            </w:pPr>
            <w:r>
              <w:rPr>
                <w:rFonts w:ascii="Arial" w:hAnsi="Arial" w:cs="Arial"/>
                <w:b/>
                <w:bCs/>
                <w:color w:val="000000"/>
              </w:rPr>
              <w:t>Departamentos implicados</w:t>
            </w:r>
          </w:p>
        </w:tc>
        <w:tc>
          <w:tcPr>
            <w:tcW w:w="3500" w:type="pct"/>
            <w:tcMar>
              <w:top w:w="100" w:type="dxa"/>
              <w:left w:w="120" w:type="dxa"/>
              <w:bottom w:w="100" w:type="dxa"/>
              <w:right w:w="120" w:type="dxa"/>
            </w:tcMar>
          </w:tcPr>
          <w:p w14:paraId="06ADED2B" w14:textId="77777777" w:rsidR="00D531A0" w:rsidRPr="00275B8F" w:rsidRDefault="00B900B3">
            <w:pPr>
              <w:rPr>
                <w:rFonts w:ascii="Arial" w:hAnsi="Arial" w:cs="Arial"/>
              </w:rPr>
            </w:pPr>
            <w:r>
              <w:rPr>
                <w:rFonts w:ascii="Arial" w:hAnsi="Arial" w:cs="Arial"/>
                <w:color w:val="000000"/>
              </w:rPr>
              <w:t>Dirección General, Sistemas e IT, Administración y Finanzas, Comercial, Consultoría y Proyectos</w:t>
            </w:r>
          </w:p>
        </w:tc>
      </w:tr>
      <w:tr w:rsidR="00D531A0" w14:paraId="4B69266B" w14:textId="77777777">
        <w:trPr>
          <w:cantSplit/>
        </w:trPr>
        <w:tc>
          <w:tcPr>
            <w:tcW w:w="1500" w:type="pct"/>
            <w:shd w:val="clear" w:color="auto" w:fill="E8F0EE"/>
            <w:tcMar>
              <w:top w:w="100" w:type="dxa"/>
              <w:left w:w="120" w:type="dxa"/>
              <w:bottom w:w="100" w:type="dxa"/>
              <w:right w:w="120" w:type="dxa"/>
            </w:tcMar>
          </w:tcPr>
          <w:p w14:paraId="769F7165" w14:textId="77777777" w:rsidR="00D531A0" w:rsidRPr="00275B8F" w:rsidRDefault="00B900B3">
            <w:pPr>
              <w:rPr>
                <w:rFonts w:ascii="Arial" w:hAnsi="Arial" w:cs="Arial"/>
              </w:rPr>
            </w:pPr>
            <w:r>
              <w:rPr>
                <w:rFonts w:ascii="Arial" w:hAnsi="Arial" w:cs="Arial"/>
                <w:b/>
                <w:bCs/>
                <w:color w:val="000000"/>
              </w:rPr>
              <w:t>Alcance y entregables</w:t>
            </w:r>
          </w:p>
        </w:tc>
        <w:tc>
          <w:tcPr>
            <w:tcW w:w="3500" w:type="pct"/>
            <w:tcMar>
              <w:top w:w="100" w:type="dxa"/>
              <w:left w:w="120" w:type="dxa"/>
              <w:bottom w:w="100" w:type="dxa"/>
              <w:right w:w="120" w:type="dxa"/>
            </w:tcMar>
          </w:tcPr>
          <w:p w14:paraId="5DCE38E2" w14:textId="77777777" w:rsidR="00D531A0" w:rsidRPr="00275B8F" w:rsidRDefault="00B900B3">
            <w:pPr>
              <w:rPr>
                <w:rFonts w:ascii="Arial" w:hAnsi="Arial" w:cs="Arial"/>
              </w:rPr>
            </w:pPr>
            <w:r>
              <w:rPr>
                <w:rFonts w:ascii="Arial" w:hAnsi="Arial" w:cs="Arial"/>
                <w:color w:val="000000"/>
              </w:rPr>
              <w:t>Modelo de datos único, cuatro conectores automáticos, tres paneles de Power BI (ejecutivo, seguimiento y operativo), catálogo de datos y manual de usuario. Queda fuera el análisis predictivo (segunda etapa).</w:t>
            </w:r>
          </w:p>
        </w:tc>
      </w:tr>
      <w:tr w:rsidR="00D531A0" w14:paraId="30BFD023" w14:textId="77777777">
        <w:trPr>
          <w:cantSplit/>
        </w:trPr>
        <w:tc>
          <w:tcPr>
            <w:tcW w:w="1500" w:type="pct"/>
            <w:shd w:val="clear" w:color="auto" w:fill="E8F0EE"/>
            <w:tcMar>
              <w:top w:w="100" w:type="dxa"/>
              <w:left w:w="120" w:type="dxa"/>
              <w:bottom w:w="100" w:type="dxa"/>
              <w:right w:w="120" w:type="dxa"/>
            </w:tcMar>
          </w:tcPr>
          <w:p w14:paraId="1BF3BB6D" w14:textId="77777777" w:rsidR="00D531A0" w:rsidRPr="00275B8F" w:rsidRDefault="00B900B3">
            <w:pPr>
              <w:rPr>
                <w:rFonts w:ascii="Arial" w:hAnsi="Arial" w:cs="Arial"/>
              </w:rPr>
            </w:pPr>
            <w:r>
              <w:rPr>
                <w:rFonts w:ascii="Arial" w:hAnsi="Arial" w:cs="Arial"/>
                <w:b/>
                <w:bCs/>
                <w:color w:val="000000"/>
              </w:rPr>
              <w:t>Equipo y roles</w:t>
            </w:r>
          </w:p>
        </w:tc>
        <w:tc>
          <w:tcPr>
            <w:tcW w:w="3500" w:type="pct"/>
            <w:tcMar>
              <w:top w:w="100" w:type="dxa"/>
              <w:left w:w="120" w:type="dxa"/>
              <w:bottom w:w="100" w:type="dxa"/>
              <w:right w:w="120" w:type="dxa"/>
            </w:tcMar>
          </w:tcPr>
          <w:p w14:paraId="706A154B" w14:textId="77777777" w:rsidR="00D531A0" w:rsidRPr="00275B8F" w:rsidRDefault="00B900B3">
            <w:pPr>
              <w:rPr>
                <w:rFonts w:ascii="Arial" w:hAnsi="Arial" w:cs="Arial"/>
              </w:rPr>
            </w:pPr>
            <w:r>
              <w:rPr>
                <w:rFonts w:ascii="Arial" w:hAnsi="Arial" w:cs="Arial"/>
                <w:color w:val="000000"/>
              </w:rPr>
              <w:t>Sponsor: Dirección General. Dirección del proyecto y CDO: un socio fundador. Responsable técnico: Sistemas e IT. Usuarios clave: responsable comercial, Administración y responsable de proyectos.</w:t>
            </w:r>
          </w:p>
        </w:tc>
      </w:tr>
      <w:tr w:rsidR="00D531A0" w14:paraId="768F951D" w14:textId="77777777">
        <w:trPr>
          <w:cantSplit/>
        </w:trPr>
        <w:tc>
          <w:tcPr>
            <w:tcW w:w="1500" w:type="pct"/>
            <w:shd w:val="clear" w:color="auto" w:fill="E8F0EE"/>
            <w:tcMar>
              <w:top w:w="100" w:type="dxa"/>
              <w:left w:w="120" w:type="dxa"/>
              <w:bottom w:w="100" w:type="dxa"/>
              <w:right w:w="120" w:type="dxa"/>
            </w:tcMar>
          </w:tcPr>
          <w:p w14:paraId="49A0AC26" w14:textId="77777777" w:rsidR="00D531A0" w:rsidRPr="00275B8F" w:rsidRDefault="00B900B3">
            <w:pPr>
              <w:rPr>
                <w:rFonts w:ascii="Arial" w:hAnsi="Arial" w:cs="Arial"/>
              </w:rPr>
            </w:pPr>
            <w:r>
              <w:rPr>
                <w:rFonts w:ascii="Arial" w:hAnsi="Arial" w:cs="Arial"/>
                <w:b/>
                <w:bCs/>
                <w:color w:val="000000"/>
              </w:rPr>
              <w:t>Metodología</w:t>
            </w:r>
          </w:p>
        </w:tc>
        <w:tc>
          <w:tcPr>
            <w:tcW w:w="3500" w:type="pct"/>
            <w:tcMar>
              <w:top w:w="100" w:type="dxa"/>
              <w:left w:w="120" w:type="dxa"/>
              <w:bottom w:w="100" w:type="dxa"/>
              <w:right w:w="120" w:type="dxa"/>
            </w:tcMar>
          </w:tcPr>
          <w:p w14:paraId="33F91B0D" w14:textId="77777777" w:rsidR="00D531A0" w:rsidRPr="00275B8F" w:rsidRDefault="00B900B3">
            <w:pPr>
              <w:rPr>
                <w:rFonts w:ascii="Arial" w:hAnsi="Arial" w:cs="Arial"/>
              </w:rPr>
            </w:pPr>
            <w:r>
              <w:rPr>
                <w:rFonts w:ascii="Arial" w:hAnsi="Arial" w:cs="Arial"/>
                <w:color w:val="000000"/>
              </w:rPr>
              <w:t>CRISP-DM adaptado, con Design Thinking en la Fase 1, sprints de dos semanas (Scrum) en las Fases 2 y 3 y seguimiento con Lean Analytics.</w:t>
            </w:r>
          </w:p>
        </w:tc>
      </w:tr>
      <w:tr w:rsidR="00D531A0" w14:paraId="3490D40D" w14:textId="77777777">
        <w:trPr>
          <w:cantSplit/>
        </w:trPr>
        <w:tc>
          <w:tcPr>
            <w:tcW w:w="1500" w:type="pct"/>
            <w:shd w:val="clear" w:color="auto" w:fill="E8F0EE"/>
            <w:tcMar>
              <w:top w:w="100" w:type="dxa"/>
              <w:left w:w="120" w:type="dxa"/>
              <w:bottom w:w="100" w:type="dxa"/>
              <w:right w:w="120" w:type="dxa"/>
            </w:tcMar>
          </w:tcPr>
          <w:p w14:paraId="7D58801A" w14:textId="77777777" w:rsidR="00D531A0" w:rsidRPr="00275B8F" w:rsidRDefault="00B900B3">
            <w:pPr>
              <w:rPr>
                <w:rFonts w:ascii="Arial" w:hAnsi="Arial" w:cs="Arial"/>
              </w:rPr>
            </w:pPr>
            <w:r>
              <w:rPr>
                <w:rFonts w:ascii="Arial" w:hAnsi="Arial" w:cs="Arial"/>
                <w:b/>
                <w:bCs/>
                <w:color w:val="000000"/>
              </w:rPr>
              <w:t>Métrica que importa (OMTM)</w:t>
            </w:r>
          </w:p>
        </w:tc>
        <w:tc>
          <w:tcPr>
            <w:tcW w:w="3500" w:type="pct"/>
            <w:tcMar>
              <w:top w:w="100" w:type="dxa"/>
              <w:left w:w="120" w:type="dxa"/>
              <w:bottom w:w="100" w:type="dxa"/>
              <w:right w:w="120" w:type="dxa"/>
            </w:tcMar>
          </w:tcPr>
          <w:p w14:paraId="47376E57" w14:textId="77777777" w:rsidR="00D531A0" w:rsidRPr="00275B8F" w:rsidRDefault="00B900B3">
            <w:pPr>
              <w:rPr>
                <w:rFonts w:ascii="Arial" w:hAnsi="Arial" w:cs="Arial"/>
              </w:rPr>
            </w:pPr>
            <w:r>
              <w:rPr>
                <w:rFonts w:ascii="Arial" w:hAnsi="Arial" w:cs="Arial"/>
                <w:color w:val="000000"/>
              </w:rPr>
              <w:t>Rentabilidad real por proyecto, calculada automáticamente y actualizada de forma semanal.</w:t>
            </w:r>
          </w:p>
        </w:tc>
      </w:tr>
      <w:tr w:rsidR="00D531A0" w14:paraId="2A61FC3B" w14:textId="77777777">
        <w:trPr>
          <w:cantSplit/>
        </w:trPr>
        <w:tc>
          <w:tcPr>
            <w:tcW w:w="1500" w:type="pct"/>
            <w:shd w:val="clear" w:color="auto" w:fill="E8F0EE"/>
            <w:tcMar>
              <w:top w:w="100" w:type="dxa"/>
              <w:left w:w="120" w:type="dxa"/>
              <w:bottom w:w="100" w:type="dxa"/>
              <w:right w:w="120" w:type="dxa"/>
            </w:tcMar>
          </w:tcPr>
          <w:p w14:paraId="3323C566" w14:textId="77777777" w:rsidR="00D531A0" w:rsidRPr="00275B8F" w:rsidRDefault="00B900B3">
            <w:pPr>
              <w:rPr>
                <w:rFonts w:ascii="Arial" w:hAnsi="Arial" w:cs="Arial"/>
              </w:rPr>
            </w:pPr>
            <w:r>
              <w:rPr>
                <w:rFonts w:ascii="Arial" w:hAnsi="Arial" w:cs="Arial"/>
                <w:b/>
                <w:bCs/>
                <w:color w:val="000000"/>
              </w:rPr>
              <w:t>Hitos clave</w:t>
            </w:r>
          </w:p>
        </w:tc>
        <w:tc>
          <w:tcPr>
            <w:tcW w:w="3500" w:type="pct"/>
            <w:tcMar>
              <w:top w:w="100" w:type="dxa"/>
              <w:left w:w="120" w:type="dxa"/>
              <w:bottom w:w="100" w:type="dxa"/>
              <w:right w:w="120" w:type="dxa"/>
            </w:tcMar>
          </w:tcPr>
          <w:p w14:paraId="7E58A940" w14:textId="77777777" w:rsidR="00D531A0" w:rsidRPr="00275B8F" w:rsidRDefault="00B900B3">
            <w:pPr>
              <w:rPr>
                <w:rFonts w:ascii="Arial" w:hAnsi="Arial" w:cs="Arial"/>
              </w:rPr>
            </w:pPr>
            <w:r>
              <w:rPr>
                <w:rFonts w:ascii="Arial" w:hAnsi="Arial" w:cs="Arial"/>
                <w:color w:val="000000"/>
              </w:rPr>
              <w:t>Semana 4: modelo de datos e indicadores aprobados. Semana 10: conectores activos y datos migrados. Semana 14: paneles piloto validados. Semana 16: despliegue y formación completados.</w:t>
            </w:r>
          </w:p>
        </w:tc>
      </w:tr>
      <w:tr w:rsidR="00D531A0" w14:paraId="06ADED2F" w14:textId="77777777">
        <w:tc>
          <w:tcPr>
            <w:tcW w:w="1500" w:type="pct"/>
            <w:shd w:val="clear" w:color="auto" w:fill="E8F0EE"/>
            <w:tcMar>
              <w:top w:w="100" w:type="dxa"/>
              <w:left w:w="120" w:type="dxa"/>
              <w:bottom w:w="100" w:type="dxa"/>
              <w:right w:w="120" w:type="dxa"/>
            </w:tcMar>
          </w:tcPr>
          <w:p w14:paraId="06ADED2D" w14:textId="77777777" w:rsidR="00D531A0" w:rsidRPr="00275B8F" w:rsidRDefault="00B900B3">
            <w:pPr>
              <w:rPr>
                <w:rFonts w:ascii="Arial" w:hAnsi="Arial" w:cs="Arial"/>
              </w:rPr>
            </w:pPr>
            <w:r>
              <w:rPr>
                <w:rFonts w:ascii="Arial" w:hAnsi="Arial" w:cs="Arial"/>
                <w:b/>
                <w:bCs/>
                <w:color w:val="000000"/>
              </w:rPr>
              <w:t>Duración estimada</w:t>
            </w:r>
          </w:p>
        </w:tc>
        <w:tc>
          <w:tcPr>
            <w:tcW w:w="3500" w:type="pct"/>
            <w:tcMar>
              <w:top w:w="100" w:type="dxa"/>
              <w:left w:w="120" w:type="dxa"/>
              <w:bottom w:w="100" w:type="dxa"/>
              <w:right w:w="120" w:type="dxa"/>
            </w:tcMar>
          </w:tcPr>
          <w:p w14:paraId="06ADED2E" w14:textId="77777777" w:rsidR="00D531A0" w:rsidRPr="00275B8F" w:rsidRDefault="00B900B3">
            <w:pPr>
              <w:rPr>
                <w:rFonts w:ascii="Arial" w:hAnsi="Arial" w:cs="Arial"/>
              </w:rPr>
            </w:pPr>
            <w:r>
              <w:rPr>
                <w:rFonts w:ascii="Arial" w:hAnsi="Arial" w:cs="Arial"/>
                <w:color w:val="000000"/>
              </w:rPr>
              <w:t>16 semanas</w:t>
            </w:r>
          </w:p>
        </w:tc>
      </w:tr>
      <w:tr w:rsidR="00D531A0" w14:paraId="06ADED32" w14:textId="77777777">
        <w:tc>
          <w:tcPr>
            <w:tcW w:w="1500" w:type="pct"/>
            <w:shd w:val="clear" w:color="auto" w:fill="E8F0EE"/>
            <w:tcMar>
              <w:top w:w="100" w:type="dxa"/>
              <w:left w:w="120" w:type="dxa"/>
              <w:bottom w:w="100" w:type="dxa"/>
              <w:right w:w="120" w:type="dxa"/>
            </w:tcMar>
          </w:tcPr>
          <w:p w14:paraId="06ADED30" w14:textId="77777777" w:rsidR="00D531A0" w:rsidRPr="00275B8F" w:rsidRDefault="00B900B3">
            <w:pPr>
              <w:rPr>
                <w:rFonts w:ascii="Arial" w:hAnsi="Arial" w:cs="Arial"/>
              </w:rPr>
            </w:pPr>
            <w:r>
              <w:rPr>
                <w:rFonts w:ascii="Arial" w:hAnsi="Arial" w:cs="Arial"/>
                <w:b/>
                <w:bCs/>
                <w:color w:val="000000"/>
              </w:rPr>
              <w:t>Presupuesto estimado</w:t>
            </w:r>
          </w:p>
        </w:tc>
        <w:tc>
          <w:tcPr>
            <w:tcW w:w="3500" w:type="pct"/>
            <w:tcMar>
              <w:top w:w="100" w:type="dxa"/>
              <w:left w:w="120" w:type="dxa"/>
              <w:bottom w:w="100" w:type="dxa"/>
              <w:right w:w="120" w:type="dxa"/>
            </w:tcMar>
          </w:tcPr>
          <w:p w14:paraId="06ADED31" w14:textId="77777777" w:rsidR="00D531A0" w:rsidRPr="00275B8F" w:rsidRDefault="00B900B3">
            <w:pPr>
              <w:rPr>
                <w:rFonts w:ascii="Arial" w:hAnsi="Arial" w:cs="Arial"/>
              </w:rPr>
            </w:pPr>
            <w:r>
              <w:rPr>
                <w:rFonts w:ascii="Arial" w:hAnsi="Arial" w:cs="Arial"/>
                <w:color w:val="000000"/>
              </w:rPr>
              <w:t>9.500 € (licencias de software, horas internas de IT y consultoría externa de implantación)</w:t>
            </w:r>
          </w:p>
        </w:tc>
      </w:tr>
      <w:tr w:rsidR="00D531A0" w14:paraId="06ADED35" w14:textId="77777777">
        <w:tc>
          <w:tcPr>
            <w:tcW w:w="1500" w:type="pct"/>
            <w:shd w:val="clear" w:color="auto" w:fill="E8F0EE"/>
            <w:tcMar>
              <w:top w:w="100" w:type="dxa"/>
              <w:left w:w="120" w:type="dxa"/>
              <w:bottom w:w="100" w:type="dxa"/>
              <w:right w:w="120" w:type="dxa"/>
            </w:tcMar>
          </w:tcPr>
          <w:p w14:paraId="06ADED33" w14:textId="77777777" w:rsidR="00D531A0" w:rsidRPr="00275B8F" w:rsidRDefault="00B900B3">
            <w:pPr>
              <w:rPr>
                <w:rFonts w:ascii="Arial" w:hAnsi="Arial" w:cs="Arial"/>
              </w:rPr>
            </w:pPr>
            <w:r>
              <w:rPr>
                <w:rFonts w:ascii="Arial" w:hAnsi="Arial" w:cs="Arial"/>
                <w:b/>
                <w:bCs/>
                <w:color w:val="000000"/>
              </w:rPr>
              <w:lastRenderedPageBreak/>
              <w:t>Principales riesgos</w:t>
            </w:r>
          </w:p>
        </w:tc>
        <w:tc>
          <w:tcPr>
            <w:tcW w:w="3500" w:type="pct"/>
            <w:tcMar>
              <w:top w:w="100" w:type="dxa"/>
              <w:left w:w="120" w:type="dxa"/>
              <w:bottom w:w="100" w:type="dxa"/>
              <w:right w:w="120" w:type="dxa"/>
            </w:tcMar>
          </w:tcPr>
          <w:p w14:paraId="06ADED34" w14:textId="77777777" w:rsidR="00D531A0" w:rsidRPr="00275B8F" w:rsidRDefault="00B900B3">
            <w:pPr>
              <w:rPr>
                <w:rFonts w:ascii="Arial" w:hAnsi="Arial" w:cs="Arial"/>
              </w:rPr>
            </w:pPr>
            <w:r>
              <w:rPr>
                <w:rFonts w:ascii="Arial" w:hAnsi="Arial" w:cs="Arial"/>
                <w:color w:val="000000"/>
              </w:rPr>
              <w:t>Resistencia al cambio de los equipos a registrar sus datos de forma disciplinada; calidad deficiente de los datos históricos; dependencia de un único perfil técnico interno</w:t>
            </w:r>
          </w:p>
        </w:tc>
      </w:tr>
    </w:tbl>
    <w:p w14:paraId="06ADED36" w14:textId="77777777" w:rsidR="00D531A0" w:rsidRDefault="00D531A0">
      <w:pPr>
        <w:spacing w:after="200"/>
      </w:pPr>
    </w:p>
    <w:p w14:paraId="06ADED37" w14:textId="77777777" w:rsidR="00D531A0" w:rsidRDefault="00B900B3">
      <w:pPr>
        <w:pStyle w:val="Ttulo2"/>
        <w:spacing w:before="280" w:after="160"/>
      </w:pPr>
      <w:bookmarkStart w:id="37" w:name="_Toc241477559"/>
      <w:r>
        <w:rPr>
          <w:b/>
          <w:bCs/>
          <w:color w:val="1C7A5E"/>
        </w:rPr>
        <w:t>2.2. Planteamiento de la solución</w:t>
      </w:r>
      <w:bookmarkEnd w:id="37"/>
    </w:p>
    <w:p w14:paraId="06ADED38" w14:textId="01993895" w:rsidR="00D531A0" w:rsidRDefault="00B900B3">
      <w:pPr>
        <w:spacing w:after="200" w:line="360" w:lineRule="auto"/>
        <w:jc w:val="both"/>
      </w:pPr>
      <w:r>
        <w:rPr>
          <w:rFonts w:ascii="Arial" w:hAnsi="Arial" w:cs="Arial"/>
        </w:rPr>
        <w:t>Para resolver este problema, DataPyme Consulting plantea construir un modelo de datos único que combine cuatro fuentes de información ya existentes en la empresa: los datos comerciales del CRM, los datos de horas imputadas por consultor y proyecto, los datos de facturación y de costes del software de contabilidad, y los datos de satisfacción de cliente recogidos mediante encuestas al cierre de cada proyecto. En lugar de exportar manualmente estos datos cada mes, se automatiza su recopilación mediante conectores y flujos de trabajo mediante Power Automate que extraen periódicamente la información de cada aplicación y la vuelcan en un modelo de datos relacional único, en el que se relacionan clientes, proyectos, consultores, horas y factura</w:t>
      </w:r>
      <w:r>
        <w:t>s.</w:t>
      </w:r>
    </w:p>
    <w:p w14:paraId="06ADED39" w14:textId="77777777" w:rsidR="00D531A0" w:rsidRPr="00F47A4C" w:rsidRDefault="00B900B3">
      <w:pPr>
        <w:spacing w:after="200" w:line="360" w:lineRule="auto"/>
        <w:jc w:val="both"/>
        <w:rPr>
          <w:rFonts w:ascii="Arial" w:hAnsi="Arial" w:cs="Arial"/>
        </w:rPr>
      </w:pPr>
      <w:r>
        <w:rPr>
          <w:rFonts w:ascii="Arial" w:hAnsi="Arial" w:cs="Arial"/>
        </w:rPr>
        <w:t>La primera fuente es el CRM comercial (HubSpot), que aporta las oportunidades abiertas, su probabilidad de cierre, su valor estimado y el cliente asociado; se conecta al modelo mediante su API y se actualiza prácticamente en tiempo real. La segunda es la aplicación de control horario (Toggl o Clockify), que aporta las horas imputadas por consultor, proyecto y tarea, y cuya exportación se automatiza a diario mediante Power Automate. La tercera es el software de contabilidad (Holded), del que se obtienen la facturación emitida y los costes de personal y proveedores por proyecto, con una actualización semanal. La cuarta son las encuestas de satisfacción realizadas con Google Forms al cierre de cada proyecto, cuyas respuestas se vuelcan automáticamente a una hoja de cálculo enlazada.</w:t>
      </w:r>
    </w:p>
    <w:p w14:paraId="06ADED3A" w14:textId="5515FE3E" w:rsidR="00D531A0" w:rsidRPr="00971F42" w:rsidRDefault="00B900B3">
      <w:pPr>
        <w:spacing w:after="200" w:line="360" w:lineRule="auto"/>
        <w:jc w:val="both"/>
        <w:rPr>
          <w:rFonts w:ascii="Arial" w:hAnsi="Arial" w:cs="Arial"/>
        </w:rPr>
      </w:pPr>
      <w:r>
        <w:rPr>
          <w:rFonts w:ascii="Arial" w:hAnsi="Arial" w:cs="Arial"/>
        </w:rPr>
        <w:t>Sobre este modelo de datos integrado se construyen los indicadores clave del proyecto rentabilidad por proyecto (ingresos facturados menos coste de las horas imputadas), tasa de ocupación de cada consultor (horas facturables entre horas disponibles) y previsión de ingresos ponderada por la probabilidad de cierre de cada oportunidad del pipeline y se visualizan mediante paneles de Power BI adaptados a cada nivel de la organización: un panel ejecutivo para Dirección General centrado en la rentabilidad y el pipeline agregados, un panel de seguimiento para los responsables de departamento centrado en la ocupación y el cumplimiento de plazos de sus equipos, y un panel operativo para cada consultor con su propia carga de trabajo y sus propios proyectos en curso.</w:t>
      </w:r>
    </w:p>
    <w:p w14:paraId="0C162034" w14:textId="77777777" w:rsidR="0013518E" w:rsidRDefault="00B900B3">
      <w:pPr>
        <w:spacing w:after="200" w:line="360" w:lineRule="auto"/>
        <w:jc w:val="both"/>
        <w:rPr>
          <w:rFonts w:ascii="Arial" w:hAnsi="Arial" w:cs="Arial"/>
        </w:rPr>
      </w:pPr>
      <w:r>
        <w:rPr>
          <w:rFonts w:ascii="Arial" w:hAnsi="Arial" w:cs="Arial"/>
        </w:rPr>
        <w:t>Las cuatro fuentes se resumen en la tabla siguiente. Todas ellas son datos estructurados generados por los propios sistemas de la empresa, lo que reduce la complejidad de la integración:</w:t>
      </w:r>
    </w:p>
    <w:p w14:paraId="47DE2A48" w14:textId="77777777" w:rsidR="0013518E" w:rsidRDefault="00B900B3">
      <w:pPr>
        <w:keepNext/>
        <w:spacing w:before="200" w:after="100"/>
        <w:jc w:val="center"/>
      </w:pPr>
      <w:r>
        <w:rPr>
          <w:i/>
          <w:iCs/>
          <w:color w:val="555555"/>
          <w:sz w:val="20"/>
          <w:szCs w:val="20"/>
        </w:rPr>
        <w:lastRenderedPageBreak/>
        <w:t>Tabla 8. Fuentes de datos del proyecto DataPyme 360.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300"/>
        <w:gridCol w:w="2900"/>
        <w:gridCol w:w="1638"/>
      </w:tblGrid>
      <w:tr w:rsidR="0013518E" w14:paraId="7DB2A826" w14:textId="77777777">
        <w:trPr>
          <w:cantSplit/>
          <w:tblHeader/>
        </w:trPr>
        <w:tc>
          <w:tcPr>
            <w:tcW w:w="1800" w:type="dxa"/>
            <w:shd w:val="clear" w:color="auto" w:fill="0D3B4F"/>
            <w:tcMar>
              <w:top w:w="80" w:type="dxa"/>
              <w:left w:w="100" w:type="dxa"/>
              <w:bottom w:w="80" w:type="dxa"/>
              <w:right w:w="100" w:type="dxa"/>
            </w:tcMar>
          </w:tcPr>
          <w:p w14:paraId="3108D942" w14:textId="77777777" w:rsidR="0013518E" w:rsidRDefault="00B900B3">
            <w:pPr>
              <w:keepNext/>
              <w:rPr>
                <w:rFonts w:ascii="Arial" w:hAnsi="Arial" w:cs="Arial"/>
              </w:rPr>
            </w:pPr>
            <w:r>
              <w:rPr>
                <w:rFonts w:ascii="Arial" w:hAnsi="Arial" w:cs="Arial"/>
                <w:b/>
                <w:bCs/>
                <w:color w:val="FFFFFF"/>
                <w:sz w:val="18"/>
                <w:szCs w:val="18"/>
              </w:rPr>
              <w:t>Fuente</w:t>
            </w:r>
          </w:p>
        </w:tc>
        <w:tc>
          <w:tcPr>
            <w:tcW w:w="3300" w:type="dxa"/>
            <w:shd w:val="clear" w:color="auto" w:fill="0D3B4F"/>
            <w:tcMar>
              <w:top w:w="80" w:type="dxa"/>
              <w:left w:w="100" w:type="dxa"/>
              <w:bottom w:w="80" w:type="dxa"/>
              <w:right w:w="100" w:type="dxa"/>
            </w:tcMar>
          </w:tcPr>
          <w:p w14:paraId="3B838F4B" w14:textId="77777777" w:rsidR="0013518E" w:rsidRDefault="00B900B3">
            <w:pPr>
              <w:keepNext/>
              <w:rPr>
                <w:rFonts w:ascii="Arial" w:hAnsi="Arial" w:cs="Arial"/>
              </w:rPr>
            </w:pPr>
            <w:r>
              <w:rPr>
                <w:rFonts w:ascii="Arial" w:hAnsi="Arial" w:cs="Arial"/>
                <w:b/>
                <w:bCs/>
                <w:color w:val="FFFFFF"/>
                <w:sz w:val="18"/>
                <w:szCs w:val="18"/>
              </w:rPr>
              <w:t>Datos que aporta</w:t>
            </w:r>
          </w:p>
        </w:tc>
        <w:tc>
          <w:tcPr>
            <w:tcW w:w="2900" w:type="dxa"/>
            <w:shd w:val="clear" w:color="auto" w:fill="0D3B4F"/>
            <w:tcMar>
              <w:top w:w="80" w:type="dxa"/>
              <w:left w:w="100" w:type="dxa"/>
              <w:bottom w:w="80" w:type="dxa"/>
              <w:right w:w="100" w:type="dxa"/>
            </w:tcMar>
          </w:tcPr>
          <w:p w14:paraId="411D13AD" w14:textId="77777777" w:rsidR="0013518E" w:rsidRDefault="00B900B3">
            <w:pPr>
              <w:keepNext/>
              <w:rPr>
                <w:rFonts w:ascii="Arial" w:hAnsi="Arial" w:cs="Arial"/>
              </w:rPr>
            </w:pPr>
            <w:r>
              <w:rPr>
                <w:rFonts w:ascii="Arial" w:hAnsi="Arial" w:cs="Arial"/>
                <w:b/>
                <w:bCs/>
                <w:color w:val="FFFFFF"/>
                <w:sz w:val="18"/>
                <w:szCs w:val="18"/>
              </w:rPr>
              <w:t>Cómo se recopila</w:t>
            </w:r>
          </w:p>
        </w:tc>
        <w:tc>
          <w:tcPr>
            <w:tcW w:w="1638" w:type="dxa"/>
            <w:shd w:val="clear" w:color="auto" w:fill="0D3B4F"/>
            <w:tcMar>
              <w:top w:w="80" w:type="dxa"/>
              <w:left w:w="100" w:type="dxa"/>
              <w:bottom w:w="80" w:type="dxa"/>
              <w:right w:w="100" w:type="dxa"/>
            </w:tcMar>
          </w:tcPr>
          <w:p w14:paraId="1388AF1D" w14:textId="77777777" w:rsidR="0013518E" w:rsidRDefault="00B900B3">
            <w:pPr>
              <w:keepNext/>
              <w:rPr>
                <w:rFonts w:ascii="Arial" w:hAnsi="Arial" w:cs="Arial"/>
              </w:rPr>
            </w:pPr>
            <w:r>
              <w:rPr>
                <w:rFonts w:ascii="Arial" w:hAnsi="Arial" w:cs="Arial"/>
                <w:b/>
                <w:bCs/>
                <w:color w:val="FFFFFF"/>
                <w:sz w:val="18"/>
                <w:szCs w:val="18"/>
              </w:rPr>
              <w:t>Frecuencia</w:t>
            </w:r>
          </w:p>
        </w:tc>
      </w:tr>
      <w:tr w:rsidR="0013518E" w14:paraId="4045415E" w14:textId="77777777">
        <w:trPr>
          <w:cantSplit/>
        </w:trPr>
        <w:tc>
          <w:tcPr>
            <w:tcW w:w="1800" w:type="dxa"/>
            <w:shd w:val="clear" w:color="auto" w:fill="E8F0EE"/>
            <w:tcMar>
              <w:top w:w="80" w:type="dxa"/>
              <w:left w:w="100" w:type="dxa"/>
              <w:bottom w:w="80" w:type="dxa"/>
              <w:right w:w="100" w:type="dxa"/>
            </w:tcMar>
          </w:tcPr>
          <w:p w14:paraId="49E9B7FC" w14:textId="77777777" w:rsidR="0013518E" w:rsidRDefault="00B900B3">
            <w:pPr>
              <w:keepNext/>
              <w:rPr>
                <w:rFonts w:ascii="Arial" w:hAnsi="Arial" w:cs="Arial"/>
              </w:rPr>
            </w:pPr>
            <w:r>
              <w:rPr>
                <w:rFonts w:ascii="Arial" w:hAnsi="Arial" w:cs="Arial"/>
                <w:b/>
                <w:bCs/>
                <w:color w:val="000000"/>
                <w:sz w:val="18"/>
                <w:szCs w:val="18"/>
              </w:rPr>
              <w:t>CRM HubSpot</w:t>
            </w:r>
          </w:p>
        </w:tc>
        <w:tc>
          <w:tcPr>
            <w:tcW w:w="3300" w:type="dxa"/>
            <w:tcMar>
              <w:top w:w="80" w:type="dxa"/>
              <w:left w:w="100" w:type="dxa"/>
              <w:bottom w:w="80" w:type="dxa"/>
              <w:right w:w="100" w:type="dxa"/>
            </w:tcMar>
          </w:tcPr>
          <w:p w14:paraId="264413E4" w14:textId="77777777" w:rsidR="0013518E" w:rsidRDefault="00B900B3">
            <w:pPr>
              <w:keepNext/>
              <w:rPr>
                <w:rFonts w:ascii="Arial" w:hAnsi="Arial" w:cs="Arial"/>
              </w:rPr>
            </w:pPr>
            <w:r>
              <w:rPr>
                <w:rFonts w:ascii="Arial" w:hAnsi="Arial" w:cs="Arial"/>
                <w:color w:val="000000"/>
                <w:sz w:val="18"/>
                <w:szCs w:val="18"/>
              </w:rPr>
              <w:t>Oportunidades, probabilidad de cierre, valor estimado y cliente</w:t>
            </w:r>
          </w:p>
        </w:tc>
        <w:tc>
          <w:tcPr>
            <w:tcW w:w="2900" w:type="dxa"/>
            <w:tcMar>
              <w:top w:w="80" w:type="dxa"/>
              <w:left w:w="100" w:type="dxa"/>
              <w:bottom w:w="80" w:type="dxa"/>
              <w:right w:w="100" w:type="dxa"/>
            </w:tcMar>
          </w:tcPr>
          <w:p w14:paraId="1CBBE766" w14:textId="77777777" w:rsidR="0013518E" w:rsidRDefault="00B900B3">
            <w:pPr>
              <w:keepNext/>
              <w:rPr>
                <w:rFonts w:ascii="Arial" w:hAnsi="Arial" w:cs="Arial"/>
              </w:rPr>
            </w:pPr>
            <w:r>
              <w:rPr>
                <w:rFonts w:ascii="Arial" w:hAnsi="Arial" w:cs="Arial"/>
                <w:color w:val="000000"/>
                <w:sz w:val="18"/>
                <w:szCs w:val="18"/>
              </w:rPr>
              <w:t>Conexión directa mediante API</w:t>
            </w:r>
          </w:p>
        </w:tc>
        <w:tc>
          <w:tcPr>
            <w:tcW w:w="1638" w:type="dxa"/>
            <w:tcMar>
              <w:top w:w="80" w:type="dxa"/>
              <w:left w:w="100" w:type="dxa"/>
              <w:bottom w:w="80" w:type="dxa"/>
              <w:right w:w="100" w:type="dxa"/>
            </w:tcMar>
          </w:tcPr>
          <w:p w14:paraId="6FA8F829" w14:textId="77777777" w:rsidR="0013518E" w:rsidRDefault="00B900B3">
            <w:pPr>
              <w:keepNext/>
              <w:rPr>
                <w:rFonts w:ascii="Arial" w:hAnsi="Arial" w:cs="Arial"/>
              </w:rPr>
            </w:pPr>
            <w:r>
              <w:rPr>
                <w:rFonts w:ascii="Arial" w:hAnsi="Arial" w:cs="Arial"/>
                <w:color w:val="000000"/>
                <w:sz w:val="18"/>
                <w:szCs w:val="18"/>
              </w:rPr>
              <w:t>Casi en tiempo real</w:t>
            </w:r>
          </w:p>
        </w:tc>
      </w:tr>
      <w:tr w:rsidR="0013518E" w14:paraId="3516C6D1" w14:textId="77777777">
        <w:trPr>
          <w:cantSplit/>
        </w:trPr>
        <w:tc>
          <w:tcPr>
            <w:tcW w:w="1800" w:type="dxa"/>
            <w:shd w:val="clear" w:color="auto" w:fill="E8F0EE"/>
            <w:tcMar>
              <w:top w:w="80" w:type="dxa"/>
              <w:left w:w="100" w:type="dxa"/>
              <w:bottom w:w="80" w:type="dxa"/>
              <w:right w:w="100" w:type="dxa"/>
            </w:tcMar>
          </w:tcPr>
          <w:p w14:paraId="3BE99262" w14:textId="77777777" w:rsidR="0013518E" w:rsidRDefault="00B900B3">
            <w:pPr>
              <w:rPr>
                <w:rFonts w:ascii="Arial" w:hAnsi="Arial" w:cs="Arial"/>
              </w:rPr>
            </w:pPr>
            <w:r>
              <w:rPr>
                <w:rFonts w:ascii="Arial" w:hAnsi="Arial" w:cs="Arial"/>
                <w:b/>
                <w:bCs/>
                <w:color w:val="000000"/>
                <w:sz w:val="18"/>
                <w:szCs w:val="18"/>
              </w:rPr>
              <w:t>Toggl / Clockify</w:t>
            </w:r>
          </w:p>
        </w:tc>
        <w:tc>
          <w:tcPr>
            <w:tcW w:w="3300" w:type="dxa"/>
            <w:tcMar>
              <w:top w:w="80" w:type="dxa"/>
              <w:left w:w="100" w:type="dxa"/>
              <w:bottom w:w="80" w:type="dxa"/>
              <w:right w:w="100" w:type="dxa"/>
            </w:tcMar>
          </w:tcPr>
          <w:p w14:paraId="0AA18E46" w14:textId="77777777" w:rsidR="0013518E" w:rsidRDefault="00B900B3">
            <w:pPr>
              <w:rPr>
                <w:rFonts w:ascii="Arial" w:hAnsi="Arial" w:cs="Arial"/>
              </w:rPr>
            </w:pPr>
            <w:r>
              <w:rPr>
                <w:rFonts w:ascii="Arial" w:hAnsi="Arial" w:cs="Arial"/>
                <w:color w:val="000000"/>
                <w:sz w:val="18"/>
                <w:szCs w:val="18"/>
              </w:rPr>
              <w:t>Horas por consultor, proyecto y tarea</w:t>
            </w:r>
          </w:p>
        </w:tc>
        <w:tc>
          <w:tcPr>
            <w:tcW w:w="2900" w:type="dxa"/>
            <w:tcMar>
              <w:top w:w="80" w:type="dxa"/>
              <w:left w:w="100" w:type="dxa"/>
              <w:bottom w:w="80" w:type="dxa"/>
              <w:right w:w="100" w:type="dxa"/>
            </w:tcMar>
          </w:tcPr>
          <w:p w14:paraId="72DBD0A5" w14:textId="77777777" w:rsidR="0013518E" w:rsidRDefault="00B900B3">
            <w:pPr>
              <w:rPr>
                <w:rFonts w:ascii="Arial" w:hAnsi="Arial" w:cs="Arial"/>
              </w:rPr>
            </w:pPr>
            <w:r>
              <w:rPr>
                <w:rFonts w:ascii="Arial" w:hAnsi="Arial" w:cs="Arial"/>
                <w:color w:val="000000"/>
                <w:sz w:val="18"/>
                <w:szCs w:val="18"/>
              </w:rPr>
              <w:t>Exportación automatizada con Power Automate</w:t>
            </w:r>
          </w:p>
        </w:tc>
        <w:tc>
          <w:tcPr>
            <w:tcW w:w="1638" w:type="dxa"/>
            <w:tcMar>
              <w:top w:w="80" w:type="dxa"/>
              <w:left w:w="100" w:type="dxa"/>
              <w:bottom w:w="80" w:type="dxa"/>
              <w:right w:w="100" w:type="dxa"/>
            </w:tcMar>
          </w:tcPr>
          <w:p w14:paraId="75E03323" w14:textId="77777777" w:rsidR="0013518E" w:rsidRDefault="00B900B3">
            <w:pPr>
              <w:rPr>
                <w:rFonts w:ascii="Arial" w:hAnsi="Arial" w:cs="Arial"/>
              </w:rPr>
            </w:pPr>
            <w:r>
              <w:rPr>
                <w:rFonts w:ascii="Arial" w:hAnsi="Arial" w:cs="Arial"/>
                <w:color w:val="000000"/>
                <w:sz w:val="18"/>
                <w:szCs w:val="18"/>
              </w:rPr>
              <w:t>Diaria</w:t>
            </w:r>
          </w:p>
        </w:tc>
      </w:tr>
      <w:tr w:rsidR="0013518E" w14:paraId="58EFBDCF" w14:textId="77777777">
        <w:trPr>
          <w:cantSplit/>
        </w:trPr>
        <w:tc>
          <w:tcPr>
            <w:tcW w:w="1800" w:type="dxa"/>
            <w:shd w:val="clear" w:color="auto" w:fill="E8F0EE"/>
            <w:tcMar>
              <w:top w:w="80" w:type="dxa"/>
              <w:left w:w="100" w:type="dxa"/>
              <w:bottom w:w="80" w:type="dxa"/>
              <w:right w:w="100" w:type="dxa"/>
            </w:tcMar>
          </w:tcPr>
          <w:p w14:paraId="45D61891" w14:textId="77777777" w:rsidR="0013518E" w:rsidRDefault="00B900B3">
            <w:pPr>
              <w:rPr>
                <w:rFonts w:ascii="Arial" w:hAnsi="Arial" w:cs="Arial"/>
              </w:rPr>
            </w:pPr>
            <w:r>
              <w:rPr>
                <w:rFonts w:ascii="Arial" w:hAnsi="Arial" w:cs="Arial"/>
                <w:b/>
                <w:bCs/>
                <w:color w:val="000000"/>
                <w:sz w:val="18"/>
                <w:szCs w:val="18"/>
              </w:rPr>
              <w:t>Holded</w:t>
            </w:r>
          </w:p>
        </w:tc>
        <w:tc>
          <w:tcPr>
            <w:tcW w:w="3300" w:type="dxa"/>
            <w:tcMar>
              <w:top w:w="80" w:type="dxa"/>
              <w:left w:w="100" w:type="dxa"/>
              <w:bottom w:w="80" w:type="dxa"/>
              <w:right w:w="100" w:type="dxa"/>
            </w:tcMar>
          </w:tcPr>
          <w:p w14:paraId="417947F2" w14:textId="77777777" w:rsidR="0013518E" w:rsidRDefault="00B900B3">
            <w:pPr>
              <w:rPr>
                <w:rFonts w:ascii="Arial" w:hAnsi="Arial" w:cs="Arial"/>
              </w:rPr>
            </w:pPr>
            <w:r>
              <w:rPr>
                <w:rFonts w:ascii="Arial" w:hAnsi="Arial" w:cs="Arial"/>
                <w:color w:val="000000"/>
                <w:sz w:val="18"/>
                <w:szCs w:val="18"/>
              </w:rPr>
              <w:t>Facturación emitida, costes de personal y de proveedores por proyecto</w:t>
            </w:r>
          </w:p>
        </w:tc>
        <w:tc>
          <w:tcPr>
            <w:tcW w:w="2900" w:type="dxa"/>
            <w:tcMar>
              <w:top w:w="80" w:type="dxa"/>
              <w:left w:w="100" w:type="dxa"/>
              <w:bottom w:w="80" w:type="dxa"/>
              <w:right w:w="100" w:type="dxa"/>
            </w:tcMar>
          </w:tcPr>
          <w:p w14:paraId="64C9DD83" w14:textId="77777777" w:rsidR="0013518E" w:rsidRDefault="00B900B3">
            <w:pPr>
              <w:rPr>
                <w:rFonts w:ascii="Arial" w:hAnsi="Arial" w:cs="Arial"/>
              </w:rPr>
            </w:pPr>
            <w:r>
              <w:rPr>
                <w:rFonts w:ascii="Arial" w:hAnsi="Arial" w:cs="Arial"/>
                <w:color w:val="000000"/>
                <w:sz w:val="18"/>
                <w:szCs w:val="18"/>
              </w:rPr>
              <w:t>Conector y flujo de Power Automate</w:t>
            </w:r>
          </w:p>
        </w:tc>
        <w:tc>
          <w:tcPr>
            <w:tcW w:w="1638" w:type="dxa"/>
            <w:tcMar>
              <w:top w:w="80" w:type="dxa"/>
              <w:left w:w="100" w:type="dxa"/>
              <w:bottom w:w="80" w:type="dxa"/>
              <w:right w:w="100" w:type="dxa"/>
            </w:tcMar>
          </w:tcPr>
          <w:p w14:paraId="2F43D92F" w14:textId="77777777" w:rsidR="0013518E" w:rsidRDefault="00B900B3">
            <w:pPr>
              <w:rPr>
                <w:rFonts w:ascii="Arial" w:hAnsi="Arial" w:cs="Arial"/>
              </w:rPr>
            </w:pPr>
            <w:r>
              <w:rPr>
                <w:rFonts w:ascii="Arial" w:hAnsi="Arial" w:cs="Arial"/>
                <w:color w:val="000000"/>
                <w:sz w:val="18"/>
                <w:szCs w:val="18"/>
              </w:rPr>
              <w:t>Semanal</w:t>
            </w:r>
          </w:p>
        </w:tc>
      </w:tr>
      <w:tr w:rsidR="0013518E" w14:paraId="3DCC68F1" w14:textId="77777777">
        <w:trPr>
          <w:cantSplit/>
        </w:trPr>
        <w:tc>
          <w:tcPr>
            <w:tcW w:w="1800" w:type="dxa"/>
            <w:shd w:val="clear" w:color="auto" w:fill="E8F0EE"/>
            <w:tcMar>
              <w:top w:w="80" w:type="dxa"/>
              <w:left w:w="100" w:type="dxa"/>
              <w:bottom w:w="80" w:type="dxa"/>
              <w:right w:w="100" w:type="dxa"/>
            </w:tcMar>
          </w:tcPr>
          <w:p w14:paraId="005190F5" w14:textId="77777777" w:rsidR="0013518E" w:rsidRDefault="00B900B3">
            <w:pPr>
              <w:rPr>
                <w:rFonts w:ascii="Arial" w:hAnsi="Arial" w:cs="Arial"/>
              </w:rPr>
            </w:pPr>
            <w:r>
              <w:rPr>
                <w:rFonts w:ascii="Arial" w:hAnsi="Arial" w:cs="Arial"/>
                <w:b/>
                <w:bCs/>
                <w:color w:val="000000"/>
                <w:sz w:val="18"/>
                <w:szCs w:val="18"/>
              </w:rPr>
              <w:t>Google Forms</w:t>
            </w:r>
          </w:p>
        </w:tc>
        <w:tc>
          <w:tcPr>
            <w:tcW w:w="3300" w:type="dxa"/>
            <w:tcMar>
              <w:top w:w="80" w:type="dxa"/>
              <w:left w:w="100" w:type="dxa"/>
              <w:bottom w:w="80" w:type="dxa"/>
              <w:right w:w="100" w:type="dxa"/>
            </w:tcMar>
          </w:tcPr>
          <w:p w14:paraId="5432C9EA" w14:textId="77777777" w:rsidR="0013518E" w:rsidRDefault="00B900B3">
            <w:pPr>
              <w:rPr>
                <w:rFonts w:ascii="Arial" w:hAnsi="Arial" w:cs="Arial"/>
              </w:rPr>
            </w:pPr>
            <w:r>
              <w:rPr>
                <w:rFonts w:ascii="Arial" w:hAnsi="Arial" w:cs="Arial"/>
                <w:color w:val="000000"/>
                <w:sz w:val="18"/>
                <w:szCs w:val="18"/>
              </w:rPr>
              <w:t>Satisfacción del cliente al cierre del proyecto</w:t>
            </w:r>
          </w:p>
        </w:tc>
        <w:tc>
          <w:tcPr>
            <w:tcW w:w="2900" w:type="dxa"/>
            <w:tcMar>
              <w:top w:w="80" w:type="dxa"/>
              <w:left w:w="100" w:type="dxa"/>
              <w:bottom w:w="80" w:type="dxa"/>
              <w:right w:w="100" w:type="dxa"/>
            </w:tcMar>
          </w:tcPr>
          <w:p w14:paraId="3B78F7B7" w14:textId="77777777" w:rsidR="0013518E" w:rsidRDefault="00B900B3">
            <w:pPr>
              <w:rPr>
                <w:rFonts w:ascii="Arial" w:hAnsi="Arial" w:cs="Arial"/>
              </w:rPr>
            </w:pPr>
            <w:r>
              <w:rPr>
                <w:rFonts w:ascii="Arial" w:hAnsi="Arial" w:cs="Arial"/>
                <w:color w:val="000000"/>
                <w:sz w:val="18"/>
                <w:szCs w:val="18"/>
              </w:rPr>
              <w:t>Volcado automático a hoja de cálculo enlazada</w:t>
            </w:r>
          </w:p>
        </w:tc>
        <w:tc>
          <w:tcPr>
            <w:tcW w:w="1638" w:type="dxa"/>
            <w:tcMar>
              <w:top w:w="80" w:type="dxa"/>
              <w:left w:w="100" w:type="dxa"/>
              <w:bottom w:w="80" w:type="dxa"/>
              <w:right w:w="100" w:type="dxa"/>
            </w:tcMar>
          </w:tcPr>
          <w:p w14:paraId="2AC40A50" w14:textId="77777777" w:rsidR="0013518E" w:rsidRDefault="00B900B3">
            <w:pPr>
              <w:rPr>
                <w:rFonts w:ascii="Arial" w:hAnsi="Arial" w:cs="Arial"/>
              </w:rPr>
            </w:pPr>
            <w:r>
              <w:rPr>
                <w:rFonts w:ascii="Arial" w:hAnsi="Arial" w:cs="Arial"/>
                <w:color w:val="000000"/>
                <w:sz w:val="18"/>
                <w:szCs w:val="18"/>
              </w:rPr>
              <w:t>Al cerrar cada proyecto</w:t>
            </w:r>
          </w:p>
        </w:tc>
      </w:tr>
    </w:tbl>
    <w:p w14:paraId="65E2C322" w14:textId="77777777" w:rsidR="0013518E" w:rsidRDefault="0013518E">
      <w:pPr>
        <w:spacing w:after="120"/>
      </w:pPr>
    </w:p>
    <w:p w14:paraId="4764EA89" w14:textId="77777777" w:rsidR="0013518E" w:rsidRDefault="00B900B3">
      <w:pPr>
        <w:spacing w:after="200" w:line="360" w:lineRule="auto"/>
        <w:jc w:val="both"/>
        <w:rPr>
          <w:rFonts w:ascii="Arial" w:hAnsi="Arial" w:cs="Arial"/>
        </w:rPr>
      </w:pPr>
      <w:r>
        <w:rPr>
          <w:rFonts w:ascii="Arial" w:hAnsi="Arial" w:cs="Arial"/>
        </w:rPr>
        <w:t>El análisis se plantea de forma progresiva siguiendo la escalera de la analítica descrita en el apartado 1.1. Los paneles de Power BI cubren los dos primeros peldaños: la analítica descriptiva (qué ha ocurrido en cada proyecto, consultor y cliente) y la diagnóstica (por qué se ha desviado, mediante el análisis de la rentabilidad por tarea o por tipo de servicio). Los peldaños predictivo y prescriptivo se reservan para la segunda etapa, una vez que la calidad de los datos esté contrastada, ya que cada peldaño exige más calidad del dato y más confianza de quien decide.</w:t>
      </w:r>
    </w:p>
    <w:p w14:paraId="06ADED3B" w14:textId="77777777" w:rsidR="00D531A0" w:rsidRDefault="00B900B3">
      <w:pPr>
        <w:pStyle w:val="Ttulo2"/>
        <w:spacing w:before="280" w:after="160"/>
      </w:pPr>
      <w:bookmarkStart w:id="38" w:name="_Toc241477560"/>
      <w:r>
        <w:rPr>
          <w:b/>
          <w:bCs/>
          <w:color w:val="1C7A5E"/>
        </w:rPr>
        <w:t>2.3. Desarrollo e implementación del proyecto</w:t>
      </w:r>
      <w:bookmarkEnd w:id="38"/>
    </w:p>
    <w:p w14:paraId="06ADED3C" w14:textId="5AF91B2B" w:rsidR="00D531A0" w:rsidRPr="00F47DF3" w:rsidRDefault="00B900B3">
      <w:pPr>
        <w:spacing w:after="200" w:line="360" w:lineRule="auto"/>
        <w:jc w:val="both"/>
        <w:rPr>
          <w:rFonts w:ascii="Arial" w:hAnsi="Arial" w:cs="Arial"/>
        </w:rPr>
      </w:pPr>
      <w:r>
        <w:rPr>
          <w:rFonts w:ascii="Arial" w:hAnsi="Arial" w:cs="Arial"/>
        </w:rPr>
        <w:t xml:space="preserve">El proyecto </w:t>
      </w:r>
      <w:r>
        <w:rPr>
          <w:rFonts w:ascii="Arial" w:hAnsi="Arial" w:cs="Arial"/>
          <w:i/>
          <w:iCs/>
        </w:rPr>
        <w:t>DataPyme 360</w:t>
      </w:r>
      <w:r>
        <w:rPr>
          <w:rFonts w:ascii="Arial" w:hAnsi="Arial" w:cs="Arial"/>
        </w:rPr>
        <w:t xml:space="preserve"> se desarrolla en cinco fases secuenciales, con la participación de varios departamentos de la empresa y una duración total aproximada de dieciséis semanas para las cuatro primeras, seguidas de una fase permanente de seguimiento.</w:t>
      </w:r>
    </w:p>
    <w:p w14:paraId="06ADED3D" w14:textId="10301248" w:rsidR="00D531A0" w:rsidRPr="00013F12" w:rsidRDefault="00B900B3">
      <w:pPr>
        <w:spacing w:after="200" w:line="360" w:lineRule="auto"/>
        <w:jc w:val="both"/>
        <w:rPr>
          <w:rFonts w:ascii="Arial" w:hAnsi="Arial" w:cs="Arial"/>
        </w:rPr>
      </w:pPr>
      <w:r>
        <w:rPr>
          <w:rFonts w:ascii="Arial" w:hAnsi="Arial" w:cs="Arial"/>
          <w:b/>
          <w:bCs/>
        </w:rPr>
        <w:t>Fase 1:</w:t>
      </w:r>
      <w:r>
        <w:rPr>
          <w:rFonts w:ascii="Arial" w:hAnsi="Arial" w:cs="Arial"/>
        </w:rPr>
        <w:t xml:space="preserve"> Diagnóstico y diseño (4 semanas). Mapeo de las fuentes de datos actuales, entrevistas con cada departamento para identificar necesidades de información, y diseño del modelo de datos y de los indicadores clave del proyecto. En ella participan dirección General, Sistemas e IT, y como resultado se obtiene modelo de datos e indicadores definidos.</w:t>
      </w:r>
    </w:p>
    <w:p w14:paraId="06ADED3E" w14:textId="580D4A5E" w:rsidR="00D531A0" w:rsidRPr="00013F12" w:rsidRDefault="00B900B3">
      <w:pPr>
        <w:spacing w:after="200" w:line="360" w:lineRule="auto"/>
        <w:jc w:val="both"/>
        <w:rPr>
          <w:rFonts w:ascii="Arial" w:hAnsi="Arial" w:cs="Arial"/>
        </w:rPr>
      </w:pPr>
      <w:r>
        <w:rPr>
          <w:rFonts w:ascii="Arial" w:hAnsi="Arial" w:cs="Arial"/>
          <w:b/>
          <w:bCs/>
        </w:rPr>
        <w:t>Fase 2:</w:t>
      </w:r>
      <w:r>
        <w:rPr>
          <w:rFonts w:ascii="Arial" w:hAnsi="Arial" w:cs="Arial"/>
        </w:rPr>
        <w:t xml:space="preserve"> Integración de datos (6 semanas). Configuración de los conectores entre el CRM, la aplicación de control horario y el software de contabilidad; creación del modelo de datos relacional; limpieza y estandarización de los datos históricos disponibles. En ella participan sistemas e IT, Administración y Finanzas, y como resultado se obtiene: conectores activos y datos históricos migrados.</w:t>
      </w:r>
    </w:p>
    <w:p w14:paraId="06ADED3F" w14:textId="0E114EC9" w:rsidR="00D531A0" w:rsidRPr="00013F12" w:rsidRDefault="00B900B3">
      <w:pPr>
        <w:spacing w:after="200" w:line="360" w:lineRule="auto"/>
        <w:jc w:val="both"/>
        <w:rPr>
          <w:rFonts w:ascii="Arial" w:hAnsi="Arial" w:cs="Arial"/>
        </w:rPr>
      </w:pPr>
      <w:r>
        <w:rPr>
          <w:rFonts w:ascii="Arial" w:hAnsi="Arial" w:cs="Arial"/>
          <w:b/>
          <w:bCs/>
        </w:rPr>
        <w:t>Fase 3:</w:t>
      </w:r>
      <w:r>
        <w:rPr>
          <w:rFonts w:ascii="Arial" w:hAnsi="Arial" w:cs="Arial"/>
        </w:rPr>
        <w:t xml:space="preserve"> Desarrollo del cuadro de mando (4 semanas). Construcción de los paneles de Power BI para cada nivel de la organización (estratégico, táctico y operativo) y pruebas con un grupo piloto de usuarios de cada departamento. En ella participan sistemas e IT, Consultoría y Proyectos, y como resultado se obtiene paneles de Power BI (versión piloto).</w:t>
      </w:r>
    </w:p>
    <w:p w14:paraId="06ADED40" w14:textId="75DBD899" w:rsidR="00D531A0" w:rsidRPr="00013F12" w:rsidRDefault="00B900B3">
      <w:pPr>
        <w:spacing w:after="200" w:line="360" w:lineRule="auto"/>
        <w:jc w:val="both"/>
        <w:rPr>
          <w:rFonts w:ascii="Arial" w:hAnsi="Arial" w:cs="Arial"/>
        </w:rPr>
      </w:pPr>
      <w:r>
        <w:rPr>
          <w:rFonts w:ascii="Arial" w:hAnsi="Arial" w:cs="Arial"/>
          <w:b/>
          <w:bCs/>
        </w:rPr>
        <w:t>Fase 4:</w:t>
      </w:r>
      <w:r>
        <w:rPr>
          <w:rFonts w:ascii="Arial" w:hAnsi="Arial" w:cs="Arial"/>
        </w:rPr>
        <w:t xml:space="preserve"> Formación y despliegue (2 semanas). Formación a Dirección General y a los responsables de área en el uso e interpretación del cuadro de mando, elaboración de un manual de usuario y </w:t>
      </w:r>
      <w:r>
        <w:rPr>
          <w:rFonts w:ascii="Arial" w:hAnsi="Arial" w:cs="Arial"/>
        </w:rPr>
        <w:lastRenderedPageBreak/>
        <w:t>despliegue a toda la plantilla. En ella participan todos los departamentos, y como resultado se obtiene manual de usuario y equipo formado.</w:t>
      </w:r>
    </w:p>
    <w:p w14:paraId="06ADED41" w14:textId="09FACECA" w:rsidR="00D531A0" w:rsidRPr="00013F12" w:rsidRDefault="00B900B3">
      <w:pPr>
        <w:spacing w:after="200" w:line="360" w:lineRule="auto"/>
        <w:jc w:val="both"/>
        <w:rPr>
          <w:rFonts w:ascii="Arial" w:hAnsi="Arial" w:cs="Arial"/>
        </w:rPr>
      </w:pPr>
      <w:r>
        <w:rPr>
          <w:rFonts w:ascii="Arial" w:hAnsi="Arial" w:cs="Arial"/>
          <w:b/>
          <w:bCs/>
        </w:rPr>
        <w:t>Fase 5:</w:t>
      </w:r>
      <w:r>
        <w:rPr>
          <w:rFonts w:ascii="Arial" w:hAnsi="Arial" w:cs="Arial"/>
        </w:rPr>
        <w:t xml:space="preserve"> Seguimiento y mejora continua (permanente). Revisión trimestral de los indicadores, incorporación de nuevas fuentes de datos, por ejemplo, resultados de las campañas de marketing y ajuste del modelo a medida que la empresa crece. En ella participan dirección General, y como resultado se obtiene revisión trimestral de indicadores.</w:t>
      </w:r>
    </w:p>
    <w:p w14:paraId="058654ED" w14:textId="77777777" w:rsidR="0013518E" w:rsidRDefault="00B900B3">
      <w:pPr>
        <w:spacing w:after="200" w:line="360" w:lineRule="auto"/>
        <w:jc w:val="both"/>
        <w:rPr>
          <w:rFonts w:ascii="Arial" w:hAnsi="Arial" w:cs="Arial"/>
        </w:rPr>
      </w:pPr>
      <w:r>
        <w:rPr>
          <w:rFonts w:ascii="Arial" w:hAnsi="Arial" w:cs="Arial"/>
        </w:rPr>
        <w:t xml:space="preserve">El proyecto sigue el ciclo habitual de un proyecto de datos: definir el problema (apartado 2.1), planificar mediante el </w:t>
      </w:r>
      <w:r>
        <w:rPr>
          <w:rFonts w:ascii="Arial" w:hAnsi="Arial" w:cs="Arial"/>
          <w:i/>
          <w:iCs/>
        </w:rPr>
        <w:t>project charter</w:t>
      </w:r>
      <w:r>
        <w:rPr>
          <w:rFonts w:ascii="Arial" w:hAnsi="Arial" w:cs="Arial"/>
        </w:rPr>
        <w:t xml:space="preserve">, ejecutar (esta fase) y evaluar los resultados (apartado 2.4). Para la ejecución se combinan varias metodologías, que no son excluyentes, sino complementarias: el </w:t>
      </w:r>
      <w:r>
        <w:rPr>
          <w:rFonts w:ascii="Arial" w:hAnsi="Arial" w:cs="Arial"/>
          <w:i/>
          <w:iCs/>
        </w:rPr>
        <w:t>Design Thinking</w:t>
      </w:r>
      <w:r>
        <w:rPr>
          <w:rFonts w:ascii="Arial" w:hAnsi="Arial" w:cs="Arial"/>
        </w:rPr>
        <w:t xml:space="preserve"> aporta la pregunta correcta, ya que la Fase 1 parte de las necesidades de los usuarios y decisores antes de tocar ningún dato; </w:t>
      </w:r>
      <w:r>
        <w:rPr>
          <w:rFonts w:ascii="Arial" w:hAnsi="Arial" w:cs="Arial"/>
          <w:i/>
          <w:iCs/>
        </w:rPr>
        <w:t>Scrum</w:t>
      </w:r>
      <w:r>
        <w:rPr>
          <w:rFonts w:ascii="Arial" w:hAnsi="Arial" w:cs="Arial"/>
        </w:rPr>
        <w:t xml:space="preserve"> aporta el ritmo, con sprints de dos semanas y entregas revisables en las Fases 2 y 3; </w:t>
      </w:r>
      <w:r>
        <w:rPr>
          <w:rFonts w:ascii="Arial" w:hAnsi="Arial" w:cs="Arial"/>
          <w:i/>
          <w:iCs/>
        </w:rPr>
        <w:t>Lean Analytics</w:t>
      </w:r>
      <w:r>
        <w:rPr>
          <w:rFonts w:ascii="Arial" w:hAnsi="Arial" w:cs="Arial"/>
        </w:rPr>
        <w:t xml:space="preserve"> aporta la métrica, pues se comprueba si se ha movido la métrica que importa (rentabilidad real por proyecto); y </w:t>
      </w:r>
      <w:r>
        <w:rPr>
          <w:rFonts w:ascii="Arial" w:hAnsi="Arial" w:cs="Arial"/>
          <w:i/>
          <w:iCs/>
        </w:rPr>
        <w:t>CRISP-DM</w:t>
      </w:r>
      <w:r>
        <w:rPr>
          <w:rFonts w:ascii="Arial" w:hAnsi="Arial" w:cs="Arial"/>
        </w:rPr>
        <w:t>, el estándar de los proyectos de datos, aporta la estructura iterativa, de modo que si la evaluación no convence se vuelve a entender el negocio. La correspondencia entre las fases del proyecto y las del ciclo CRISP-DM es la siguiente:</w:t>
      </w:r>
    </w:p>
    <w:p w14:paraId="0D74C2B2" w14:textId="77777777" w:rsidR="0013518E" w:rsidRDefault="00B900B3">
      <w:pPr>
        <w:keepNext/>
        <w:spacing w:before="200" w:after="100"/>
        <w:jc w:val="center"/>
      </w:pPr>
      <w:r>
        <w:rPr>
          <w:i/>
          <w:iCs/>
          <w:color w:val="555555"/>
          <w:sz w:val="20"/>
          <w:szCs w:val="20"/>
        </w:rPr>
        <w:t>Tabla 9. Correspondencia entre las fases del proyecto, CRISP-DM y las metodologías empleadas.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2300"/>
        <w:gridCol w:w="2900"/>
        <w:gridCol w:w="2338"/>
      </w:tblGrid>
      <w:tr w:rsidR="0013518E" w14:paraId="3B0A6435" w14:textId="77777777">
        <w:trPr>
          <w:cantSplit/>
          <w:tblHeader/>
        </w:trPr>
        <w:tc>
          <w:tcPr>
            <w:tcW w:w="2100" w:type="dxa"/>
            <w:shd w:val="clear" w:color="auto" w:fill="0D3B4F"/>
            <w:tcMar>
              <w:top w:w="80" w:type="dxa"/>
              <w:left w:w="100" w:type="dxa"/>
              <w:bottom w:w="80" w:type="dxa"/>
              <w:right w:w="100" w:type="dxa"/>
            </w:tcMar>
          </w:tcPr>
          <w:p w14:paraId="535DDBCA" w14:textId="77777777" w:rsidR="0013518E" w:rsidRDefault="00B900B3">
            <w:pPr>
              <w:keepNext/>
              <w:rPr>
                <w:rFonts w:ascii="Arial" w:hAnsi="Arial" w:cs="Arial"/>
              </w:rPr>
            </w:pPr>
            <w:r>
              <w:rPr>
                <w:rFonts w:ascii="Arial" w:hAnsi="Arial" w:cs="Arial"/>
                <w:b/>
                <w:bCs/>
                <w:color w:val="FFFFFF"/>
                <w:sz w:val="18"/>
                <w:szCs w:val="18"/>
              </w:rPr>
              <w:t>Fase de DataPyme 360</w:t>
            </w:r>
          </w:p>
        </w:tc>
        <w:tc>
          <w:tcPr>
            <w:tcW w:w="2300" w:type="dxa"/>
            <w:shd w:val="clear" w:color="auto" w:fill="0D3B4F"/>
            <w:tcMar>
              <w:top w:w="80" w:type="dxa"/>
              <w:left w:w="100" w:type="dxa"/>
              <w:bottom w:w="80" w:type="dxa"/>
              <w:right w:w="100" w:type="dxa"/>
            </w:tcMar>
          </w:tcPr>
          <w:p w14:paraId="52C5A5E7" w14:textId="77777777" w:rsidR="0013518E" w:rsidRDefault="00B900B3">
            <w:pPr>
              <w:keepNext/>
              <w:rPr>
                <w:rFonts w:ascii="Arial" w:hAnsi="Arial" w:cs="Arial"/>
              </w:rPr>
            </w:pPr>
            <w:r>
              <w:rPr>
                <w:rFonts w:ascii="Arial" w:hAnsi="Arial" w:cs="Arial"/>
                <w:b/>
                <w:bCs/>
                <w:color w:val="FFFFFF"/>
                <w:sz w:val="18"/>
                <w:szCs w:val="18"/>
              </w:rPr>
              <w:t>Fase CRISP-DM</w:t>
            </w:r>
          </w:p>
        </w:tc>
        <w:tc>
          <w:tcPr>
            <w:tcW w:w="2900" w:type="dxa"/>
            <w:shd w:val="clear" w:color="auto" w:fill="0D3B4F"/>
            <w:tcMar>
              <w:top w:w="80" w:type="dxa"/>
              <w:left w:w="100" w:type="dxa"/>
              <w:bottom w:w="80" w:type="dxa"/>
              <w:right w:w="100" w:type="dxa"/>
            </w:tcMar>
          </w:tcPr>
          <w:p w14:paraId="037A80BD" w14:textId="77777777" w:rsidR="0013518E" w:rsidRDefault="00B900B3">
            <w:pPr>
              <w:keepNext/>
              <w:rPr>
                <w:rFonts w:ascii="Arial" w:hAnsi="Arial" w:cs="Arial"/>
              </w:rPr>
            </w:pPr>
            <w:r>
              <w:rPr>
                <w:rFonts w:ascii="Arial" w:hAnsi="Arial" w:cs="Arial"/>
                <w:b/>
                <w:bCs/>
                <w:color w:val="FFFFFF"/>
                <w:sz w:val="18"/>
                <w:szCs w:val="18"/>
              </w:rPr>
              <w:t>Metodología de trabajo</w:t>
            </w:r>
          </w:p>
        </w:tc>
        <w:tc>
          <w:tcPr>
            <w:tcW w:w="2338" w:type="dxa"/>
            <w:shd w:val="clear" w:color="auto" w:fill="0D3B4F"/>
            <w:tcMar>
              <w:top w:w="80" w:type="dxa"/>
              <w:left w:w="100" w:type="dxa"/>
              <w:bottom w:w="80" w:type="dxa"/>
              <w:right w:w="100" w:type="dxa"/>
            </w:tcMar>
          </w:tcPr>
          <w:p w14:paraId="0DA982C4" w14:textId="77777777" w:rsidR="0013518E" w:rsidRDefault="00B900B3">
            <w:pPr>
              <w:keepNext/>
              <w:rPr>
                <w:rFonts w:ascii="Arial" w:hAnsi="Arial" w:cs="Arial"/>
              </w:rPr>
            </w:pPr>
            <w:r>
              <w:rPr>
                <w:rFonts w:ascii="Arial" w:hAnsi="Arial" w:cs="Arial"/>
                <w:b/>
                <w:bCs/>
                <w:color w:val="FFFFFF"/>
                <w:sz w:val="18"/>
                <w:szCs w:val="18"/>
              </w:rPr>
              <w:t>Departamentos</w:t>
            </w:r>
          </w:p>
        </w:tc>
      </w:tr>
      <w:tr w:rsidR="0013518E" w14:paraId="2FE6CACA" w14:textId="77777777">
        <w:trPr>
          <w:cantSplit/>
        </w:trPr>
        <w:tc>
          <w:tcPr>
            <w:tcW w:w="2100" w:type="dxa"/>
            <w:shd w:val="clear" w:color="auto" w:fill="E8F0EE"/>
            <w:tcMar>
              <w:top w:w="80" w:type="dxa"/>
              <w:left w:w="100" w:type="dxa"/>
              <w:bottom w:w="80" w:type="dxa"/>
              <w:right w:w="100" w:type="dxa"/>
            </w:tcMar>
          </w:tcPr>
          <w:p w14:paraId="18B31847" w14:textId="77777777" w:rsidR="0013518E" w:rsidRDefault="00B900B3">
            <w:pPr>
              <w:keepNext/>
              <w:rPr>
                <w:rFonts w:ascii="Arial" w:hAnsi="Arial" w:cs="Arial"/>
              </w:rPr>
            </w:pPr>
            <w:r>
              <w:rPr>
                <w:rFonts w:ascii="Arial" w:hAnsi="Arial" w:cs="Arial"/>
                <w:b/>
                <w:bCs/>
                <w:color w:val="000000"/>
                <w:sz w:val="18"/>
                <w:szCs w:val="18"/>
              </w:rPr>
              <w:t>1. Diagnóstico y diseño</w:t>
            </w:r>
          </w:p>
        </w:tc>
        <w:tc>
          <w:tcPr>
            <w:tcW w:w="2300" w:type="dxa"/>
            <w:tcMar>
              <w:top w:w="80" w:type="dxa"/>
              <w:left w:w="100" w:type="dxa"/>
              <w:bottom w:w="80" w:type="dxa"/>
              <w:right w:w="100" w:type="dxa"/>
            </w:tcMar>
          </w:tcPr>
          <w:p w14:paraId="29B71929" w14:textId="77777777" w:rsidR="0013518E" w:rsidRDefault="00B900B3">
            <w:pPr>
              <w:keepNext/>
              <w:rPr>
                <w:rFonts w:ascii="Arial" w:hAnsi="Arial" w:cs="Arial"/>
              </w:rPr>
            </w:pPr>
            <w:r>
              <w:rPr>
                <w:rFonts w:ascii="Arial" w:hAnsi="Arial" w:cs="Arial"/>
                <w:color w:val="000000"/>
                <w:sz w:val="18"/>
                <w:szCs w:val="18"/>
              </w:rPr>
              <w:t>Entender el negocio y entender los datos</w:t>
            </w:r>
          </w:p>
        </w:tc>
        <w:tc>
          <w:tcPr>
            <w:tcW w:w="2900" w:type="dxa"/>
            <w:tcMar>
              <w:top w:w="80" w:type="dxa"/>
              <w:left w:w="100" w:type="dxa"/>
              <w:bottom w:w="80" w:type="dxa"/>
              <w:right w:w="100" w:type="dxa"/>
            </w:tcMar>
          </w:tcPr>
          <w:p w14:paraId="704D0AAA" w14:textId="77777777" w:rsidR="0013518E" w:rsidRDefault="00B900B3">
            <w:pPr>
              <w:keepNext/>
              <w:rPr>
                <w:rFonts w:ascii="Arial" w:hAnsi="Arial" w:cs="Arial"/>
              </w:rPr>
            </w:pPr>
            <w:r>
              <w:rPr>
                <w:rFonts w:ascii="Arial" w:hAnsi="Arial" w:cs="Arial"/>
                <w:color w:val="000000"/>
                <w:sz w:val="18"/>
                <w:szCs w:val="18"/>
              </w:rPr>
              <w:t>Design Thinking: entrevistas y observación</w:t>
            </w:r>
          </w:p>
        </w:tc>
        <w:tc>
          <w:tcPr>
            <w:tcW w:w="2338" w:type="dxa"/>
            <w:tcMar>
              <w:top w:w="80" w:type="dxa"/>
              <w:left w:w="100" w:type="dxa"/>
              <w:bottom w:w="80" w:type="dxa"/>
              <w:right w:w="100" w:type="dxa"/>
            </w:tcMar>
          </w:tcPr>
          <w:p w14:paraId="569F149E" w14:textId="77777777" w:rsidR="0013518E" w:rsidRDefault="00B900B3">
            <w:pPr>
              <w:keepNext/>
              <w:rPr>
                <w:rFonts w:ascii="Arial" w:hAnsi="Arial" w:cs="Arial"/>
              </w:rPr>
            </w:pPr>
            <w:r>
              <w:rPr>
                <w:rFonts w:ascii="Arial" w:hAnsi="Arial" w:cs="Arial"/>
                <w:color w:val="000000"/>
                <w:sz w:val="18"/>
                <w:szCs w:val="18"/>
              </w:rPr>
              <w:t>Dirección General, Sistemas e IT</w:t>
            </w:r>
          </w:p>
        </w:tc>
      </w:tr>
      <w:tr w:rsidR="0013518E" w14:paraId="2157570A" w14:textId="77777777">
        <w:trPr>
          <w:cantSplit/>
        </w:trPr>
        <w:tc>
          <w:tcPr>
            <w:tcW w:w="2100" w:type="dxa"/>
            <w:shd w:val="clear" w:color="auto" w:fill="E8F0EE"/>
            <w:tcMar>
              <w:top w:w="80" w:type="dxa"/>
              <w:left w:w="100" w:type="dxa"/>
              <w:bottom w:w="80" w:type="dxa"/>
              <w:right w:w="100" w:type="dxa"/>
            </w:tcMar>
          </w:tcPr>
          <w:p w14:paraId="43FE759C" w14:textId="77777777" w:rsidR="0013518E" w:rsidRDefault="00B900B3">
            <w:pPr>
              <w:rPr>
                <w:rFonts w:ascii="Arial" w:hAnsi="Arial" w:cs="Arial"/>
              </w:rPr>
            </w:pPr>
            <w:r>
              <w:rPr>
                <w:rFonts w:ascii="Arial" w:hAnsi="Arial" w:cs="Arial"/>
                <w:b/>
                <w:bCs/>
                <w:color w:val="000000"/>
                <w:sz w:val="18"/>
                <w:szCs w:val="18"/>
              </w:rPr>
              <w:t>2. Integración de datos</w:t>
            </w:r>
          </w:p>
        </w:tc>
        <w:tc>
          <w:tcPr>
            <w:tcW w:w="2300" w:type="dxa"/>
            <w:tcMar>
              <w:top w:w="80" w:type="dxa"/>
              <w:left w:w="100" w:type="dxa"/>
              <w:bottom w:w="80" w:type="dxa"/>
              <w:right w:w="100" w:type="dxa"/>
            </w:tcMar>
          </w:tcPr>
          <w:p w14:paraId="13F2AD6D" w14:textId="77777777" w:rsidR="0013518E" w:rsidRDefault="00B900B3">
            <w:pPr>
              <w:rPr>
                <w:rFonts w:ascii="Arial" w:hAnsi="Arial" w:cs="Arial"/>
              </w:rPr>
            </w:pPr>
            <w:r>
              <w:rPr>
                <w:rFonts w:ascii="Arial" w:hAnsi="Arial" w:cs="Arial"/>
                <w:color w:val="000000"/>
                <w:sz w:val="18"/>
                <w:szCs w:val="18"/>
              </w:rPr>
              <w:t>Preparar los datos</w:t>
            </w:r>
          </w:p>
        </w:tc>
        <w:tc>
          <w:tcPr>
            <w:tcW w:w="2900" w:type="dxa"/>
            <w:tcMar>
              <w:top w:w="80" w:type="dxa"/>
              <w:left w:w="100" w:type="dxa"/>
              <w:bottom w:w="80" w:type="dxa"/>
              <w:right w:w="100" w:type="dxa"/>
            </w:tcMar>
          </w:tcPr>
          <w:p w14:paraId="5FF3FA93" w14:textId="77777777" w:rsidR="0013518E" w:rsidRDefault="00B900B3">
            <w:pPr>
              <w:rPr>
                <w:rFonts w:ascii="Arial" w:hAnsi="Arial" w:cs="Arial"/>
              </w:rPr>
            </w:pPr>
            <w:r>
              <w:rPr>
                <w:rFonts w:ascii="Arial" w:hAnsi="Arial" w:cs="Arial"/>
                <w:color w:val="000000"/>
                <w:sz w:val="18"/>
                <w:szCs w:val="18"/>
              </w:rPr>
              <w:t>Scrum: tres sprints de dos semanas</w:t>
            </w:r>
          </w:p>
        </w:tc>
        <w:tc>
          <w:tcPr>
            <w:tcW w:w="2338" w:type="dxa"/>
            <w:tcMar>
              <w:top w:w="80" w:type="dxa"/>
              <w:left w:w="100" w:type="dxa"/>
              <w:bottom w:w="80" w:type="dxa"/>
              <w:right w:w="100" w:type="dxa"/>
            </w:tcMar>
          </w:tcPr>
          <w:p w14:paraId="2DE0BA49" w14:textId="77777777" w:rsidR="0013518E" w:rsidRDefault="00B900B3">
            <w:pPr>
              <w:rPr>
                <w:rFonts w:ascii="Arial" w:hAnsi="Arial" w:cs="Arial"/>
              </w:rPr>
            </w:pPr>
            <w:r>
              <w:rPr>
                <w:rFonts w:ascii="Arial" w:hAnsi="Arial" w:cs="Arial"/>
                <w:color w:val="000000"/>
                <w:sz w:val="18"/>
                <w:szCs w:val="18"/>
              </w:rPr>
              <w:t>Sistemas e IT, Administración y Finanzas</w:t>
            </w:r>
          </w:p>
        </w:tc>
      </w:tr>
      <w:tr w:rsidR="0013518E" w14:paraId="713B77D1" w14:textId="77777777">
        <w:trPr>
          <w:cantSplit/>
        </w:trPr>
        <w:tc>
          <w:tcPr>
            <w:tcW w:w="2100" w:type="dxa"/>
            <w:shd w:val="clear" w:color="auto" w:fill="E8F0EE"/>
            <w:tcMar>
              <w:top w:w="80" w:type="dxa"/>
              <w:left w:w="100" w:type="dxa"/>
              <w:bottom w:w="80" w:type="dxa"/>
              <w:right w:w="100" w:type="dxa"/>
            </w:tcMar>
          </w:tcPr>
          <w:p w14:paraId="2EB2F047" w14:textId="77777777" w:rsidR="0013518E" w:rsidRDefault="00B900B3">
            <w:pPr>
              <w:rPr>
                <w:rFonts w:ascii="Arial" w:hAnsi="Arial" w:cs="Arial"/>
              </w:rPr>
            </w:pPr>
            <w:r>
              <w:rPr>
                <w:rFonts w:ascii="Arial" w:hAnsi="Arial" w:cs="Arial"/>
                <w:b/>
                <w:bCs/>
                <w:color w:val="000000"/>
                <w:sz w:val="18"/>
                <w:szCs w:val="18"/>
              </w:rPr>
              <w:t>3. Cuadro de mando</w:t>
            </w:r>
          </w:p>
        </w:tc>
        <w:tc>
          <w:tcPr>
            <w:tcW w:w="2300" w:type="dxa"/>
            <w:tcMar>
              <w:top w:w="80" w:type="dxa"/>
              <w:left w:w="100" w:type="dxa"/>
              <w:bottom w:w="80" w:type="dxa"/>
              <w:right w:w="100" w:type="dxa"/>
            </w:tcMar>
          </w:tcPr>
          <w:p w14:paraId="21B89EE0" w14:textId="77777777" w:rsidR="0013518E" w:rsidRDefault="00B900B3">
            <w:pPr>
              <w:rPr>
                <w:rFonts w:ascii="Arial" w:hAnsi="Arial" w:cs="Arial"/>
              </w:rPr>
            </w:pPr>
            <w:r>
              <w:rPr>
                <w:rFonts w:ascii="Arial" w:hAnsi="Arial" w:cs="Arial"/>
                <w:color w:val="000000"/>
                <w:sz w:val="18"/>
                <w:szCs w:val="18"/>
              </w:rPr>
              <w:t>Modelar y evaluar</w:t>
            </w:r>
          </w:p>
        </w:tc>
        <w:tc>
          <w:tcPr>
            <w:tcW w:w="2900" w:type="dxa"/>
            <w:tcMar>
              <w:top w:w="80" w:type="dxa"/>
              <w:left w:w="100" w:type="dxa"/>
              <w:bottom w:w="80" w:type="dxa"/>
              <w:right w:w="100" w:type="dxa"/>
            </w:tcMar>
          </w:tcPr>
          <w:p w14:paraId="42B3AB00" w14:textId="77777777" w:rsidR="0013518E" w:rsidRDefault="00B900B3">
            <w:pPr>
              <w:rPr>
                <w:rFonts w:ascii="Arial" w:hAnsi="Arial" w:cs="Arial"/>
              </w:rPr>
            </w:pPr>
            <w:r>
              <w:rPr>
                <w:rFonts w:ascii="Arial" w:hAnsi="Arial" w:cs="Arial"/>
                <w:color w:val="000000"/>
                <w:sz w:val="18"/>
                <w:szCs w:val="18"/>
              </w:rPr>
              <w:t>Scrum: dos sprints, con piloto y validación de usuarios</w:t>
            </w:r>
          </w:p>
        </w:tc>
        <w:tc>
          <w:tcPr>
            <w:tcW w:w="2338" w:type="dxa"/>
            <w:tcMar>
              <w:top w:w="80" w:type="dxa"/>
              <w:left w:w="100" w:type="dxa"/>
              <w:bottom w:w="80" w:type="dxa"/>
              <w:right w:w="100" w:type="dxa"/>
            </w:tcMar>
          </w:tcPr>
          <w:p w14:paraId="01B3FE9D" w14:textId="77777777" w:rsidR="0013518E" w:rsidRDefault="00B900B3">
            <w:pPr>
              <w:rPr>
                <w:rFonts w:ascii="Arial" w:hAnsi="Arial" w:cs="Arial"/>
              </w:rPr>
            </w:pPr>
            <w:r>
              <w:rPr>
                <w:rFonts w:ascii="Arial" w:hAnsi="Arial" w:cs="Arial"/>
                <w:color w:val="000000"/>
                <w:sz w:val="18"/>
                <w:szCs w:val="18"/>
              </w:rPr>
              <w:t>Sistemas e IT, Consultoría y Proyectos</w:t>
            </w:r>
          </w:p>
        </w:tc>
      </w:tr>
      <w:tr w:rsidR="0013518E" w14:paraId="29564F97" w14:textId="77777777">
        <w:trPr>
          <w:cantSplit/>
        </w:trPr>
        <w:tc>
          <w:tcPr>
            <w:tcW w:w="2100" w:type="dxa"/>
            <w:shd w:val="clear" w:color="auto" w:fill="E8F0EE"/>
            <w:tcMar>
              <w:top w:w="80" w:type="dxa"/>
              <w:left w:w="100" w:type="dxa"/>
              <w:bottom w:w="80" w:type="dxa"/>
              <w:right w:w="100" w:type="dxa"/>
            </w:tcMar>
          </w:tcPr>
          <w:p w14:paraId="11708245" w14:textId="77777777" w:rsidR="0013518E" w:rsidRDefault="00B900B3">
            <w:pPr>
              <w:rPr>
                <w:rFonts w:ascii="Arial" w:hAnsi="Arial" w:cs="Arial"/>
              </w:rPr>
            </w:pPr>
            <w:r>
              <w:rPr>
                <w:rFonts w:ascii="Arial" w:hAnsi="Arial" w:cs="Arial"/>
                <w:b/>
                <w:bCs/>
                <w:color w:val="000000"/>
                <w:sz w:val="18"/>
                <w:szCs w:val="18"/>
              </w:rPr>
              <w:t>4. Formación y despliegue</w:t>
            </w:r>
          </w:p>
        </w:tc>
        <w:tc>
          <w:tcPr>
            <w:tcW w:w="2300" w:type="dxa"/>
            <w:tcMar>
              <w:top w:w="80" w:type="dxa"/>
              <w:left w:w="100" w:type="dxa"/>
              <w:bottom w:w="80" w:type="dxa"/>
              <w:right w:w="100" w:type="dxa"/>
            </w:tcMar>
          </w:tcPr>
          <w:p w14:paraId="2442467E" w14:textId="77777777" w:rsidR="0013518E" w:rsidRDefault="00B900B3">
            <w:pPr>
              <w:rPr>
                <w:rFonts w:ascii="Arial" w:hAnsi="Arial" w:cs="Arial"/>
              </w:rPr>
            </w:pPr>
            <w:r>
              <w:rPr>
                <w:rFonts w:ascii="Arial" w:hAnsi="Arial" w:cs="Arial"/>
                <w:color w:val="000000"/>
                <w:sz w:val="18"/>
                <w:szCs w:val="18"/>
              </w:rPr>
              <w:t>Desplegar</w:t>
            </w:r>
          </w:p>
        </w:tc>
        <w:tc>
          <w:tcPr>
            <w:tcW w:w="2900" w:type="dxa"/>
            <w:tcMar>
              <w:top w:w="80" w:type="dxa"/>
              <w:left w:w="100" w:type="dxa"/>
              <w:bottom w:w="80" w:type="dxa"/>
              <w:right w:w="100" w:type="dxa"/>
            </w:tcMar>
          </w:tcPr>
          <w:p w14:paraId="1D9716CF" w14:textId="77777777" w:rsidR="0013518E" w:rsidRDefault="00B900B3">
            <w:pPr>
              <w:rPr>
                <w:rFonts w:ascii="Arial" w:hAnsi="Arial" w:cs="Arial"/>
              </w:rPr>
            </w:pPr>
            <w:r>
              <w:rPr>
                <w:rFonts w:ascii="Arial" w:hAnsi="Arial" w:cs="Arial"/>
                <w:color w:val="000000"/>
                <w:sz w:val="18"/>
                <w:szCs w:val="18"/>
              </w:rPr>
              <w:t>Formación y manual de usuario</w:t>
            </w:r>
          </w:p>
        </w:tc>
        <w:tc>
          <w:tcPr>
            <w:tcW w:w="2338" w:type="dxa"/>
            <w:tcMar>
              <w:top w:w="80" w:type="dxa"/>
              <w:left w:w="100" w:type="dxa"/>
              <w:bottom w:w="80" w:type="dxa"/>
              <w:right w:w="100" w:type="dxa"/>
            </w:tcMar>
          </w:tcPr>
          <w:p w14:paraId="4852BE2B" w14:textId="77777777" w:rsidR="0013518E" w:rsidRDefault="00B900B3">
            <w:pPr>
              <w:rPr>
                <w:rFonts w:ascii="Arial" w:hAnsi="Arial" w:cs="Arial"/>
              </w:rPr>
            </w:pPr>
            <w:r>
              <w:rPr>
                <w:rFonts w:ascii="Arial" w:hAnsi="Arial" w:cs="Arial"/>
                <w:color w:val="000000"/>
                <w:sz w:val="18"/>
                <w:szCs w:val="18"/>
              </w:rPr>
              <w:t>Todos los departamentos</w:t>
            </w:r>
          </w:p>
        </w:tc>
      </w:tr>
      <w:tr w:rsidR="0013518E" w14:paraId="484F7EBC" w14:textId="77777777">
        <w:trPr>
          <w:cantSplit/>
        </w:trPr>
        <w:tc>
          <w:tcPr>
            <w:tcW w:w="2100" w:type="dxa"/>
            <w:shd w:val="clear" w:color="auto" w:fill="E8F0EE"/>
            <w:tcMar>
              <w:top w:w="80" w:type="dxa"/>
              <w:left w:w="100" w:type="dxa"/>
              <w:bottom w:w="80" w:type="dxa"/>
              <w:right w:w="100" w:type="dxa"/>
            </w:tcMar>
          </w:tcPr>
          <w:p w14:paraId="6F3810C5" w14:textId="77777777" w:rsidR="0013518E" w:rsidRDefault="00B900B3">
            <w:pPr>
              <w:rPr>
                <w:rFonts w:ascii="Arial" w:hAnsi="Arial" w:cs="Arial"/>
              </w:rPr>
            </w:pPr>
            <w:r>
              <w:rPr>
                <w:rFonts w:ascii="Arial" w:hAnsi="Arial" w:cs="Arial"/>
                <w:b/>
                <w:bCs/>
                <w:color w:val="000000"/>
                <w:sz w:val="18"/>
                <w:szCs w:val="18"/>
              </w:rPr>
              <w:t>5. Seguimiento y mejora</w:t>
            </w:r>
          </w:p>
        </w:tc>
        <w:tc>
          <w:tcPr>
            <w:tcW w:w="2300" w:type="dxa"/>
            <w:tcMar>
              <w:top w:w="80" w:type="dxa"/>
              <w:left w:w="100" w:type="dxa"/>
              <w:bottom w:w="80" w:type="dxa"/>
              <w:right w:w="100" w:type="dxa"/>
            </w:tcMar>
          </w:tcPr>
          <w:p w14:paraId="54E84941" w14:textId="77777777" w:rsidR="0013518E" w:rsidRDefault="00B900B3">
            <w:pPr>
              <w:rPr>
                <w:rFonts w:ascii="Arial" w:hAnsi="Arial" w:cs="Arial"/>
              </w:rPr>
            </w:pPr>
            <w:r>
              <w:rPr>
                <w:rFonts w:ascii="Arial" w:hAnsi="Arial" w:cs="Arial"/>
                <w:color w:val="000000"/>
                <w:sz w:val="18"/>
                <w:szCs w:val="18"/>
              </w:rPr>
              <w:t>Evaluar y volver a entender el negocio</w:t>
            </w:r>
          </w:p>
        </w:tc>
        <w:tc>
          <w:tcPr>
            <w:tcW w:w="2900" w:type="dxa"/>
            <w:tcMar>
              <w:top w:w="80" w:type="dxa"/>
              <w:left w:w="100" w:type="dxa"/>
              <w:bottom w:w="80" w:type="dxa"/>
              <w:right w:w="100" w:type="dxa"/>
            </w:tcMar>
          </w:tcPr>
          <w:p w14:paraId="6E4F2DD5" w14:textId="77777777" w:rsidR="0013518E" w:rsidRDefault="00B900B3">
            <w:pPr>
              <w:rPr>
                <w:rFonts w:ascii="Arial" w:hAnsi="Arial" w:cs="Arial"/>
              </w:rPr>
            </w:pPr>
            <w:r>
              <w:rPr>
                <w:rFonts w:ascii="Arial" w:hAnsi="Arial" w:cs="Arial"/>
                <w:color w:val="000000"/>
                <w:sz w:val="18"/>
                <w:szCs w:val="18"/>
              </w:rPr>
              <w:t>Lean Analytics: revisión de la métrica que importa</w:t>
            </w:r>
          </w:p>
        </w:tc>
        <w:tc>
          <w:tcPr>
            <w:tcW w:w="2338" w:type="dxa"/>
            <w:tcMar>
              <w:top w:w="80" w:type="dxa"/>
              <w:left w:w="100" w:type="dxa"/>
              <w:bottom w:w="80" w:type="dxa"/>
              <w:right w:w="100" w:type="dxa"/>
            </w:tcMar>
          </w:tcPr>
          <w:p w14:paraId="6E9E41CE" w14:textId="77777777" w:rsidR="0013518E" w:rsidRDefault="00B900B3">
            <w:pPr>
              <w:rPr>
                <w:rFonts w:ascii="Arial" w:hAnsi="Arial" w:cs="Arial"/>
              </w:rPr>
            </w:pPr>
            <w:r>
              <w:rPr>
                <w:rFonts w:ascii="Arial" w:hAnsi="Arial" w:cs="Arial"/>
                <w:color w:val="000000"/>
                <w:sz w:val="18"/>
                <w:szCs w:val="18"/>
              </w:rPr>
              <w:t>Dirección General</w:t>
            </w:r>
          </w:p>
        </w:tc>
      </w:tr>
    </w:tbl>
    <w:p w14:paraId="2CBDD8BA" w14:textId="77777777" w:rsidR="0013518E" w:rsidRDefault="0013518E">
      <w:pPr>
        <w:spacing w:after="120"/>
      </w:pPr>
    </w:p>
    <w:p w14:paraId="0A3016AA" w14:textId="77777777" w:rsidR="0013518E" w:rsidRDefault="00B900B3">
      <w:pPr>
        <w:spacing w:after="200" w:line="360" w:lineRule="auto"/>
        <w:jc w:val="both"/>
        <w:rPr>
          <w:rFonts w:ascii="Arial" w:hAnsi="Arial" w:cs="Arial"/>
        </w:rPr>
      </w:pPr>
      <w:r>
        <w:rPr>
          <w:rFonts w:ascii="Arial" w:hAnsi="Arial" w:cs="Arial"/>
        </w:rPr>
        <w:t>La preparación de los datos suele ser la fase que más tiempo consume en cualquier proyecto de datos, y por eso se ha planificado de forma explícita: la Fase 2, de seis semanas, es la más larga de todo el proyecto. En ella se aplica el proceso habitual de extracción, transformación y carga (ETL): se extraen los datos de cada aplicación mediante API o Power Automate, se transforman unificando definiciones e identificadores (por ejemplo, un único identificador de cliente en HubSpot, Toggl y Holded) y se cargan en el modelo relacional. Este cuidado es el seguro del proyecto: según Gartner (2025), hasta 2026 se abandonará el 60 % de los proyectos de IA que no cuenten con datos preparados.</w:t>
      </w:r>
    </w:p>
    <w:p w14:paraId="06ADED42" w14:textId="38AA54F7" w:rsidR="00D531A0" w:rsidRPr="003D0B72" w:rsidRDefault="00B900B3">
      <w:pPr>
        <w:spacing w:after="200" w:line="360" w:lineRule="auto"/>
        <w:jc w:val="both"/>
        <w:rPr>
          <w:rFonts w:ascii="Arial" w:hAnsi="Arial" w:cs="Arial"/>
        </w:rPr>
      </w:pPr>
      <w:r>
        <w:rPr>
          <w:rFonts w:ascii="Arial" w:hAnsi="Arial" w:cs="Arial"/>
        </w:rPr>
        <w:lastRenderedPageBreak/>
        <w:t>Las herramientas y plataformas empleadas a lo largo del proyecto son Power BI para la visualización, HubSpot como CRM, Toggl o Clockify para el control horario, Power Automate para las integraciones y Notion para documentar cada decisión y cada entregable del proyecto. La elección de herramientas ya utilizadas en la empresa, o de bajo coste, es deliberada, reduce la curva de aprendizaje y mantiene el presupuesto en cifras asumibles para una pequeña empresa.</w:t>
      </w:r>
    </w:p>
    <w:p w14:paraId="06ADED43" w14:textId="77777777" w:rsidR="00D531A0" w:rsidRDefault="00B900B3">
      <w:pPr>
        <w:pStyle w:val="Ttulo2"/>
        <w:spacing w:before="280" w:after="160"/>
      </w:pPr>
      <w:bookmarkStart w:id="39" w:name="_Toc241477561"/>
      <w:r>
        <w:rPr>
          <w:b/>
          <w:bCs/>
          <w:color w:val="1C7A5E"/>
        </w:rPr>
        <w:t>2.4. Resultado final y conclusiones del proyecto</w:t>
      </w:r>
      <w:bookmarkEnd w:id="39"/>
    </w:p>
    <w:p w14:paraId="06ADED44" w14:textId="50D06A34" w:rsidR="00D531A0" w:rsidRPr="003D0B72" w:rsidRDefault="00B900B3">
      <w:pPr>
        <w:spacing w:after="200" w:line="360" w:lineRule="auto"/>
        <w:jc w:val="both"/>
        <w:rPr>
          <w:rFonts w:ascii="Arial" w:hAnsi="Arial" w:cs="Arial"/>
        </w:rPr>
      </w:pPr>
      <w:r>
        <w:rPr>
          <w:rFonts w:ascii="Arial" w:hAnsi="Arial" w:cs="Arial"/>
        </w:rPr>
        <w:t>El resultado esperado del proyecto es un cuadro de mando integrado, actualizado de forma prácticamente automática, que sustituye a las hojas de cálculo actuales y que ofrece tres niveles de lectura una vista estratégica para Dirección General centrada en la rentabilidad global y la evolución del pipeline comercial, una vista táctica para los responsables de departamento centrada en la ocupación de los equipos y el cumplimiento de plazos, y una vista operativa para cada consultor con sus propios proyectos y su propia carga de trabajo.</w:t>
      </w:r>
    </w:p>
    <w:p w14:paraId="06ADED45" w14:textId="51D1F878" w:rsidR="00D531A0" w:rsidRPr="009C3F87" w:rsidRDefault="00B900B3">
      <w:pPr>
        <w:spacing w:after="200" w:line="360" w:lineRule="auto"/>
        <w:jc w:val="both"/>
        <w:rPr>
          <w:rFonts w:ascii="Arial" w:hAnsi="Arial" w:cs="Arial"/>
        </w:rPr>
      </w:pPr>
      <w:r>
        <w:rPr>
          <w:rFonts w:ascii="Arial" w:hAnsi="Arial" w:cs="Arial"/>
        </w:rPr>
        <w:t>Desde el punto de vista del impacto, la implantación de este proyecto Data-Driven permitiría a DataPyme Consulting detectar mucho antes los proyectos que se están desviando en tiempo o en coste, anticipar con más precisión las necesidades de contratación de nuevos consultores, y liberar tiempo de gestión que los responsables de departamento podrán dedicar a analizar la información en lugar de a recopilarla manualmente. En un sentido más amplio, el proyecto refuerza la coherencia entre lo que la empresa vende a sus clientes, la importancia de gestionar con datos, y la forma en que ella misma se gestiona puertas adentro, lo que además constituye un argumento comercial adicional frente a clientes potenciales: una consultora que aplica sobre sí misma la metodología que recomienda a sus clientes resulta, sencillamente, más creíble.</w:t>
      </w:r>
    </w:p>
    <w:p w14:paraId="06ADED46" w14:textId="1736CBDA" w:rsidR="00D531A0" w:rsidRPr="009D3166" w:rsidRDefault="00B900B3">
      <w:pPr>
        <w:spacing w:after="200" w:line="360" w:lineRule="auto"/>
        <w:jc w:val="both"/>
        <w:rPr>
          <w:rFonts w:ascii="Arial" w:hAnsi="Arial" w:cs="Arial"/>
        </w:rPr>
      </w:pPr>
      <w:r>
        <w:rPr>
          <w:rFonts w:ascii="Arial" w:hAnsi="Arial" w:cs="Arial"/>
        </w:rPr>
        <w:t>Para evaluar el éxito del proyecto se fijan indicadores de seguimiento específicos, que se revisarán a los tres, seis y doce meses de su puesta en marcha: el tiempo mensual dedicado a la elaboración manual de informes, la desviación entre la previsión de ingresos a tres meses y los ingresos realmente obtenidos, la tasa media de ocupación de los consultores, la rentabilidad media por proyecto y el grado de uso del cuadro de mando por parte de la plantilla. Este último indicador es especialmente relevante, ya que un sistema técnicamente perfecto, pero poco utilizado no produciría ningún cambio real en la forma de decidir.</w:t>
      </w:r>
    </w:p>
    <w:p w14:paraId="71E228FC" w14:textId="77777777" w:rsidR="0013518E" w:rsidRDefault="00B900B3">
      <w:pPr>
        <w:spacing w:after="200" w:line="360" w:lineRule="auto"/>
        <w:jc w:val="both"/>
        <w:rPr>
          <w:rFonts w:ascii="Arial" w:hAnsi="Arial" w:cs="Arial"/>
        </w:rPr>
      </w:pPr>
      <w:r>
        <w:rPr>
          <w:rFonts w:ascii="Arial" w:hAnsi="Arial" w:cs="Arial"/>
        </w:rPr>
        <w:t>Siguiendo el criterio de medir el éxito en tres niveles, los indicadores de seguimiento se agrupan en técnicos, de negocio y de adopción. Un modelo excelente que nadie usa tiene un valor de cero, por lo que los tres niveles se revisan conjuntamente:</w:t>
      </w:r>
    </w:p>
    <w:p w14:paraId="0C4B325A" w14:textId="77777777" w:rsidR="0013518E" w:rsidRDefault="00B900B3">
      <w:pPr>
        <w:keepNext/>
        <w:spacing w:before="200" w:after="100"/>
        <w:jc w:val="center"/>
      </w:pPr>
      <w:r>
        <w:rPr>
          <w:i/>
          <w:iCs/>
          <w:color w:val="555555"/>
          <w:sz w:val="20"/>
          <w:szCs w:val="20"/>
        </w:rPr>
        <w:lastRenderedPageBreak/>
        <w:t>Tabla 10. Niveles de medición del éxito del proyecto.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2200"/>
        <w:gridCol w:w="5938"/>
      </w:tblGrid>
      <w:tr w:rsidR="0013518E" w14:paraId="064A345D" w14:textId="77777777">
        <w:trPr>
          <w:cantSplit/>
          <w:tblHeader/>
        </w:trPr>
        <w:tc>
          <w:tcPr>
            <w:tcW w:w="1500" w:type="dxa"/>
            <w:shd w:val="clear" w:color="auto" w:fill="0D3B4F"/>
            <w:tcMar>
              <w:top w:w="80" w:type="dxa"/>
              <w:left w:w="100" w:type="dxa"/>
              <w:bottom w:w="80" w:type="dxa"/>
              <w:right w:w="100" w:type="dxa"/>
            </w:tcMar>
          </w:tcPr>
          <w:p w14:paraId="3BD76244" w14:textId="77777777" w:rsidR="0013518E" w:rsidRDefault="00B900B3">
            <w:pPr>
              <w:keepNext/>
              <w:rPr>
                <w:rFonts w:ascii="Arial" w:hAnsi="Arial" w:cs="Arial"/>
              </w:rPr>
            </w:pPr>
            <w:r>
              <w:rPr>
                <w:rFonts w:ascii="Arial" w:hAnsi="Arial" w:cs="Arial"/>
                <w:b/>
                <w:bCs/>
                <w:color w:val="FFFFFF"/>
                <w:sz w:val="18"/>
                <w:szCs w:val="18"/>
              </w:rPr>
              <w:t>Nivel</w:t>
            </w:r>
          </w:p>
        </w:tc>
        <w:tc>
          <w:tcPr>
            <w:tcW w:w="2200" w:type="dxa"/>
            <w:shd w:val="clear" w:color="auto" w:fill="0D3B4F"/>
            <w:tcMar>
              <w:top w:w="80" w:type="dxa"/>
              <w:left w:w="100" w:type="dxa"/>
              <w:bottom w:w="80" w:type="dxa"/>
              <w:right w:w="100" w:type="dxa"/>
            </w:tcMar>
          </w:tcPr>
          <w:p w14:paraId="50E18DB0" w14:textId="77777777" w:rsidR="0013518E" w:rsidRDefault="00B900B3">
            <w:pPr>
              <w:keepNext/>
              <w:rPr>
                <w:rFonts w:ascii="Arial" w:hAnsi="Arial" w:cs="Arial"/>
              </w:rPr>
            </w:pPr>
            <w:r>
              <w:rPr>
                <w:rFonts w:ascii="Arial" w:hAnsi="Arial" w:cs="Arial"/>
                <w:b/>
                <w:bCs/>
                <w:color w:val="FFFFFF"/>
                <w:sz w:val="18"/>
                <w:szCs w:val="18"/>
              </w:rPr>
              <w:t>Pregunta</w:t>
            </w:r>
          </w:p>
        </w:tc>
        <w:tc>
          <w:tcPr>
            <w:tcW w:w="5938" w:type="dxa"/>
            <w:shd w:val="clear" w:color="auto" w:fill="0D3B4F"/>
            <w:tcMar>
              <w:top w:w="80" w:type="dxa"/>
              <w:left w:w="100" w:type="dxa"/>
              <w:bottom w:w="80" w:type="dxa"/>
              <w:right w:w="100" w:type="dxa"/>
            </w:tcMar>
          </w:tcPr>
          <w:p w14:paraId="7805819C" w14:textId="77777777" w:rsidR="0013518E" w:rsidRDefault="00B900B3">
            <w:pPr>
              <w:keepNext/>
              <w:rPr>
                <w:rFonts w:ascii="Arial" w:hAnsi="Arial" w:cs="Arial"/>
              </w:rPr>
            </w:pPr>
            <w:r>
              <w:rPr>
                <w:rFonts w:ascii="Arial" w:hAnsi="Arial" w:cs="Arial"/>
                <w:b/>
                <w:bCs/>
                <w:color w:val="FFFFFF"/>
                <w:sz w:val="18"/>
                <w:szCs w:val="18"/>
              </w:rPr>
              <w:t>Indicadores de DataPyme 360</w:t>
            </w:r>
          </w:p>
        </w:tc>
      </w:tr>
      <w:tr w:rsidR="0013518E" w14:paraId="040B1ACA" w14:textId="77777777">
        <w:trPr>
          <w:cantSplit/>
        </w:trPr>
        <w:tc>
          <w:tcPr>
            <w:tcW w:w="1500" w:type="dxa"/>
            <w:shd w:val="clear" w:color="auto" w:fill="E8F0EE"/>
            <w:tcMar>
              <w:top w:w="80" w:type="dxa"/>
              <w:left w:w="100" w:type="dxa"/>
              <w:bottom w:w="80" w:type="dxa"/>
              <w:right w:w="100" w:type="dxa"/>
            </w:tcMar>
          </w:tcPr>
          <w:p w14:paraId="67C77C78" w14:textId="77777777" w:rsidR="0013518E" w:rsidRDefault="00B900B3">
            <w:pPr>
              <w:keepNext/>
              <w:rPr>
                <w:rFonts w:ascii="Arial" w:hAnsi="Arial" w:cs="Arial"/>
              </w:rPr>
            </w:pPr>
            <w:r>
              <w:rPr>
                <w:rFonts w:ascii="Arial" w:hAnsi="Arial" w:cs="Arial"/>
                <w:b/>
                <w:bCs/>
                <w:color w:val="000000"/>
                <w:sz w:val="18"/>
                <w:szCs w:val="18"/>
              </w:rPr>
              <w:t>Técnico</w:t>
            </w:r>
          </w:p>
        </w:tc>
        <w:tc>
          <w:tcPr>
            <w:tcW w:w="2200" w:type="dxa"/>
            <w:tcMar>
              <w:top w:w="80" w:type="dxa"/>
              <w:left w:w="100" w:type="dxa"/>
              <w:bottom w:w="80" w:type="dxa"/>
              <w:right w:w="100" w:type="dxa"/>
            </w:tcMar>
          </w:tcPr>
          <w:p w14:paraId="6AFEF9A2" w14:textId="77777777" w:rsidR="0013518E" w:rsidRDefault="00B900B3">
            <w:pPr>
              <w:keepNext/>
              <w:rPr>
                <w:rFonts w:ascii="Arial" w:hAnsi="Arial" w:cs="Arial"/>
              </w:rPr>
            </w:pPr>
            <w:r>
              <w:rPr>
                <w:rFonts w:ascii="Arial" w:hAnsi="Arial" w:cs="Arial"/>
                <w:color w:val="000000"/>
                <w:sz w:val="18"/>
                <w:szCs w:val="18"/>
              </w:rPr>
              <w:t>¿Funciona y acierta?</w:t>
            </w:r>
          </w:p>
        </w:tc>
        <w:tc>
          <w:tcPr>
            <w:tcW w:w="5938" w:type="dxa"/>
            <w:tcMar>
              <w:top w:w="80" w:type="dxa"/>
              <w:left w:w="100" w:type="dxa"/>
              <w:bottom w:w="80" w:type="dxa"/>
              <w:right w:w="100" w:type="dxa"/>
            </w:tcMar>
          </w:tcPr>
          <w:p w14:paraId="52BBA739" w14:textId="77777777" w:rsidR="0013518E" w:rsidRDefault="00B900B3">
            <w:pPr>
              <w:keepNext/>
              <w:rPr>
                <w:rFonts w:ascii="Arial" w:hAnsi="Arial" w:cs="Arial"/>
              </w:rPr>
            </w:pPr>
            <w:r>
              <w:rPr>
                <w:rFonts w:ascii="Arial" w:hAnsi="Arial" w:cs="Arial"/>
                <w:color w:val="000000"/>
                <w:sz w:val="18"/>
                <w:szCs w:val="18"/>
              </w:rPr>
              <w:t>Porcentaje de cargas automáticas correctas, diferencias entre el modelo y Holded, frescura de los datos y desviación de la previsión de ingresos.</w:t>
            </w:r>
          </w:p>
        </w:tc>
      </w:tr>
      <w:tr w:rsidR="0013518E" w14:paraId="1A5B8559" w14:textId="77777777">
        <w:trPr>
          <w:cantSplit/>
        </w:trPr>
        <w:tc>
          <w:tcPr>
            <w:tcW w:w="1500" w:type="dxa"/>
            <w:shd w:val="clear" w:color="auto" w:fill="E8F0EE"/>
            <w:tcMar>
              <w:top w:w="80" w:type="dxa"/>
              <w:left w:w="100" w:type="dxa"/>
              <w:bottom w:w="80" w:type="dxa"/>
              <w:right w:w="100" w:type="dxa"/>
            </w:tcMar>
          </w:tcPr>
          <w:p w14:paraId="390F6C22" w14:textId="77777777" w:rsidR="0013518E" w:rsidRDefault="00B900B3">
            <w:pPr>
              <w:rPr>
                <w:rFonts w:ascii="Arial" w:hAnsi="Arial" w:cs="Arial"/>
              </w:rPr>
            </w:pPr>
            <w:r>
              <w:rPr>
                <w:rFonts w:ascii="Arial" w:hAnsi="Arial" w:cs="Arial"/>
                <w:b/>
                <w:bCs/>
                <w:color w:val="000000"/>
                <w:sz w:val="18"/>
                <w:szCs w:val="18"/>
              </w:rPr>
              <w:t>Negocio</w:t>
            </w:r>
          </w:p>
        </w:tc>
        <w:tc>
          <w:tcPr>
            <w:tcW w:w="2200" w:type="dxa"/>
            <w:tcMar>
              <w:top w:w="80" w:type="dxa"/>
              <w:left w:w="100" w:type="dxa"/>
              <w:bottom w:w="80" w:type="dxa"/>
              <w:right w:w="100" w:type="dxa"/>
            </w:tcMar>
          </w:tcPr>
          <w:p w14:paraId="1FB42966" w14:textId="77777777" w:rsidR="0013518E" w:rsidRDefault="00B900B3">
            <w:pPr>
              <w:rPr>
                <w:rFonts w:ascii="Arial" w:hAnsi="Arial" w:cs="Arial"/>
              </w:rPr>
            </w:pPr>
            <w:r>
              <w:rPr>
                <w:rFonts w:ascii="Arial" w:hAnsi="Arial" w:cs="Arial"/>
                <w:color w:val="000000"/>
                <w:sz w:val="18"/>
                <w:szCs w:val="18"/>
              </w:rPr>
              <w:t>¿Ha movido el objetivo?</w:t>
            </w:r>
          </w:p>
        </w:tc>
        <w:tc>
          <w:tcPr>
            <w:tcW w:w="5938" w:type="dxa"/>
            <w:tcMar>
              <w:top w:w="80" w:type="dxa"/>
              <w:left w:w="100" w:type="dxa"/>
              <w:bottom w:w="80" w:type="dxa"/>
              <w:right w:w="100" w:type="dxa"/>
            </w:tcMar>
          </w:tcPr>
          <w:p w14:paraId="5DA4E7BF" w14:textId="77777777" w:rsidR="0013518E" w:rsidRDefault="00B900B3">
            <w:pPr>
              <w:rPr>
                <w:rFonts w:ascii="Arial" w:hAnsi="Arial" w:cs="Arial"/>
              </w:rPr>
            </w:pPr>
            <w:r>
              <w:rPr>
                <w:rFonts w:ascii="Arial" w:hAnsi="Arial" w:cs="Arial"/>
                <w:color w:val="000000"/>
                <w:sz w:val="18"/>
                <w:szCs w:val="18"/>
              </w:rPr>
              <w:t>Horas de consolidación manual, rentabilidad media por proyecto, tasa de ocupación y desviación entre previsión e ingreso real.</w:t>
            </w:r>
          </w:p>
        </w:tc>
      </w:tr>
      <w:tr w:rsidR="0013518E" w14:paraId="70385125" w14:textId="77777777">
        <w:trPr>
          <w:cantSplit/>
        </w:trPr>
        <w:tc>
          <w:tcPr>
            <w:tcW w:w="1500" w:type="dxa"/>
            <w:shd w:val="clear" w:color="auto" w:fill="E8F0EE"/>
            <w:tcMar>
              <w:top w:w="80" w:type="dxa"/>
              <w:left w:w="100" w:type="dxa"/>
              <w:bottom w:w="80" w:type="dxa"/>
              <w:right w:w="100" w:type="dxa"/>
            </w:tcMar>
          </w:tcPr>
          <w:p w14:paraId="44175D95" w14:textId="77777777" w:rsidR="0013518E" w:rsidRDefault="00B900B3">
            <w:pPr>
              <w:rPr>
                <w:rFonts w:ascii="Arial" w:hAnsi="Arial" w:cs="Arial"/>
              </w:rPr>
            </w:pPr>
            <w:r>
              <w:rPr>
                <w:rFonts w:ascii="Arial" w:hAnsi="Arial" w:cs="Arial"/>
                <w:b/>
                <w:bCs/>
                <w:color w:val="000000"/>
                <w:sz w:val="18"/>
                <w:szCs w:val="18"/>
              </w:rPr>
              <w:t>Adopción</w:t>
            </w:r>
          </w:p>
        </w:tc>
        <w:tc>
          <w:tcPr>
            <w:tcW w:w="2200" w:type="dxa"/>
            <w:tcMar>
              <w:top w:w="80" w:type="dxa"/>
              <w:left w:w="100" w:type="dxa"/>
              <w:bottom w:w="80" w:type="dxa"/>
              <w:right w:w="100" w:type="dxa"/>
            </w:tcMar>
          </w:tcPr>
          <w:p w14:paraId="4F6DE416" w14:textId="77777777" w:rsidR="0013518E" w:rsidRDefault="00B900B3">
            <w:pPr>
              <w:rPr>
                <w:rFonts w:ascii="Arial" w:hAnsi="Arial" w:cs="Arial"/>
              </w:rPr>
            </w:pPr>
            <w:r>
              <w:rPr>
                <w:rFonts w:ascii="Arial" w:hAnsi="Arial" w:cs="Arial"/>
                <w:color w:val="000000"/>
                <w:sz w:val="18"/>
                <w:szCs w:val="18"/>
              </w:rPr>
              <w:t>¿Se usa?</w:t>
            </w:r>
          </w:p>
        </w:tc>
        <w:tc>
          <w:tcPr>
            <w:tcW w:w="5938" w:type="dxa"/>
            <w:tcMar>
              <w:top w:w="80" w:type="dxa"/>
              <w:left w:w="100" w:type="dxa"/>
              <w:bottom w:w="80" w:type="dxa"/>
              <w:right w:w="100" w:type="dxa"/>
            </w:tcMar>
          </w:tcPr>
          <w:p w14:paraId="45D3FA5B" w14:textId="77777777" w:rsidR="0013518E" w:rsidRDefault="00B900B3">
            <w:pPr>
              <w:rPr>
                <w:rFonts w:ascii="Arial" w:hAnsi="Arial" w:cs="Arial"/>
              </w:rPr>
            </w:pPr>
            <w:r>
              <w:rPr>
                <w:rFonts w:ascii="Arial" w:hAnsi="Arial" w:cs="Arial"/>
                <w:color w:val="000000"/>
                <w:sz w:val="18"/>
                <w:szCs w:val="18"/>
              </w:rPr>
              <w:t>Personas que consultan su panel cada semana y decisiones documentadas en actas (Notion) tomadas con el cuadro de mando.</w:t>
            </w:r>
          </w:p>
        </w:tc>
      </w:tr>
    </w:tbl>
    <w:p w14:paraId="3B8DDB59" w14:textId="77777777" w:rsidR="0013518E" w:rsidRDefault="0013518E">
      <w:pPr>
        <w:spacing w:after="120"/>
      </w:pPr>
    </w:p>
    <w:p w14:paraId="06ADED47" w14:textId="5B7BFB5B" w:rsidR="00D531A0" w:rsidRPr="009D3166" w:rsidRDefault="00B900B3">
      <w:pPr>
        <w:spacing w:after="200" w:line="360" w:lineRule="auto"/>
        <w:jc w:val="both"/>
        <w:rPr>
          <w:rFonts w:ascii="Arial" w:hAnsi="Arial" w:cs="Arial"/>
        </w:rPr>
      </w:pPr>
      <w:r>
        <w:rPr>
          <w:rFonts w:ascii="Arial" w:hAnsi="Arial" w:cs="Arial"/>
        </w:rPr>
        <w:t>Además, el proyecto sienta las bases para una segunda etapa. Una vez consolidado el cuadro de mando descriptivo, que explica lo que ha ocurrido, la empresa podrá incorporar técnicas de análisis predictivo que anticipen lo que es probable que ocurra qué oportunidades del pipeline tienen más probabilidad de cerrarse, qué proyectos presentan mayor riesgo de desviación o cuándo será necesario incorporar nuevos consultores. De este modo, la empresa avanzaría progresivamente desde una gestión basada en informes hacia una organización plenamente orientada a los datos.</w:t>
      </w:r>
    </w:p>
    <w:p w14:paraId="4C24B62E" w14:textId="77777777" w:rsidR="0013518E" w:rsidRDefault="00B900B3">
      <w:pPr>
        <w:spacing w:after="200" w:line="360" w:lineRule="auto"/>
        <w:jc w:val="both"/>
        <w:rPr>
          <w:rFonts w:ascii="Arial" w:hAnsi="Arial" w:cs="Arial"/>
        </w:rPr>
      </w:pPr>
      <w:r>
        <w:rPr>
          <w:rFonts w:ascii="Arial" w:hAnsi="Arial" w:cs="Arial"/>
        </w:rPr>
        <w:t>Desde el punto de vista de la innovación, DataPyme 360 es una innovación de configuración, ya que cambia los procesos y la estructura de información de la empresa. Los datos permiten innovar con menos riesgo y encadenar otros dos tipos: una innovación de oferta, con nuevos servicios de analítica predictiva e inteligencia artificial aplicada, y una innovación de experiencia, por ejemplo con un portal en el que los clientes consulten sus propios paneles. Combinar varios tipos de innovación es, según el marco de los diez tipos de innovación de Doblin, lo más difícil de copiar para la competencia.</w:t>
      </w:r>
    </w:p>
    <w:p w14:paraId="06ADED48" w14:textId="77777777" w:rsidR="00D531A0" w:rsidRDefault="00B900B3">
      <w:pPr>
        <w:pStyle w:val="Ttulo2"/>
        <w:spacing w:before="280" w:after="160"/>
      </w:pPr>
      <w:bookmarkStart w:id="40" w:name="_Toc241477562"/>
      <w:r>
        <w:rPr>
          <w:b/>
          <w:bCs/>
          <w:color w:val="1C7A5E"/>
        </w:rPr>
        <w:t>2.5. Riesgos y medidas de mitigación</w:t>
      </w:r>
      <w:bookmarkEnd w:id="40"/>
    </w:p>
    <w:p w14:paraId="06ADED49" w14:textId="77777777" w:rsidR="00D531A0" w:rsidRPr="009D3166" w:rsidRDefault="00B900B3">
      <w:pPr>
        <w:spacing w:after="200" w:line="360" w:lineRule="auto"/>
        <w:jc w:val="both"/>
        <w:rPr>
          <w:rFonts w:ascii="Arial" w:hAnsi="Arial" w:cs="Arial"/>
        </w:rPr>
      </w:pPr>
      <w:r>
        <w:rPr>
          <w:rFonts w:ascii="Arial" w:hAnsi="Arial" w:cs="Arial"/>
        </w:rPr>
        <w:t>Todo proyecto de transformación interna conlleva riesgos que conviene anticipar. El primero es la resistencia de los equipos a registrar sus datos de forma disciplinada, con probabilidad media e impacto alto; se mitiga implicando a los responsables de cada departamento desde la fase de diagnóstico y explicándoles el beneficio directo que obtendrán, que es menos reporting manual. El segundo es la calidad deficiente de los datos históricos, de probabilidad alta e impacto medio, para lo cual se dedica una parte específica de la Fase 2 a su limpieza y validación antes de construir los indicadores.</w:t>
      </w:r>
    </w:p>
    <w:p w14:paraId="06ADED4A" w14:textId="1ECE1E69" w:rsidR="00D531A0" w:rsidRPr="009D3166" w:rsidRDefault="00B900B3">
      <w:pPr>
        <w:spacing w:after="200" w:line="360" w:lineRule="auto"/>
        <w:jc w:val="both"/>
        <w:rPr>
          <w:rFonts w:ascii="Arial" w:hAnsi="Arial" w:cs="Arial"/>
        </w:rPr>
      </w:pPr>
      <w:r>
        <w:rPr>
          <w:rFonts w:ascii="Arial" w:hAnsi="Arial" w:cs="Arial"/>
        </w:rPr>
        <w:t xml:space="preserve">El tercero es la dependencia de un único perfil técnico interno para el mantenimiento, con probabilidad media e impacto alto, que se reduce documentando el modelo de datos y formando a una segunda persona de Sistemas e IT como respaldo. El cuarto es la desviación del calendario por coincidir con la temporada alta de proyectos con clientes, que se evita planificando las fases de mayor carga (2 y 3) fuera de los periodos de mayor actividad comercial. Estos riesgos se revisan en cada comité de seguimiento, con periodicidad quincenal durante las Fases 1 a 4, aplicando a la </w:t>
      </w:r>
      <w:r>
        <w:rPr>
          <w:rFonts w:ascii="Arial" w:hAnsi="Arial" w:cs="Arial"/>
        </w:rPr>
        <w:lastRenderedPageBreak/>
        <w:t xml:space="preserve">gestión de </w:t>
      </w:r>
      <w:r>
        <w:rPr>
          <w:rFonts w:ascii="Arial" w:hAnsi="Arial" w:cs="Arial"/>
          <w:i/>
          <w:iCs/>
        </w:rPr>
        <w:t>DataPyme 360</w:t>
      </w:r>
      <w:r>
        <w:rPr>
          <w:rFonts w:ascii="Arial" w:hAnsi="Arial" w:cs="Arial"/>
        </w:rPr>
        <w:t xml:space="preserve"> el mismo enfoque basado en datos que el proyecto persigue extender a toda la empresa.</w:t>
      </w:r>
    </w:p>
    <w:p w14:paraId="376DDC2D" w14:textId="77777777" w:rsidR="0013518E" w:rsidRDefault="00B900B3">
      <w:pPr>
        <w:spacing w:after="200" w:line="360" w:lineRule="auto"/>
        <w:jc w:val="both"/>
        <w:rPr>
          <w:rFonts w:ascii="Arial" w:hAnsi="Arial" w:cs="Arial"/>
        </w:rPr>
      </w:pPr>
      <w:r>
        <w:rPr>
          <w:rFonts w:ascii="Arial" w:hAnsi="Arial" w:cs="Arial"/>
        </w:rPr>
        <w:t>A los anteriores se añaden dos riesgos de gobierno del dato: el tratamiento inadecuado de datos de clientes, con probabilidad baja e impacto alto, que se mitiga con contratos de encargado del tratamiento, minimización y seudonimización; y los permisos excesivos de las automatizaciones, con probabilidad media e impacto alto, que se evitan con cuentas de solo lectura y copias de seguridad aisladas, tal y como se describe en el apartado 1.6.</w:t>
      </w:r>
    </w:p>
    <w:p w14:paraId="0CA47F8B" w14:textId="77777777" w:rsidR="0013518E" w:rsidRDefault="00B900B3">
      <w:pPr>
        <w:pStyle w:val="Ttulo2"/>
        <w:keepNext/>
        <w:spacing w:before="280" w:after="160"/>
      </w:pPr>
      <w:bookmarkStart w:id="41" w:name="_Toc91008"/>
      <w:r>
        <w:rPr>
          <w:b/>
          <w:bCs/>
          <w:color w:val="1C7A5E"/>
        </w:rPr>
        <w:t>2.6. Cultura del dato y gestión del cambio</w:t>
      </w:r>
      <w:bookmarkEnd w:id="41"/>
    </w:p>
    <w:p w14:paraId="1DBDBF21" w14:textId="77777777" w:rsidR="0013518E" w:rsidRDefault="00B900B3">
      <w:pPr>
        <w:spacing w:after="200" w:line="360" w:lineRule="auto"/>
        <w:jc w:val="both"/>
        <w:rPr>
          <w:rFonts w:ascii="Arial" w:hAnsi="Arial" w:cs="Arial"/>
        </w:rPr>
      </w:pPr>
      <w:r>
        <w:rPr>
          <w:rFonts w:ascii="Arial" w:hAnsi="Arial" w:cs="Arial"/>
        </w:rPr>
        <w:t>La mayor amenaza para un proyecto de este tipo no es tecnológica. Según la encuesta de 2026 de Data &amp; AI Leadership Exchange a responsables de datos e IA de unas 110 grandes empresas, el 93,2 % señala que el freno principal son las personas y la cultura, y solo el 6,8 % culpa a la tecnología. Por ello, el proyecto incorpora cuatro palancas culturales, adaptadas a una empresa pequeña:</w:t>
      </w:r>
    </w:p>
    <w:p w14:paraId="135A2158" w14:textId="77777777" w:rsidR="0013518E" w:rsidRDefault="00B900B3">
      <w:pPr>
        <w:keepNext/>
        <w:spacing w:before="200" w:after="100"/>
        <w:jc w:val="center"/>
      </w:pPr>
      <w:r>
        <w:rPr>
          <w:i/>
          <w:iCs/>
          <w:color w:val="555555"/>
          <w:sz w:val="20"/>
          <w:szCs w:val="20"/>
        </w:rPr>
        <w:t>Tabla 11. Palancas de la cultura data-driven en el proyecto.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6638"/>
      </w:tblGrid>
      <w:tr w:rsidR="0013518E" w14:paraId="6299613E" w14:textId="77777777">
        <w:trPr>
          <w:cantSplit/>
          <w:tblHeader/>
        </w:trPr>
        <w:tc>
          <w:tcPr>
            <w:tcW w:w="3000" w:type="dxa"/>
            <w:shd w:val="clear" w:color="auto" w:fill="0D3B4F"/>
            <w:tcMar>
              <w:top w:w="80" w:type="dxa"/>
              <w:left w:w="100" w:type="dxa"/>
              <w:bottom w:w="80" w:type="dxa"/>
              <w:right w:w="100" w:type="dxa"/>
            </w:tcMar>
          </w:tcPr>
          <w:p w14:paraId="03BDE3F8" w14:textId="77777777" w:rsidR="0013518E" w:rsidRDefault="00B900B3">
            <w:pPr>
              <w:keepNext/>
              <w:rPr>
                <w:rFonts w:ascii="Arial" w:hAnsi="Arial" w:cs="Arial"/>
              </w:rPr>
            </w:pPr>
            <w:r>
              <w:rPr>
                <w:rFonts w:ascii="Arial" w:hAnsi="Arial" w:cs="Arial"/>
                <w:b/>
                <w:bCs/>
                <w:color w:val="FFFFFF"/>
                <w:sz w:val="20"/>
                <w:szCs w:val="20"/>
              </w:rPr>
              <w:t>Palanca</w:t>
            </w:r>
          </w:p>
        </w:tc>
        <w:tc>
          <w:tcPr>
            <w:tcW w:w="6638" w:type="dxa"/>
            <w:shd w:val="clear" w:color="auto" w:fill="0D3B4F"/>
            <w:tcMar>
              <w:top w:w="80" w:type="dxa"/>
              <w:left w:w="100" w:type="dxa"/>
              <w:bottom w:w="80" w:type="dxa"/>
              <w:right w:w="100" w:type="dxa"/>
            </w:tcMar>
          </w:tcPr>
          <w:p w14:paraId="26DF6102" w14:textId="77777777" w:rsidR="0013518E" w:rsidRDefault="00B900B3">
            <w:pPr>
              <w:keepNext/>
              <w:rPr>
                <w:rFonts w:ascii="Arial" w:hAnsi="Arial" w:cs="Arial"/>
              </w:rPr>
            </w:pPr>
            <w:r>
              <w:rPr>
                <w:rFonts w:ascii="Arial" w:hAnsi="Arial" w:cs="Arial"/>
                <w:b/>
                <w:bCs/>
                <w:color w:val="FFFFFF"/>
                <w:sz w:val="20"/>
                <w:szCs w:val="20"/>
              </w:rPr>
              <w:t>Acción en DataPyme 360</w:t>
            </w:r>
          </w:p>
        </w:tc>
      </w:tr>
      <w:tr w:rsidR="0013518E" w14:paraId="0F3ABF26" w14:textId="77777777">
        <w:trPr>
          <w:cantSplit/>
        </w:trPr>
        <w:tc>
          <w:tcPr>
            <w:tcW w:w="3000" w:type="dxa"/>
            <w:shd w:val="clear" w:color="auto" w:fill="E8F0EE"/>
            <w:tcMar>
              <w:top w:w="80" w:type="dxa"/>
              <w:left w:w="100" w:type="dxa"/>
              <w:bottom w:w="80" w:type="dxa"/>
              <w:right w:w="100" w:type="dxa"/>
            </w:tcMar>
          </w:tcPr>
          <w:p w14:paraId="3134675C" w14:textId="77777777" w:rsidR="0013518E" w:rsidRDefault="00B900B3">
            <w:pPr>
              <w:keepNext/>
              <w:rPr>
                <w:rFonts w:ascii="Arial" w:hAnsi="Arial" w:cs="Arial"/>
              </w:rPr>
            </w:pPr>
            <w:r>
              <w:rPr>
                <w:rFonts w:ascii="Arial" w:hAnsi="Arial" w:cs="Arial"/>
                <w:b/>
                <w:bCs/>
                <w:color w:val="000000"/>
                <w:sz w:val="20"/>
                <w:szCs w:val="20"/>
              </w:rPr>
              <w:t>1. Liderazgo que pregunta «¿qué dicen los datos?»</w:t>
            </w:r>
          </w:p>
        </w:tc>
        <w:tc>
          <w:tcPr>
            <w:tcW w:w="6638" w:type="dxa"/>
            <w:tcMar>
              <w:top w:w="80" w:type="dxa"/>
              <w:left w:w="100" w:type="dxa"/>
              <w:bottom w:w="80" w:type="dxa"/>
              <w:right w:w="100" w:type="dxa"/>
            </w:tcMar>
          </w:tcPr>
          <w:p w14:paraId="426DF41C" w14:textId="77777777" w:rsidR="0013518E" w:rsidRDefault="00B900B3">
            <w:pPr>
              <w:keepNext/>
              <w:rPr>
                <w:rFonts w:ascii="Arial" w:hAnsi="Arial" w:cs="Arial"/>
              </w:rPr>
            </w:pPr>
            <w:r>
              <w:rPr>
                <w:rFonts w:ascii="Arial" w:hAnsi="Arial" w:cs="Arial"/>
                <w:color w:val="000000"/>
                <w:sz w:val="20"/>
                <w:szCs w:val="20"/>
              </w:rPr>
              <w:t>El comité de dirección semanal comienza revisando el panel ejecutivo y las decisiones se registran junto al dato que las respalda. Si Dirección decidiera por intuición y usara el dato solo para justificarse, nadie más lo usaría.</w:t>
            </w:r>
          </w:p>
        </w:tc>
      </w:tr>
      <w:tr w:rsidR="0013518E" w14:paraId="4C854C9E" w14:textId="77777777">
        <w:trPr>
          <w:cantSplit/>
        </w:trPr>
        <w:tc>
          <w:tcPr>
            <w:tcW w:w="3000" w:type="dxa"/>
            <w:shd w:val="clear" w:color="auto" w:fill="E8F0EE"/>
            <w:tcMar>
              <w:top w:w="80" w:type="dxa"/>
              <w:left w:w="100" w:type="dxa"/>
              <w:bottom w:w="80" w:type="dxa"/>
              <w:right w:w="100" w:type="dxa"/>
            </w:tcMar>
          </w:tcPr>
          <w:p w14:paraId="5BC3DAA3" w14:textId="77777777" w:rsidR="0013518E" w:rsidRDefault="00B900B3">
            <w:pPr>
              <w:rPr>
                <w:rFonts w:ascii="Arial" w:hAnsi="Arial" w:cs="Arial"/>
              </w:rPr>
            </w:pPr>
            <w:r>
              <w:rPr>
                <w:rFonts w:ascii="Arial" w:hAnsi="Arial" w:cs="Arial"/>
                <w:b/>
                <w:bCs/>
                <w:color w:val="000000"/>
                <w:sz w:val="20"/>
                <w:szCs w:val="20"/>
              </w:rPr>
              <w:t>2. Alfabetización de datos</w:t>
            </w:r>
          </w:p>
        </w:tc>
        <w:tc>
          <w:tcPr>
            <w:tcW w:w="6638" w:type="dxa"/>
            <w:tcMar>
              <w:top w:w="80" w:type="dxa"/>
              <w:left w:w="100" w:type="dxa"/>
              <w:bottom w:w="80" w:type="dxa"/>
              <w:right w:w="100" w:type="dxa"/>
            </w:tcMar>
          </w:tcPr>
          <w:p w14:paraId="03A78426" w14:textId="77777777" w:rsidR="0013518E" w:rsidRDefault="00B900B3">
            <w:pPr>
              <w:rPr>
                <w:rFonts w:ascii="Arial" w:hAnsi="Arial" w:cs="Arial"/>
              </w:rPr>
            </w:pPr>
            <w:r>
              <w:rPr>
                <w:rFonts w:ascii="Arial" w:hAnsi="Arial" w:cs="Arial"/>
                <w:color w:val="000000"/>
                <w:sz w:val="20"/>
                <w:szCs w:val="20"/>
              </w:rPr>
              <w:t>Formación en la Fase 4 para toda la plantilla, no solo para Sistemas e IT, y píldoras formativas periódicas sobre interpretación de indicadores.</w:t>
            </w:r>
          </w:p>
        </w:tc>
      </w:tr>
      <w:tr w:rsidR="0013518E" w14:paraId="4B7F47BD" w14:textId="77777777">
        <w:trPr>
          <w:cantSplit/>
        </w:trPr>
        <w:tc>
          <w:tcPr>
            <w:tcW w:w="3000" w:type="dxa"/>
            <w:shd w:val="clear" w:color="auto" w:fill="E8F0EE"/>
            <w:tcMar>
              <w:top w:w="80" w:type="dxa"/>
              <w:left w:w="100" w:type="dxa"/>
              <w:bottom w:w="80" w:type="dxa"/>
              <w:right w:w="100" w:type="dxa"/>
            </w:tcMar>
          </w:tcPr>
          <w:p w14:paraId="30D926AF" w14:textId="77777777" w:rsidR="0013518E" w:rsidRDefault="00B900B3">
            <w:pPr>
              <w:rPr>
                <w:rFonts w:ascii="Arial" w:hAnsi="Arial" w:cs="Arial"/>
              </w:rPr>
            </w:pPr>
            <w:r>
              <w:rPr>
                <w:rFonts w:ascii="Arial" w:hAnsi="Arial" w:cs="Arial"/>
                <w:b/>
                <w:bCs/>
                <w:color w:val="000000"/>
                <w:sz w:val="20"/>
                <w:szCs w:val="20"/>
              </w:rPr>
              <w:t>3. Datos accesibles y fiables</w:t>
            </w:r>
          </w:p>
        </w:tc>
        <w:tc>
          <w:tcPr>
            <w:tcW w:w="6638" w:type="dxa"/>
            <w:tcMar>
              <w:top w:w="80" w:type="dxa"/>
              <w:left w:w="100" w:type="dxa"/>
              <w:bottom w:w="80" w:type="dxa"/>
              <w:right w:w="100" w:type="dxa"/>
            </w:tcMar>
          </w:tcPr>
          <w:p w14:paraId="15ADE6E3" w14:textId="77777777" w:rsidR="0013518E" w:rsidRDefault="00B900B3">
            <w:pPr>
              <w:rPr>
                <w:rFonts w:ascii="Arial" w:hAnsi="Arial" w:cs="Arial"/>
              </w:rPr>
            </w:pPr>
            <w:r>
              <w:rPr>
                <w:rFonts w:ascii="Arial" w:hAnsi="Arial" w:cs="Arial"/>
                <w:color w:val="000000"/>
                <w:sz w:val="20"/>
                <w:szCs w:val="20"/>
              </w:rPr>
              <w:t>Un único modelo de datos y una única cifra de rentabilidad, en lugar de varias hojas de cálculo que no cuadran (apartado 1.6).</w:t>
            </w:r>
          </w:p>
        </w:tc>
      </w:tr>
      <w:tr w:rsidR="0013518E" w14:paraId="7F18663F" w14:textId="77777777">
        <w:trPr>
          <w:cantSplit/>
        </w:trPr>
        <w:tc>
          <w:tcPr>
            <w:tcW w:w="3000" w:type="dxa"/>
            <w:shd w:val="clear" w:color="auto" w:fill="E8F0EE"/>
            <w:tcMar>
              <w:top w:w="80" w:type="dxa"/>
              <w:left w:w="100" w:type="dxa"/>
              <w:bottom w:w="80" w:type="dxa"/>
              <w:right w:w="100" w:type="dxa"/>
            </w:tcMar>
          </w:tcPr>
          <w:p w14:paraId="6CEFFD1E" w14:textId="77777777" w:rsidR="0013518E" w:rsidRDefault="00B900B3">
            <w:pPr>
              <w:rPr>
                <w:rFonts w:ascii="Arial" w:hAnsi="Arial" w:cs="Arial"/>
              </w:rPr>
            </w:pPr>
            <w:r>
              <w:rPr>
                <w:rFonts w:ascii="Arial" w:hAnsi="Arial" w:cs="Arial"/>
                <w:b/>
                <w:bCs/>
                <w:color w:val="000000"/>
                <w:sz w:val="20"/>
                <w:szCs w:val="20"/>
              </w:rPr>
              <w:t>4. Victorias rápidas y visibles</w:t>
            </w:r>
          </w:p>
        </w:tc>
        <w:tc>
          <w:tcPr>
            <w:tcW w:w="6638" w:type="dxa"/>
            <w:tcMar>
              <w:top w:w="80" w:type="dxa"/>
              <w:left w:w="100" w:type="dxa"/>
              <w:bottom w:w="80" w:type="dxa"/>
              <w:right w:w="100" w:type="dxa"/>
            </w:tcMar>
          </w:tcPr>
          <w:p w14:paraId="4DCE5179" w14:textId="77777777" w:rsidR="0013518E" w:rsidRDefault="00B900B3">
            <w:pPr>
              <w:rPr>
                <w:rFonts w:ascii="Arial" w:hAnsi="Arial" w:cs="Arial"/>
              </w:rPr>
            </w:pPr>
            <w:r>
              <w:rPr>
                <w:rFonts w:ascii="Arial" w:hAnsi="Arial" w:cs="Arial"/>
                <w:color w:val="000000"/>
                <w:sz w:val="20"/>
                <w:szCs w:val="20"/>
              </w:rPr>
              <w:t>Un primer panel piloto de rentabilidad por proyecto, disponible en la Fase 3 para dos proyectos reales, y un informe del tiempo ahorrado, porque un caso pequeño con ahorro medible convence más que un plan largo.</w:t>
            </w:r>
          </w:p>
        </w:tc>
      </w:tr>
    </w:tbl>
    <w:p w14:paraId="6617702D" w14:textId="77777777" w:rsidR="0013518E" w:rsidRDefault="0013518E">
      <w:pPr>
        <w:spacing w:after="120"/>
      </w:pPr>
    </w:p>
    <w:p w14:paraId="06ADED4B" w14:textId="77777777" w:rsidR="00D531A0" w:rsidRDefault="00B900B3">
      <w:pPr>
        <w:pStyle w:val="Ttulo1"/>
        <w:spacing w:before="360" w:after="200"/>
      </w:pPr>
      <w:bookmarkStart w:id="42" w:name="_Toc241477563"/>
      <w:r>
        <w:rPr>
          <w:b/>
          <w:bCs/>
          <w:color w:val="0D3B4F"/>
        </w:rPr>
        <w:t>3. Conclusiones</w:t>
      </w:r>
      <w:bookmarkEnd w:id="42"/>
    </w:p>
    <w:p w14:paraId="06ADED4C" w14:textId="2E80D5C5" w:rsidR="00D531A0" w:rsidRPr="00380778" w:rsidRDefault="00B900B3">
      <w:pPr>
        <w:spacing w:after="200" w:line="360" w:lineRule="auto"/>
        <w:jc w:val="both"/>
        <w:rPr>
          <w:rFonts w:ascii="Arial" w:hAnsi="Arial" w:cs="Arial"/>
        </w:rPr>
      </w:pPr>
      <w:r>
        <w:rPr>
          <w:rFonts w:ascii="Arial" w:hAnsi="Arial" w:cs="Arial"/>
        </w:rPr>
        <w:t>Antes de extraer las conclusiones generales, conviene recordar el punto de partida del trabajo: la empresa DataPyme Consulting se diseñó como una consultora B2B de tamaño reducido, y ello condiciona todo lo descrito. La escasez de recursos obliga a priorizar, a integrar herramientas ya existentes y a definir con precisión qué datos son realmente necesarios en cada nivel, en lugar de acumular información sin un uso claro.</w:t>
      </w:r>
    </w:p>
    <w:p w14:paraId="06ADED4D" w14:textId="78B5FD75" w:rsidR="00D531A0" w:rsidRPr="00380778" w:rsidRDefault="00B900B3">
      <w:pPr>
        <w:spacing w:after="200" w:line="360" w:lineRule="auto"/>
        <w:jc w:val="both"/>
        <w:rPr>
          <w:rFonts w:ascii="Arial" w:hAnsi="Arial" w:cs="Arial"/>
        </w:rPr>
      </w:pPr>
      <w:r>
        <w:rPr>
          <w:rFonts w:ascii="Arial" w:hAnsi="Arial" w:cs="Arial"/>
        </w:rPr>
        <w:t xml:space="preserve">El desarrollo de este trabajo muestra que una empresa data-driven no se define únicamente por el uso de herramientas de análisis avanzadas, sino por la forma en que los datos atraviesan toda su estructura desde el nivel estratégico, donde se transforman en indicadores agregados que orientan </w:t>
      </w:r>
      <w:r>
        <w:rPr>
          <w:rFonts w:ascii="Arial" w:hAnsi="Arial" w:cs="Arial"/>
        </w:rPr>
        <w:lastRenderedPageBreak/>
        <w:t>las grandes decisiones, hasta el nivel operativo, donde se generan día a día en cada tarea, pasando por el nivel táctico, que traduce unos en otros. En el caso de DataPyme Consulting, cada departamento desde el departamento Comercial hasta Recursos Humanos dispone de sus propios indicadores y herramientas, pero todos ellos convergen finalmente en la misma cadena de valor descrita en el mapa de procesos de la empresa.</w:t>
      </w:r>
    </w:p>
    <w:p w14:paraId="06ADED4E" w14:textId="77777777" w:rsidR="00D531A0" w:rsidRPr="00EB0F90" w:rsidRDefault="00B900B3">
      <w:pPr>
        <w:spacing w:after="200" w:line="360" w:lineRule="auto"/>
        <w:jc w:val="both"/>
        <w:rPr>
          <w:rFonts w:ascii="Arial" w:hAnsi="Arial" w:cs="Arial"/>
        </w:rPr>
      </w:pPr>
      <w:r>
        <w:rPr>
          <w:rFonts w:ascii="Arial" w:hAnsi="Arial" w:cs="Arial"/>
        </w:rPr>
        <w:t>El proyecto de Business Intelligence interno diseñado en la segunda parte del trabajo muestra, además, que la cultura de datos no es solo un servicio que una consultora tecnológica vende a sus clientes, sino una exigencia que debe aplicarse también internamente. La centralización de los datos comerciales, de proyecto y de facturación en un único sistema no solo mejora la eficiencia operativa y la rentabilidad de la empresa, sino que refuerza su credibilidad como proveedor de servicios de consultoría de datos: es difícil convencer a un cliente de las ventajas de gestionar su negocio con datos si la propia consultora no predica con el ejemplo.</w:t>
      </w:r>
    </w:p>
    <w:p w14:paraId="2C3760C4" w14:textId="77777777" w:rsidR="0013518E" w:rsidRDefault="00B900B3">
      <w:pPr>
        <w:spacing w:after="200" w:line="360" w:lineRule="auto"/>
        <w:jc w:val="both"/>
        <w:rPr>
          <w:rFonts w:ascii="Arial" w:hAnsi="Arial" w:cs="Arial"/>
        </w:rPr>
      </w:pPr>
      <w:r>
        <w:rPr>
          <w:rFonts w:ascii="Arial" w:hAnsi="Arial" w:cs="Arial"/>
        </w:rPr>
        <w:t>De la descripción de la empresa y del proyecto se extraen tres ideas. La primera es que el problema va antes que el dato: la definición precisa del problema, con objetivo, métrica, alcance y plazo, decide el éxito del proyecto, y la tecnología viene después; la misma tecnología puede dar resultados opuestos según el problema elegido y la calidad del dato, como muestra el contraste entre la plataforma de IA que Mercadona presentó en septiembre de 2026 y la herramienta de inventario que Starbucks retiró ese mismo año. La segunda es que la cultura pesa más que la herramienta: liderazgo, formación y victorias rápidas son tan importantes como Power BI. La tercera es que sin gobierno no hay confianza: roles, calidad y cumplimiento convierten el dato en un activo y no en un riesgo. Estas tres ideas se reflejan en la métrica que importa de DataPyme Consulting (rentabilidad real por proyecto), en el método de cuatro fases del proyecto DataPyme 360 y en el modelo de gobernanza del apartado 1.6.</w:t>
      </w:r>
    </w:p>
    <w:p w14:paraId="26D496C0" w14:textId="1D84292E" w:rsidR="00E02B57" w:rsidRDefault="00B900B3">
      <w:pPr>
        <w:spacing w:after="200" w:line="360" w:lineRule="auto"/>
        <w:jc w:val="both"/>
        <w:rPr>
          <w:rFonts w:ascii="Arial" w:hAnsi="Arial" w:cs="Arial"/>
        </w:rPr>
      </w:pPr>
      <w:r>
        <w:rPr>
          <w:rFonts w:ascii="Arial" w:hAnsi="Arial" w:cs="Arial"/>
        </w:rPr>
        <w:t>En definitiva, el caso de DataPyme Consulting demuestra cómo una pyme de servicios profesionales, con recursos limitados, puede adoptar progresivamente un modelo de gestión data-driven sin necesidad de grandes inversiones tecnológicas: basta con integrar de forma inteligente las herramientas que ya utiliza, definir los indicadores adecuados para cada nivel de la organización y mantener una cultura de mejora continua que revise y adapte ese modelo a medida que la empresa crece.</w:t>
      </w:r>
    </w:p>
    <w:p w14:paraId="390AFAE9" w14:textId="77777777" w:rsidR="00E02B57" w:rsidRDefault="00E02B57">
      <w:pPr>
        <w:spacing w:after="200" w:line="360" w:lineRule="auto"/>
        <w:jc w:val="both"/>
        <w:rPr>
          <w:rFonts w:ascii="Arial" w:hAnsi="Arial" w:cs="Arial"/>
        </w:rPr>
      </w:pPr>
    </w:p>
    <w:p w14:paraId="4ADE921A" w14:textId="77777777" w:rsidR="00E02B57" w:rsidRDefault="00E02B57">
      <w:pPr>
        <w:spacing w:after="200" w:line="360" w:lineRule="auto"/>
        <w:jc w:val="both"/>
        <w:rPr>
          <w:rFonts w:ascii="Arial" w:hAnsi="Arial" w:cs="Arial"/>
        </w:rPr>
      </w:pPr>
    </w:p>
    <w:p w14:paraId="3DF7A6F6" w14:textId="77777777" w:rsidR="00E02B57" w:rsidRDefault="00E02B57">
      <w:pPr>
        <w:spacing w:after="200" w:line="360" w:lineRule="auto"/>
        <w:jc w:val="both"/>
        <w:rPr>
          <w:rFonts w:ascii="Arial" w:hAnsi="Arial" w:cs="Arial"/>
        </w:rPr>
      </w:pPr>
    </w:p>
    <w:p w14:paraId="69360529" w14:textId="77777777" w:rsidR="00E02B57" w:rsidRDefault="00E02B57">
      <w:pPr>
        <w:spacing w:after="200" w:line="360" w:lineRule="auto"/>
        <w:jc w:val="both"/>
        <w:rPr>
          <w:rFonts w:ascii="Arial" w:hAnsi="Arial" w:cs="Arial"/>
        </w:rPr>
      </w:pPr>
    </w:p>
    <w:p w14:paraId="64B44518" w14:textId="77777777" w:rsidR="00E02B57" w:rsidRPr="00E02B57" w:rsidRDefault="00E02B57">
      <w:pPr>
        <w:spacing w:after="200" w:line="360" w:lineRule="auto"/>
        <w:jc w:val="both"/>
        <w:rPr>
          <w:rFonts w:ascii="Arial" w:hAnsi="Arial" w:cs="Arial"/>
        </w:rPr>
      </w:pPr>
    </w:p>
    <w:p w14:paraId="06ADED50" w14:textId="77777777" w:rsidR="00D531A0" w:rsidRDefault="00B900B3">
      <w:pPr>
        <w:pStyle w:val="Ttulo1"/>
        <w:spacing w:before="360" w:after="200"/>
      </w:pPr>
      <w:bookmarkStart w:id="43" w:name="_Toc241477564"/>
      <w:r>
        <w:rPr>
          <w:b/>
          <w:bCs/>
          <w:color w:val="0D3B4F"/>
        </w:rPr>
        <w:lastRenderedPageBreak/>
        <w:t>Bibliografía</w:t>
      </w:r>
      <w:bookmarkEnd w:id="43"/>
    </w:p>
    <w:p w14:paraId="06ADED51" w14:textId="6F47ACAF" w:rsidR="00D531A0" w:rsidRPr="00EB0F90" w:rsidRDefault="00B900B3" w:rsidP="00EB0F90">
      <w:pPr>
        <w:pStyle w:val="Prrafodelista"/>
        <w:numPr>
          <w:ilvl w:val="0"/>
          <w:numId w:val="3"/>
        </w:numPr>
        <w:spacing w:after="160"/>
        <w:rPr>
          <w:rFonts w:ascii="Arial" w:hAnsi="Arial" w:cs="Arial"/>
        </w:rPr>
      </w:pPr>
      <w:r>
        <w:rPr>
          <w:rFonts w:ascii="Arial" w:hAnsi="Arial" w:cs="Arial"/>
        </w:rPr>
        <w:t xml:space="preserve">Ministerio de Industria, Comercio y Turismo. (s.f.). Elección de forma jurídica. Plataforma PYME - Herramientas digitales. </w:t>
      </w:r>
      <w:hyperlink r:id="rId10" w:history="1">
        <w:r w:rsidR="00D531A0">
          <w:rPr>
            <w:rStyle w:val="Hipervnculo"/>
            <w:rFonts w:ascii="Arial" w:hAnsi="Arial" w:cs="Arial"/>
          </w:rPr>
          <w:t>https://plataformapyme.es/es-es/herramientas-digitales/Paginas/formas-juridicas.aspx</w:t>
        </w:r>
      </w:hyperlink>
    </w:p>
    <w:p w14:paraId="06ADED52" w14:textId="77777777" w:rsidR="00D531A0" w:rsidRPr="00EB0F90" w:rsidRDefault="00B900B3" w:rsidP="00EB0F90">
      <w:pPr>
        <w:pStyle w:val="Prrafodelista"/>
        <w:numPr>
          <w:ilvl w:val="0"/>
          <w:numId w:val="3"/>
        </w:numPr>
        <w:spacing w:after="160"/>
        <w:rPr>
          <w:rFonts w:ascii="Arial" w:hAnsi="Arial" w:cs="Arial"/>
        </w:rPr>
      </w:pPr>
      <w:r>
        <w:rPr>
          <w:rFonts w:ascii="Arial" w:hAnsi="Arial" w:cs="Arial"/>
        </w:rPr>
        <w:t>Abad Zabala, E. (2024). Desarrollo de un plan de negocio para la creación de una empresa de consultoría tecnológica. Trabajo Fin de Grado, Grado en Ingeniería de Organización Industrial. Universitat Politècnica de València, Escuela Técnica Superior de Ingeniería Industrial. Tutor: Alfaro Saiz, J. J.</w:t>
      </w:r>
    </w:p>
    <w:p w14:paraId="06ADED53" w14:textId="686D21AD" w:rsidR="00D531A0" w:rsidRPr="00EB0F90" w:rsidRDefault="00B900B3" w:rsidP="00EB0F90">
      <w:pPr>
        <w:pStyle w:val="Prrafodelista"/>
        <w:numPr>
          <w:ilvl w:val="0"/>
          <w:numId w:val="3"/>
        </w:numPr>
        <w:spacing w:after="160"/>
        <w:rPr>
          <w:rFonts w:ascii="Arial" w:hAnsi="Arial" w:cs="Arial"/>
        </w:rPr>
      </w:pPr>
      <w:r>
        <w:rPr>
          <w:rFonts w:ascii="Arial" w:hAnsi="Arial" w:cs="Arial"/>
        </w:rPr>
        <w:t>Uriarte Orobiourrutia, I. (2026). Economía, Empresa y Negocio III - Uso y gestión de los datos en empresas B2B y B2C [material docente, sesiones 01_01 y 01_02]. Mondragon Unibertsitatea, Enpresagintza Fakultatea.</w:t>
      </w:r>
    </w:p>
    <w:p w14:paraId="06ADED54" w14:textId="77777777" w:rsidR="00D531A0" w:rsidRPr="00EB0F90" w:rsidRDefault="00B900B3" w:rsidP="00EB0F90">
      <w:pPr>
        <w:pStyle w:val="Prrafodelista"/>
        <w:numPr>
          <w:ilvl w:val="0"/>
          <w:numId w:val="3"/>
        </w:numPr>
        <w:spacing w:after="160"/>
        <w:rPr>
          <w:rFonts w:ascii="Arial" w:hAnsi="Arial" w:cs="Arial"/>
        </w:rPr>
      </w:pPr>
      <w:r>
        <w:rPr>
          <w:rFonts w:ascii="Arial" w:hAnsi="Arial" w:cs="Arial"/>
        </w:rPr>
        <w:t>Comisión Europea. (2003). Recomendación 2003/361/CE de la Comisión, de 6 de mayo de 2003, sobre la definición de microempresas, pequeñas y medianas empresas. Diario Oficial de la Unión Europea.</w:t>
      </w:r>
    </w:p>
    <w:p w14:paraId="638800B0" w14:textId="77777777" w:rsidR="0013518E" w:rsidRDefault="00B900B3">
      <w:pPr>
        <w:pStyle w:val="Prrafodelista"/>
        <w:numPr>
          <w:ilvl w:val="0"/>
          <w:numId w:val="3"/>
        </w:numPr>
        <w:spacing w:after="160"/>
        <w:rPr>
          <w:rFonts w:ascii="Arial" w:hAnsi="Arial" w:cs="Arial"/>
        </w:rPr>
      </w:pPr>
      <w:r>
        <w:rPr>
          <w:rFonts w:ascii="Arial" w:hAnsi="Arial" w:cs="Arial"/>
        </w:rPr>
        <w:t>Mondragon Unibertsitatea, Enpresagintza Fakultatea. (2026). Gestión data-driven en las organizaciones [material docente, curso 2026-27].</w:t>
      </w:r>
    </w:p>
    <w:p w14:paraId="738F56B2" w14:textId="77777777" w:rsidR="0013518E" w:rsidRPr="007450E9" w:rsidRDefault="00B900B3">
      <w:pPr>
        <w:pStyle w:val="Prrafodelista"/>
        <w:numPr>
          <w:ilvl w:val="0"/>
          <w:numId w:val="3"/>
        </w:numPr>
        <w:spacing w:after="160"/>
        <w:rPr>
          <w:rFonts w:ascii="Arial" w:hAnsi="Arial" w:cs="Arial"/>
          <w:lang w:val="en-GB"/>
        </w:rPr>
      </w:pPr>
      <w:r w:rsidRPr="007450E9">
        <w:rPr>
          <w:rFonts w:ascii="Arial" w:hAnsi="Arial" w:cs="Arial"/>
          <w:lang w:val="en-GB"/>
        </w:rPr>
        <w:t>Data &amp; AI Leadership Exchange (Bean, R.). (2026). 2026 AI &amp; Data Leadership Executive Benchmark Survey.</w:t>
      </w:r>
    </w:p>
    <w:p w14:paraId="5CFDE70B" w14:textId="77777777" w:rsidR="0013518E" w:rsidRPr="007450E9" w:rsidRDefault="00B900B3">
      <w:pPr>
        <w:pStyle w:val="Prrafodelista"/>
        <w:numPr>
          <w:ilvl w:val="0"/>
          <w:numId w:val="3"/>
        </w:numPr>
        <w:spacing w:after="160"/>
        <w:rPr>
          <w:rFonts w:ascii="Arial" w:hAnsi="Arial" w:cs="Arial"/>
          <w:lang w:val="en-GB"/>
        </w:rPr>
      </w:pPr>
      <w:r w:rsidRPr="007450E9">
        <w:rPr>
          <w:rFonts w:ascii="Arial" w:hAnsi="Arial" w:cs="Arial"/>
          <w:lang w:val="en-GB"/>
        </w:rPr>
        <w:t>Gartner. (2025). Lack of AI-Ready Data Puts AI Projects at Risk.</w:t>
      </w:r>
    </w:p>
    <w:p w14:paraId="13957EEB" w14:textId="77777777" w:rsidR="0013518E" w:rsidRDefault="00B900B3">
      <w:pPr>
        <w:pStyle w:val="Prrafodelista"/>
        <w:numPr>
          <w:ilvl w:val="0"/>
          <w:numId w:val="3"/>
        </w:numPr>
        <w:spacing w:after="160"/>
        <w:rPr>
          <w:rFonts w:ascii="Arial" w:hAnsi="Arial" w:cs="Arial"/>
        </w:rPr>
      </w:pPr>
      <w:r>
        <w:rPr>
          <w:rFonts w:ascii="Arial" w:hAnsi="Arial" w:cs="Arial"/>
        </w:rPr>
        <w:t>Parlamento Europeo y Consejo. (2016). Reglamento (UE) 2016/679 (Reglamento General de Protección de Datos).</w:t>
      </w:r>
    </w:p>
    <w:p w14:paraId="6932C2C1" w14:textId="77777777" w:rsidR="0013518E" w:rsidRDefault="00B900B3">
      <w:pPr>
        <w:pStyle w:val="Prrafodelista"/>
        <w:numPr>
          <w:ilvl w:val="0"/>
          <w:numId w:val="3"/>
        </w:numPr>
        <w:spacing w:after="160"/>
        <w:rPr>
          <w:rFonts w:ascii="Arial" w:hAnsi="Arial" w:cs="Arial"/>
        </w:rPr>
      </w:pPr>
      <w:r>
        <w:rPr>
          <w:rFonts w:ascii="Arial" w:hAnsi="Arial" w:cs="Arial"/>
        </w:rPr>
        <w:t>Parlamento Europeo y Consejo. (2024). Reglamento (UE) 2024/1689 (Reglamento de Inteligencia Artificial), modificado por el Reglamento Ómnibus Digital (UE) 2026/1744.</w:t>
      </w:r>
    </w:p>
    <w:p w14:paraId="5B664798" w14:textId="77777777" w:rsidR="0013518E" w:rsidRDefault="00B900B3">
      <w:pPr>
        <w:pStyle w:val="Prrafodelista"/>
        <w:numPr>
          <w:ilvl w:val="0"/>
          <w:numId w:val="3"/>
        </w:numPr>
        <w:spacing w:after="160"/>
        <w:rPr>
          <w:rFonts w:ascii="Arial" w:hAnsi="Arial" w:cs="Arial"/>
        </w:rPr>
      </w:pPr>
      <w:r w:rsidRPr="007450E9">
        <w:rPr>
          <w:rFonts w:ascii="Arial" w:hAnsi="Arial" w:cs="Arial"/>
          <w:lang w:val="en-GB"/>
        </w:rPr>
        <w:t xml:space="preserve">Chapman, P. et al. (2000). CRISP-DM 1.0: Step-by-step data mining guide. </w:t>
      </w:r>
      <w:r>
        <w:rPr>
          <w:rFonts w:ascii="Arial" w:hAnsi="Arial" w:cs="Arial"/>
        </w:rPr>
        <w:t>SPSS Inc.</w:t>
      </w:r>
    </w:p>
    <w:p w14:paraId="7DD5781E" w14:textId="77777777" w:rsidR="0013518E" w:rsidRDefault="00B900B3">
      <w:pPr>
        <w:pStyle w:val="Prrafodelista"/>
        <w:numPr>
          <w:ilvl w:val="0"/>
          <w:numId w:val="3"/>
        </w:numPr>
        <w:spacing w:after="160"/>
        <w:rPr>
          <w:rFonts w:ascii="Arial" w:hAnsi="Arial" w:cs="Arial"/>
        </w:rPr>
      </w:pPr>
      <w:r>
        <w:rPr>
          <w:rFonts w:ascii="Arial" w:hAnsi="Arial" w:cs="Arial"/>
        </w:rPr>
        <w:t xml:space="preserve">Croll, A. y Yoskovitz, B. (2013). </w:t>
      </w:r>
      <w:r w:rsidRPr="007450E9">
        <w:rPr>
          <w:rFonts w:ascii="Arial" w:hAnsi="Arial" w:cs="Arial"/>
          <w:lang w:val="en-GB"/>
        </w:rPr>
        <w:t xml:space="preserve">Lean Analytics: Use Data to Build a Better Startup Faster. </w:t>
      </w:r>
      <w:r>
        <w:rPr>
          <w:rFonts w:ascii="Arial" w:hAnsi="Arial" w:cs="Arial"/>
        </w:rPr>
        <w:t>O'Reilly Media.</w:t>
      </w:r>
    </w:p>
    <w:p w14:paraId="016E184E" w14:textId="77777777" w:rsidR="0013518E" w:rsidRDefault="00B900B3">
      <w:pPr>
        <w:pStyle w:val="Prrafodelista"/>
        <w:numPr>
          <w:ilvl w:val="0"/>
          <w:numId w:val="3"/>
        </w:numPr>
        <w:spacing w:after="160"/>
        <w:rPr>
          <w:rFonts w:ascii="Arial" w:hAnsi="Arial" w:cs="Arial"/>
        </w:rPr>
      </w:pPr>
      <w:r w:rsidRPr="007450E9">
        <w:rPr>
          <w:rFonts w:ascii="Arial" w:hAnsi="Arial" w:cs="Arial"/>
          <w:lang w:val="en-GB"/>
        </w:rPr>
        <w:t xml:space="preserve">Keeley, L., Walters, H., Pikkel, R. y Quinn, B. (2013). Ten Types of Innovation: The Discipline of Building Breakthroughs. </w:t>
      </w:r>
      <w:r>
        <w:rPr>
          <w:rFonts w:ascii="Arial" w:hAnsi="Arial" w:cs="Arial"/>
        </w:rPr>
        <w:t>Wiley.</w:t>
      </w:r>
    </w:p>
    <w:p w14:paraId="77A7101F" w14:textId="77777777" w:rsidR="0013518E" w:rsidRDefault="00B900B3">
      <w:pPr>
        <w:pStyle w:val="Prrafodelista"/>
        <w:numPr>
          <w:ilvl w:val="0"/>
          <w:numId w:val="3"/>
        </w:numPr>
        <w:spacing w:after="160"/>
        <w:rPr>
          <w:rFonts w:ascii="Arial" w:hAnsi="Arial" w:cs="Arial"/>
        </w:rPr>
      </w:pPr>
      <w:r>
        <w:rPr>
          <w:rFonts w:ascii="Arial" w:hAnsi="Arial" w:cs="Arial"/>
        </w:rPr>
        <w:t>Datision a partir de Reuters/PYMNTS. (mayo 2026). Starbucks retira en Norteamérica su herramienta de inventario asistida por IA. Recogido en el material docente.</w:t>
      </w:r>
    </w:p>
    <w:p w14:paraId="5F226069" w14:textId="77777777" w:rsidR="0013518E" w:rsidRDefault="00B900B3">
      <w:pPr>
        <w:pStyle w:val="Prrafodelista"/>
        <w:numPr>
          <w:ilvl w:val="0"/>
          <w:numId w:val="3"/>
        </w:numPr>
        <w:spacing w:after="160"/>
        <w:rPr>
          <w:rFonts w:ascii="Arial" w:hAnsi="Arial" w:cs="Arial"/>
        </w:rPr>
      </w:pPr>
      <w:r>
        <w:rPr>
          <w:rFonts w:ascii="Arial" w:hAnsi="Arial" w:cs="Arial"/>
        </w:rPr>
        <w:t>elEconomista y El Español. (30 de septiembre de 2026). Mercadona lanza Atenea, su plataforma propia de IA. Recogido en el material docente.</w:t>
      </w:r>
    </w:p>
    <w:p w14:paraId="44D977C8" w14:textId="77777777" w:rsidR="0013518E" w:rsidRDefault="00B900B3">
      <w:pPr>
        <w:pStyle w:val="Prrafodelista"/>
        <w:numPr>
          <w:ilvl w:val="0"/>
          <w:numId w:val="3"/>
        </w:numPr>
        <w:spacing w:after="160"/>
        <w:rPr>
          <w:rFonts w:ascii="Arial" w:hAnsi="Arial" w:cs="Arial"/>
        </w:rPr>
      </w:pPr>
      <w:r>
        <w:rPr>
          <w:rFonts w:ascii="Arial" w:hAnsi="Arial" w:cs="Arial"/>
        </w:rPr>
        <w:t>Yahoo Noticias/AFP. (28 de abril de 2026). Incidente de PocketOS: un agente de IA borra una base de datos de producción. Recogido en el material docente.</w:t>
      </w:r>
    </w:p>
    <w:sectPr w:rsidR="0013518E">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7C431" w14:textId="77777777" w:rsidR="00110E62" w:rsidRDefault="00110E62">
      <w:r>
        <w:separator/>
      </w:r>
    </w:p>
  </w:endnote>
  <w:endnote w:type="continuationSeparator" w:id="0">
    <w:p w14:paraId="5A3607F8" w14:textId="77777777" w:rsidR="00110E62" w:rsidRDefault="00110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6F751" w14:textId="77777777" w:rsidR="000A2C79" w:rsidRDefault="000A2C7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DED5A" w14:textId="4E42E4B0" w:rsidR="00D531A0" w:rsidRDefault="00B900B3">
    <w:pP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E661AB">
      <w:rPr>
        <w:noProof/>
        <w:color w:val="888888"/>
        <w:sz w:val="18"/>
        <w:szCs w:val="18"/>
      </w:rPr>
      <w:t>1</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EE70C" w14:textId="77777777" w:rsidR="000A2C79" w:rsidRDefault="000A2C7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9F072" w14:textId="77777777" w:rsidR="00110E62" w:rsidRDefault="00110E62">
      <w:r>
        <w:separator/>
      </w:r>
    </w:p>
  </w:footnote>
  <w:footnote w:type="continuationSeparator" w:id="0">
    <w:p w14:paraId="2BEFD8AF" w14:textId="77777777" w:rsidR="00110E62" w:rsidRDefault="00110E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84929" w14:textId="77777777" w:rsidR="000A2C79" w:rsidRDefault="000A2C7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DED59" w14:textId="2232965F" w:rsidR="00D531A0" w:rsidRDefault="00D531A0">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8F641" w14:textId="77777777" w:rsidR="000A2C79" w:rsidRDefault="000A2C7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65F0D"/>
    <w:multiLevelType w:val="hybridMultilevel"/>
    <w:tmpl w:val="E3CA4F2A"/>
    <w:lvl w:ilvl="0" w:tplc="D13EBD2C">
      <w:start w:val="1"/>
      <w:numFmt w:val="decimal"/>
      <w:lvlText w:val="%1."/>
      <w:lvlJc w:val="left"/>
      <w:pPr>
        <w:ind w:left="720" w:hanging="360"/>
      </w:pPr>
      <w:rPr>
        <w:rFonts w:hint="default"/>
        <w:b/>
        <w:color w:val="0D3B4F"/>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24A62D5"/>
    <w:multiLevelType w:val="hybridMultilevel"/>
    <w:tmpl w:val="982C5D32"/>
    <w:lvl w:ilvl="0" w:tplc="B166165C">
      <w:start w:val="1"/>
      <w:numFmt w:val="bullet"/>
      <w:lvlText w:val="•"/>
      <w:lvlJc w:val="left"/>
      <w:pPr>
        <w:ind w:left="504" w:hanging="288"/>
      </w:pPr>
    </w:lvl>
    <w:lvl w:ilvl="1" w:tplc="40CAF2CC">
      <w:numFmt w:val="decimal"/>
      <w:lvlText w:val=""/>
      <w:lvlJc w:val="left"/>
    </w:lvl>
    <w:lvl w:ilvl="2" w:tplc="3C36338A">
      <w:numFmt w:val="decimal"/>
      <w:lvlText w:val=""/>
      <w:lvlJc w:val="left"/>
    </w:lvl>
    <w:lvl w:ilvl="3" w:tplc="BBDC60E2">
      <w:numFmt w:val="decimal"/>
      <w:lvlText w:val=""/>
      <w:lvlJc w:val="left"/>
    </w:lvl>
    <w:lvl w:ilvl="4" w:tplc="3C4A2BDA">
      <w:numFmt w:val="decimal"/>
      <w:lvlText w:val=""/>
      <w:lvlJc w:val="left"/>
    </w:lvl>
    <w:lvl w:ilvl="5" w:tplc="97AAC8E0">
      <w:numFmt w:val="decimal"/>
      <w:lvlText w:val=""/>
      <w:lvlJc w:val="left"/>
    </w:lvl>
    <w:lvl w:ilvl="6" w:tplc="DA2A0100">
      <w:numFmt w:val="decimal"/>
      <w:lvlText w:val=""/>
      <w:lvlJc w:val="left"/>
    </w:lvl>
    <w:lvl w:ilvl="7" w:tplc="96E098D8">
      <w:numFmt w:val="decimal"/>
      <w:lvlText w:val=""/>
      <w:lvlJc w:val="left"/>
    </w:lvl>
    <w:lvl w:ilvl="8" w:tplc="1F8ED938">
      <w:numFmt w:val="decimal"/>
      <w:lvlText w:val=""/>
      <w:lvlJc w:val="left"/>
    </w:lvl>
  </w:abstractNum>
  <w:abstractNum w:abstractNumId="2" w15:restartNumberingAfterBreak="0">
    <w:nsid w:val="595D06B2"/>
    <w:multiLevelType w:val="hybridMultilevel"/>
    <w:tmpl w:val="0F800424"/>
    <w:lvl w:ilvl="0" w:tplc="5CBE5242">
      <w:start w:val="1"/>
      <w:numFmt w:val="bullet"/>
      <w:lvlText w:val="●"/>
      <w:lvlJc w:val="left"/>
      <w:pPr>
        <w:ind w:left="720" w:hanging="360"/>
      </w:pPr>
    </w:lvl>
    <w:lvl w:ilvl="1" w:tplc="35DCBCD0">
      <w:start w:val="1"/>
      <w:numFmt w:val="bullet"/>
      <w:lvlText w:val="○"/>
      <w:lvlJc w:val="left"/>
      <w:pPr>
        <w:ind w:left="1440" w:hanging="360"/>
      </w:pPr>
    </w:lvl>
    <w:lvl w:ilvl="2" w:tplc="F23CA112">
      <w:start w:val="1"/>
      <w:numFmt w:val="bullet"/>
      <w:lvlText w:val="■"/>
      <w:lvlJc w:val="left"/>
      <w:pPr>
        <w:ind w:left="2160" w:hanging="360"/>
      </w:pPr>
    </w:lvl>
    <w:lvl w:ilvl="3" w:tplc="BA1C63E6">
      <w:start w:val="1"/>
      <w:numFmt w:val="bullet"/>
      <w:lvlText w:val="●"/>
      <w:lvlJc w:val="left"/>
      <w:pPr>
        <w:ind w:left="2880" w:hanging="360"/>
      </w:pPr>
    </w:lvl>
    <w:lvl w:ilvl="4" w:tplc="E0221D2A">
      <w:start w:val="1"/>
      <w:numFmt w:val="bullet"/>
      <w:lvlText w:val="○"/>
      <w:lvlJc w:val="left"/>
      <w:pPr>
        <w:ind w:left="3600" w:hanging="360"/>
      </w:pPr>
    </w:lvl>
    <w:lvl w:ilvl="5" w:tplc="4D1A33C2">
      <w:start w:val="1"/>
      <w:numFmt w:val="bullet"/>
      <w:lvlText w:val="■"/>
      <w:lvlJc w:val="left"/>
      <w:pPr>
        <w:ind w:left="4320" w:hanging="360"/>
      </w:pPr>
    </w:lvl>
    <w:lvl w:ilvl="6" w:tplc="E16EBA9E">
      <w:start w:val="1"/>
      <w:numFmt w:val="bullet"/>
      <w:lvlText w:val="●"/>
      <w:lvlJc w:val="left"/>
      <w:pPr>
        <w:ind w:left="5040" w:hanging="360"/>
      </w:pPr>
    </w:lvl>
    <w:lvl w:ilvl="7" w:tplc="D674B2C4">
      <w:start w:val="1"/>
      <w:numFmt w:val="bullet"/>
      <w:lvlText w:val="●"/>
      <w:lvlJc w:val="left"/>
      <w:pPr>
        <w:ind w:left="5760" w:hanging="360"/>
      </w:pPr>
    </w:lvl>
    <w:lvl w:ilvl="8" w:tplc="869EC506">
      <w:start w:val="1"/>
      <w:numFmt w:val="bullet"/>
      <w:lvlText w:val="●"/>
      <w:lvlJc w:val="left"/>
      <w:pPr>
        <w:ind w:left="6480" w:hanging="360"/>
      </w:pPr>
    </w:lvl>
  </w:abstractNum>
  <w:abstractNum w:abstractNumId="3" w15:restartNumberingAfterBreak="0">
    <w:nsid w:val="623D086A"/>
    <w:multiLevelType w:val="hybridMultilevel"/>
    <w:tmpl w:val="020012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82705811">
    <w:abstractNumId w:val="2"/>
    <w:lvlOverride w:ilvl="0">
      <w:startOverride w:val="1"/>
    </w:lvlOverride>
  </w:num>
  <w:num w:numId="2" w16cid:durableId="617954086">
    <w:abstractNumId w:val="0"/>
  </w:num>
  <w:num w:numId="3" w16cid:durableId="20754252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1A0"/>
    <w:rsid w:val="00013F12"/>
    <w:rsid w:val="00095DDC"/>
    <w:rsid w:val="000A2C79"/>
    <w:rsid w:val="00110E62"/>
    <w:rsid w:val="001152B7"/>
    <w:rsid w:val="0013518E"/>
    <w:rsid w:val="001956EA"/>
    <w:rsid w:val="001A22BD"/>
    <w:rsid w:val="001E1F4D"/>
    <w:rsid w:val="00275B8F"/>
    <w:rsid w:val="002D2025"/>
    <w:rsid w:val="00303CF9"/>
    <w:rsid w:val="00317D9D"/>
    <w:rsid w:val="00333F33"/>
    <w:rsid w:val="00376C15"/>
    <w:rsid w:val="00380778"/>
    <w:rsid w:val="00385BF5"/>
    <w:rsid w:val="003A72B0"/>
    <w:rsid w:val="003D0B72"/>
    <w:rsid w:val="003E161C"/>
    <w:rsid w:val="003E3852"/>
    <w:rsid w:val="00450C27"/>
    <w:rsid w:val="004B3B4F"/>
    <w:rsid w:val="004D02C1"/>
    <w:rsid w:val="005518B7"/>
    <w:rsid w:val="005A27D0"/>
    <w:rsid w:val="005F39E2"/>
    <w:rsid w:val="00613C5A"/>
    <w:rsid w:val="006406BA"/>
    <w:rsid w:val="0065019A"/>
    <w:rsid w:val="00663185"/>
    <w:rsid w:val="00707608"/>
    <w:rsid w:val="007450E9"/>
    <w:rsid w:val="007B1CE5"/>
    <w:rsid w:val="007D0965"/>
    <w:rsid w:val="008D415E"/>
    <w:rsid w:val="008E3C43"/>
    <w:rsid w:val="00900537"/>
    <w:rsid w:val="009401A0"/>
    <w:rsid w:val="00971F42"/>
    <w:rsid w:val="009C00FD"/>
    <w:rsid w:val="009C3F87"/>
    <w:rsid w:val="009D3166"/>
    <w:rsid w:val="009D7F54"/>
    <w:rsid w:val="00A04706"/>
    <w:rsid w:val="00A04AA2"/>
    <w:rsid w:val="00A574F0"/>
    <w:rsid w:val="00A84446"/>
    <w:rsid w:val="00AB24BC"/>
    <w:rsid w:val="00AC5F7E"/>
    <w:rsid w:val="00B900B3"/>
    <w:rsid w:val="00C0455A"/>
    <w:rsid w:val="00C1323C"/>
    <w:rsid w:val="00C62291"/>
    <w:rsid w:val="00CA7D2F"/>
    <w:rsid w:val="00CC62F3"/>
    <w:rsid w:val="00D2423E"/>
    <w:rsid w:val="00D401F7"/>
    <w:rsid w:val="00D531A0"/>
    <w:rsid w:val="00D86D22"/>
    <w:rsid w:val="00E02B57"/>
    <w:rsid w:val="00E661AB"/>
    <w:rsid w:val="00E971CB"/>
    <w:rsid w:val="00EB0F90"/>
    <w:rsid w:val="00EB5D44"/>
    <w:rsid w:val="00F47A4C"/>
    <w:rsid w:val="00F47DF3"/>
    <w:rsid w:val="00F941EE"/>
    <w:rsid w:val="00FA22A6"/>
    <w:rsid w:val="00FA7161"/>
    <w:rsid w:val="00FC37C0"/>
    <w:rsid w:val="00FD253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ADECB1"/>
  <w15:docId w15:val="{D4E02422-C733-4FB6-A4FB-F4AEF2CA0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661AB"/>
    <w:pPr>
      <w:spacing w:after="100"/>
    </w:pPr>
  </w:style>
  <w:style w:type="paragraph" w:styleId="TDC2">
    <w:name w:val="toc 2"/>
    <w:basedOn w:val="Normal"/>
    <w:next w:val="Normal"/>
    <w:autoRedefine/>
    <w:uiPriority w:val="39"/>
    <w:unhideWhenUsed/>
    <w:rsid w:val="00E661AB"/>
    <w:pPr>
      <w:spacing w:after="100"/>
      <w:ind w:left="220"/>
    </w:pPr>
  </w:style>
  <w:style w:type="paragraph" w:styleId="TDC3">
    <w:name w:val="toc 3"/>
    <w:basedOn w:val="Normal"/>
    <w:next w:val="Normal"/>
    <w:autoRedefine/>
    <w:uiPriority w:val="39"/>
    <w:unhideWhenUsed/>
    <w:rsid w:val="00E661AB"/>
    <w:pPr>
      <w:spacing w:after="100"/>
      <w:ind w:left="440"/>
    </w:pPr>
  </w:style>
  <w:style w:type="paragraph" w:styleId="Encabezado">
    <w:name w:val="header"/>
    <w:basedOn w:val="Normal"/>
    <w:link w:val="EncabezadoCar"/>
    <w:uiPriority w:val="99"/>
    <w:unhideWhenUsed/>
    <w:rsid w:val="00E661AB"/>
    <w:pPr>
      <w:tabs>
        <w:tab w:val="center" w:pos="4252"/>
        <w:tab w:val="right" w:pos="8504"/>
      </w:tabs>
    </w:pPr>
  </w:style>
  <w:style w:type="character" w:customStyle="1" w:styleId="EncabezadoCar">
    <w:name w:val="Encabezado Car"/>
    <w:basedOn w:val="Fuentedeprrafopredeter"/>
    <w:link w:val="Encabezado"/>
    <w:uiPriority w:val="99"/>
    <w:rsid w:val="00E661AB"/>
  </w:style>
  <w:style w:type="paragraph" w:styleId="Piedepgina">
    <w:name w:val="footer"/>
    <w:basedOn w:val="Normal"/>
    <w:link w:val="PiedepginaCar"/>
    <w:uiPriority w:val="99"/>
    <w:unhideWhenUsed/>
    <w:rsid w:val="00E661AB"/>
    <w:pPr>
      <w:tabs>
        <w:tab w:val="center" w:pos="4252"/>
        <w:tab w:val="right" w:pos="8504"/>
      </w:tabs>
    </w:pPr>
  </w:style>
  <w:style w:type="character" w:customStyle="1" w:styleId="PiedepginaCar">
    <w:name w:val="Pie de página Car"/>
    <w:basedOn w:val="Fuentedeprrafopredeter"/>
    <w:link w:val="Piedepgina"/>
    <w:uiPriority w:val="99"/>
    <w:rsid w:val="00E661AB"/>
  </w:style>
  <w:style w:type="paragraph" w:styleId="NormalWeb">
    <w:name w:val="Normal (Web)"/>
    <w:basedOn w:val="Normal"/>
    <w:uiPriority w:val="99"/>
    <w:semiHidden/>
    <w:unhideWhenUsed/>
    <w:rsid w:val="00613C5A"/>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7450E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plataformapyme.es/es-es/herramientas-digitales/Paginas/formas-juridicas.asp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138136-E45B-484D-B572-40439B092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29</Pages>
  <Words>11408</Words>
  <Characters>62750</Characters>
  <Application>Microsoft Office Word</Application>
  <DocSecurity>0</DocSecurity>
  <Lines>522</Lines>
  <Paragraphs>148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Maren Basterrechea Franco</cp:lastModifiedBy>
  <cp:revision>60</cp:revision>
  <cp:lastPrinted>2026-09-29T19:26:00Z</cp:lastPrinted>
  <dcterms:created xsi:type="dcterms:W3CDTF">2026-09-28T06:43:00Z</dcterms:created>
  <dcterms:modified xsi:type="dcterms:W3CDTF">2026-10-15T06:58:00Z</dcterms:modified>
</cp:coreProperties>
</file>