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5E111D" w14:paraId="052EE879"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212529"/>
            <w:tcMar>
              <w:top w:w="640" w:type="dxa"/>
              <w:left w:w="720" w:type="dxa"/>
              <w:bottom w:w="640" w:type="dxa"/>
              <w:right w:w="720" w:type="dxa"/>
            </w:tcMar>
          </w:tcPr>
          <w:p w14:paraId="0B30C267" w14:textId="77777777" w:rsidR="005E111D" w:rsidRDefault="00000000">
            <w:pPr>
              <w:jc w:val="center"/>
            </w:pPr>
            <w:r>
              <w:rPr>
                <w:noProof/>
              </w:rPr>
              <w:drawing>
                <wp:inline distT="0" distB="0" distL="0" distR="0" wp14:anchorId="3DB69ECF" wp14:editId="0E0BDC16">
                  <wp:extent cx="3047999" cy="76200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3047999" cy="762000"/>
                          </a:xfrm>
                          <a:prstGeom prst="rect">
                            <a:avLst/>
                          </a:prstGeom>
                        </pic:spPr>
                      </pic:pic>
                    </a:graphicData>
                  </a:graphic>
                </wp:inline>
              </w:drawing>
            </w:r>
          </w:p>
          <w:p w14:paraId="689EA92E" w14:textId="77777777" w:rsidR="005E111D" w:rsidRDefault="005E111D">
            <w:pPr>
              <w:spacing w:before="280"/>
            </w:pPr>
          </w:p>
          <w:p w14:paraId="29CD39A8" w14:textId="77777777" w:rsidR="005E111D" w:rsidRDefault="00000000">
            <w:pPr>
              <w:jc w:val="center"/>
            </w:pPr>
            <w:r>
              <w:rPr>
                <w:rFonts w:ascii="Georgia" w:eastAsia="Georgia" w:hAnsi="Georgia" w:cs="Georgia"/>
                <w:b/>
                <w:bCs/>
                <w:color w:val="FFFFFF"/>
                <w:sz w:val="48"/>
                <w:szCs w:val="48"/>
              </w:rPr>
              <w:t>CONSOLIDATED BRAND IDENTITY</w:t>
            </w:r>
          </w:p>
          <w:p w14:paraId="4129A3BE" w14:textId="77777777" w:rsidR="005E111D" w:rsidRDefault="00000000">
            <w:pPr>
              <w:jc w:val="center"/>
            </w:pPr>
            <w:r>
              <w:rPr>
                <w:rFonts w:ascii="Georgia" w:eastAsia="Georgia" w:hAnsi="Georgia" w:cs="Georgia"/>
                <w:b/>
                <w:bCs/>
                <w:i/>
                <w:iCs/>
                <w:color w:val="A98C5A"/>
                <w:sz w:val="40"/>
                <w:szCs w:val="40"/>
              </w:rPr>
              <w:t>Strategic Governance as a Service</w:t>
            </w:r>
          </w:p>
          <w:p w14:paraId="757B9553" w14:textId="77777777" w:rsidR="005E111D" w:rsidRDefault="005E111D">
            <w:pPr>
              <w:spacing w:before="120"/>
            </w:pPr>
          </w:p>
          <w:p w14:paraId="211C812C" w14:textId="77777777" w:rsidR="005E111D" w:rsidRDefault="00000000">
            <w:pPr>
              <w:jc w:val="center"/>
            </w:pPr>
            <w:r>
              <w:rPr>
                <w:color w:val="888888"/>
              </w:rPr>
              <w:t xml:space="preserve">Strategic </w:t>
            </w:r>
            <w:proofErr w:type="gramStart"/>
            <w:r>
              <w:rPr>
                <w:color w:val="888888"/>
              </w:rPr>
              <w:t>Architecture  •</w:t>
            </w:r>
            <w:proofErr w:type="gramEnd"/>
            <w:r>
              <w:rPr>
                <w:color w:val="888888"/>
              </w:rPr>
              <w:t xml:space="preserve">  Brand </w:t>
            </w:r>
            <w:proofErr w:type="gramStart"/>
            <w:r>
              <w:rPr>
                <w:color w:val="888888"/>
              </w:rPr>
              <w:t>System  •</w:t>
            </w:r>
            <w:proofErr w:type="gramEnd"/>
            <w:r>
              <w:rPr>
                <w:color w:val="888888"/>
              </w:rPr>
              <w:t xml:space="preserve">  Implementation Roadmap</w:t>
            </w:r>
          </w:p>
          <w:p w14:paraId="5D943DBD" w14:textId="77777777" w:rsidR="005E111D" w:rsidRDefault="005E111D">
            <w:pPr>
              <w:spacing w:before="400"/>
            </w:pPr>
          </w:p>
          <w:p w14:paraId="1B1163D0" w14:textId="77777777" w:rsidR="005E111D" w:rsidRDefault="00000000">
            <w:pPr>
              <w:jc w:val="center"/>
            </w:pPr>
            <w:r>
              <w:rPr>
                <w:color w:val="AAAAAA"/>
                <w:sz w:val="21"/>
                <w:szCs w:val="21"/>
              </w:rPr>
              <w:t xml:space="preserve">Owen Vallis, Managing </w:t>
            </w:r>
            <w:proofErr w:type="gramStart"/>
            <w:r>
              <w:rPr>
                <w:color w:val="AAAAAA"/>
                <w:sz w:val="21"/>
                <w:szCs w:val="21"/>
              </w:rPr>
              <w:t>Director  |</w:t>
            </w:r>
            <w:proofErr w:type="gramEnd"/>
            <w:r>
              <w:rPr>
                <w:color w:val="AAAAAA"/>
                <w:sz w:val="21"/>
                <w:szCs w:val="21"/>
              </w:rPr>
              <w:t xml:space="preserve">  March </w:t>
            </w:r>
            <w:proofErr w:type="gramStart"/>
            <w:r>
              <w:rPr>
                <w:color w:val="AAAAAA"/>
                <w:sz w:val="21"/>
                <w:szCs w:val="21"/>
              </w:rPr>
              <w:t>2026  |</w:t>
            </w:r>
            <w:proofErr w:type="gramEnd"/>
            <w:r>
              <w:rPr>
                <w:color w:val="AAAAAA"/>
                <w:sz w:val="21"/>
                <w:szCs w:val="21"/>
              </w:rPr>
              <w:t xml:space="preserve">  Confidential</w:t>
            </w:r>
          </w:p>
        </w:tc>
      </w:tr>
    </w:tbl>
    <w:p w14:paraId="73992F7D" w14:textId="77777777" w:rsidR="005E111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800"/>
      </w:tblGrid>
      <w:tr w:rsidR="005E111D" w14:paraId="4880E781"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A98C5A"/>
            <w:tcMar>
              <w:top w:w="140" w:type="dxa"/>
              <w:left w:w="100" w:type="dxa"/>
              <w:bottom w:w="140" w:type="dxa"/>
              <w:right w:w="100" w:type="dxa"/>
            </w:tcMar>
            <w:vAlign w:val="center"/>
          </w:tcPr>
          <w:p w14:paraId="56BFBDD4" w14:textId="77777777" w:rsidR="005E111D" w:rsidRDefault="00000000">
            <w:pPr>
              <w:jc w:val="center"/>
            </w:pPr>
            <w:r>
              <w:rPr>
                <w:rFonts w:ascii="Georgia" w:eastAsia="Georgia" w:hAnsi="Georgia" w:cs="Georgia"/>
                <w:b/>
                <w:bCs/>
                <w:color w:val="FFFFFF"/>
                <w:sz w:val="28"/>
                <w:szCs w:val="28"/>
              </w:rPr>
              <w:lastRenderedPageBreak/>
              <w:t>01</w:t>
            </w:r>
          </w:p>
        </w:tc>
        <w:tc>
          <w:tcPr>
            <w:tcW w:w="8800" w:type="dxa"/>
            <w:tcBorders>
              <w:top w:val="none" w:sz="0" w:space="0" w:color="FFFFFF"/>
              <w:left w:val="none" w:sz="0" w:space="0" w:color="FFFFFF"/>
              <w:bottom w:val="none" w:sz="0" w:space="0" w:color="FFFFFF"/>
              <w:right w:val="none" w:sz="0" w:space="0" w:color="FFFFFF"/>
            </w:tcBorders>
            <w:shd w:val="clear" w:color="auto" w:fill="212529"/>
            <w:tcMar>
              <w:top w:w="140" w:type="dxa"/>
              <w:left w:w="260" w:type="dxa"/>
              <w:bottom w:w="140" w:type="dxa"/>
              <w:right w:w="120" w:type="dxa"/>
            </w:tcMar>
            <w:vAlign w:val="center"/>
          </w:tcPr>
          <w:p w14:paraId="14E24BC1" w14:textId="77777777" w:rsidR="005E111D" w:rsidRDefault="00000000">
            <w:r>
              <w:rPr>
                <w:rFonts w:ascii="Georgia" w:eastAsia="Georgia" w:hAnsi="Georgia" w:cs="Georgia"/>
                <w:b/>
                <w:bCs/>
                <w:caps/>
                <w:color w:val="FFFFFF"/>
                <w:sz w:val="28"/>
                <w:szCs w:val="28"/>
              </w:rPr>
              <w:t>The Strategic Decision</w:t>
            </w:r>
          </w:p>
        </w:tc>
      </w:tr>
    </w:tbl>
    <w:p w14:paraId="143E2924" w14:textId="77777777" w:rsidR="005E111D" w:rsidRDefault="005E111D">
      <w:pPr>
        <w:spacing w:before="160"/>
      </w:pPr>
    </w:p>
    <w:p w14:paraId="2FBD056C" w14:textId="77777777" w:rsidR="005E111D" w:rsidRDefault="00000000">
      <w:pPr>
        <w:spacing w:before="80" w:after="80"/>
      </w:pPr>
      <w:r>
        <w:rPr>
          <w:color w:val="495057"/>
          <w:sz w:val="24"/>
          <w:szCs w:val="24"/>
        </w:rPr>
        <w:t>The central finding of the Version 2 brand review — that Marentis Labs was presenting as two different firms — has now been resolved by a clear strategic decision. This document records that decision, draws out its full implications for the brand, and provides the architecture and implementation roadmap that follows from it.</w:t>
      </w:r>
    </w:p>
    <w:p w14:paraId="0185D4AF" w14:textId="77777777" w:rsidR="005E111D" w:rsidRDefault="005E111D">
      <w:pPr>
        <w:spacing w:before="80"/>
      </w:pPr>
    </w:p>
    <w:p w14:paraId="063CE5E4" w14:textId="77777777" w:rsidR="005E111D" w:rsidRDefault="00000000">
      <w:pPr>
        <w:spacing w:before="80" w:after="80"/>
      </w:pPr>
      <w:r>
        <w:rPr>
          <w:b/>
          <w:bCs/>
          <w:color w:val="212529"/>
          <w:sz w:val="24"/>
          <w:szCs w:val="24"/>
        </w:rPr>
        <w:t>The decision is this:</w:t>
      </w:r>
    </w:p>
    <w:p w14:paraId="694C04AA" w14:textId="77777777" w:rsidR="005E111D" w:rsidRDefault="005E111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111D" w14:paraId="1D904E31" w14:textId="77777777">
        <w:tblPrEx>
          <w:tblCellMar>
            <w:top w:w="0" w:type="dxa"/>
            <w:bottom w:w="0" w:type="dxa"/>
          </w:tblCellMar>
        </w:tblPrEx>
        <w:tc>
          <w:tcPr>
            <w:tcW w:w="9360" w:type="dxa"/>
            <w:tcBorders>
              <w:top w:val="single" w:sz="8" w:space="0" w:color="A98C5A"/>
              <w:left w:val="single" w:sz="8" w:space="0" w:color="A98C5A"/>
              <w:bottom w:val="single" w:sz="8" w:space="0" w:color="A98C5A"/>
              <w:right w:val="single" w:sz="8" w:space="0" w:color="A98C5A"/>
            </w:tcBorders>
            <w:shd w:val="clear" w:color="auto" w:fill="212529"/>
            <w:tcMar>
              <w:top w:w="360" w:type="dxa"/>
              <w:left w:w="480" w:type="dxa"/>
              <w:bottom w:w="360" w:type="dxa"/>
              <w:right w:w="480" w:type="dxa"/>
            </w:tcMar>
          </w:tcPr>
          <w:p w14:paraId="245BD2DF" w14:textId="77777777" w:rsidR="005E111D" w:rsidRDefault="00000000">
            <w:pPr>
              <w:jc w:val="center"/>
            </w:pPr>
            <w:r>
              <w:rPr>
                <w:rFonts w:ascii="Georgia" w:eastAsia="Georgia" w:hAnsi="Georgia" w:cs="Georgia"/>
                <w:b/>
                <w:bCs/>
                <w:color w:val="FFFFFF"/>
                <w:sz w:val="28"/>
                <w:szCs w:val="28"/>
              </w:rPr>
              <w:t>Marentis Labs is a Strategic Governance as a Service firm.</w:t>
            </w:r>
          </w:p>
          <w:p w14:paraId="71B578D2" w14:textId="77777777" w:rsidR="005E111D" w:rsidRDefault="005E111D">
            <w:pPr>
              <w:spacing w:before="100"/>
            </w:pPr>
          </w:p>
          <w:p w14:paraId="59E8F8E3" w14:textId="77777777" w:rsidR="005E111D" w:rsidRDefault="00000000">
            <w:pPr>
              <w:jc w:val="center"/>
            </w:pPr>
            <w:r>
              <w:rPr>
                <w:rFonts w:ascii="Georgia" w:eastAsia="Georgia" w:hAnsi="Georgia" w:cs="Georgia"/>
                <w:i/>
                <w:iCs/>
                <w:color w:val="A98C5A"/>
                <w:sz w:val="24"/>
                <w:szCs w:val="24"/>
              </w:rPr>
              <w:t>Its point of difference is that its methodology is adversarial by design.</w:t>
            </w:r>
          </w:p>
          <w:p w14:paraId="59A10C2F" w14:textId="77777777" w:rsidR="005E111D" w:rsidRDefault="005E111D">
            <w:pPr>
              <w:spacing w:before="100"/>
            </w:pPr>
          </w:p>
          <w:p w14:paraId="125D3A3F" w14:textId="77777777" w:rsidR="005E111D" w:rsidRDefault="00000000">
            <w:pPr>
              <w:jc w:val="center"/>
            </w:pPr>
            <w:r>
              <w:rPr>
                <w:color w:val="BBBBBB"/>
                <w:sz w:val="21"/>
                <w:szCs w:val="21"/>
              </w:rPr>
              <w:t>Red Teaming, Risk Simulation, and Pre-Mortem Diagnostics are not separate products. They are the tools deployed inside every engagement.</w:t>
            </w:r>
          </w:p>
        </w:tc>
      </w:tr>
    </w:tbl>
    <w:p w14:paraId="44147655" w14:textId="77777777" w:rsidR="005E111D" w:rsidRDefault="005E111D">
      <w:pPr>
        <w:spacing w:before="120"/>
      </w:pPr>
    </w:p>
    <w:p w14:paraId="600C6E1F" w14:textId="77777777" w:rsidR="005E111D" w:rsidRDefault="00000000">
      <w:pPr>
        <w:spacing w:before="80" w:after="80"/>
      </w:pPr>
      <w:r>
        <w:rPr>
          <w:color w:val="495057"/>
        </w:rPr>
        <w:t xml:space="preserve">This resolves the strategic incoherence identified in Version 2. The challenge/adversarial capability that the live website correctly led with is preserved and elevated. It becomes the methodology that makes the Strategic </w:t>
      </w:r>
      <w:proofErr w:type="spellStart"/>
      <w:r>
        <w:rPr>
          <w:color w:val="495057"/>
        </w:rPr>
        <w:t>GaaS</w:t>
      </w:r>
      <w:proofErr w:type="spellEnd"/>
      <w:r>
        <w:rPr>
          <w:color w:val="495057"/>
        </w:rPr>
        <w:t xml:space="preserve"> offer genuinely distinctive — not a competing brand story, but the engine inside the brand.</w:t>
      </w:r>
    </w:p>
    <w:p w14:paraId="57E993E5" w14:textId="77777777" w:rsidR="005E111D" w:rsidRDefault="005E111D">
      <w:pPr>
        <w:spacing w:before="80"/>
      </w:pPr>
    </w:p>
    <w:p w14:paraId="36DBA2F7" w14:textId="77777777" w:rsidR="005E111D" w:rsidRDefault="00000000">
      <w:pPr>
        <w:spacing w:before="80" w:after="80"/>
      </w:pPr>
      <w:r>
        <w:rPr>
          <w:color w:val="495057"/>
        </w:rPr>
        <w:t xml:space="preserve">The commercial benefit of this architecture is equally clear: Strategic </w:t>
      </w:r>
      <w:proofErr w:type="spellStart"/>
      <w:r>
        <w:rPr>
          <w:color w:val="495057"/>
        </w:rPr>
        <w:t>GaaS</w:t>
      </w:r>
      <w:proofErr w:type="spellEnd"/>
      <w:r>
        <w:rPr>
          <w:color w:val="495057"/>
        </w:rPr>
        <w:t xml:space="preserve"> provides the recurring revenue structure (retained relationships, predictable income, scalable to multiple concurrent clients) while the adversarial methodology provides the premium pricing justification and competitive differentiation that makes the offer credible at £15k–25k per month. Neither works as well without the other.</w:t>
      </w:r>
    </w:p>
    <w:p w14:paraId="2307B15A" w14:textId="77777777" w:rsidR="005E111D" w:rsidRDefault="005E111D">
      <w:pPr>
        <w:spacing w:before="200"/>
      </w:pPr>
    </w:p>
    <w:p w14:paraId="792B9871" w14:textId="77777777" w:rsidR="005E111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2"/>
        <w:gridCol w:w="8788"/>
      </w:tblGrid>
      <w:tr w:rsidR="005E111D" w14:paraId="199CD703"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A98C5A"/>
            <w:tcMar>
              <w:top w:w="140" w:type="dxa"/>
              <w:left w:w="100" w:type="dxa"/>
              <w:bottom w:w="140" w:type="dxa"/>
              <w:right w:w="100" w:type="dxa"/>
            </w:tcMar>
            <w:vAlign w:val="center"/>
          </w:tcPr>
          <w:p w14:paraId="18842396" w14:textId="77777777" w:rsidR="005E111D" w:rsidRDefault="00000000">
            <w:pPr>
              <w:jc w:val="center"/>
            </w:pPr>
            <w:r>
              <w:rPr>
                <w:rFonts w:ascii="Georgia" w:eastAsia="Georgia" w:hAnsi="Georgia" w:cs="Georgia"/>
                <w:b/>
                <w:bCs/>
                <w:color w:val="FFFFFF"/>
                <w:sz w:val="28"/>
                <w:szCs w:val="28"/>
              </w:rPr>
              <w:lastRenderedPageBreak/>
              <w:t>02</w:t>
            </w:r>
          </w:p>
        </w:tc>
        <w:tc>
          <w:tcPr>
            <w:tcW w:w="8800" w:type="dxa"/>
            <w:tcBorders>
              <w:top w:val="none" w:sz="0" w:space="0" w:color="FFFFFF"/>
              <w:left w:val="none" w:sz="0" w:space="0" w:color="FFFFFF"/>
              <w:bottom w:val="none" w:sz="0" w:space="0" w:color="FFFFFF"/>
              <w:right w:val="none" w:sz="0" w:space="0" w:color="FFFFFF"/>
            </w:tcBorders>
            <w:shd w:val="clear" w:color="auto" w:fill="212529"/>
            <w:tcMar>
              <w:top w:w="140" w:type="dxa"/>
              <w:left w:w="260" w:type="dxa"/>
              <w:bottom w:w="140" w:type="dxa"/>
              <w:right w:w="120" w:type="dxa"/>
            </w:tcMar>
            <w:vAlign w:val="center"/>
          </w:tcPr>
          <w:p w14:paraId="2055E0C6" w14:textId="77777777" w:rsidR="005E111D" w:rsidRDefault="00000000">
            <w:r>
              <w:rPr>
                <w:rFonts w:ascii="Georgia" w:eastAsia="Georgia" w:hAnsi="Georgia" w:cs="Georgia"/>
                <w:b/>
                <w:bCs/>
                <w:caps/>
                <w:color w:val="FFFFFF"/>
                <w:sz w:val="28"/>
                <w:szCs w:val="28"/>
              </w:rPr>
              <w:t>Brand Architecture</w:t>
            </w:r>
          </w:p>
        </w:tc>
      </w:tr>
    </w:tbl>
    <w:p w14:paraId="30F141B7" w14:textId="77777777" w:rsidR="005E111D" w:rsidRDefault="005E111D">
      <w:pPr>
        <w:spacing w:before="160"/>
      </w:pPr>
    </w:p>
    <w:p w14:paraId="3272E917" w14:textId="77777777" w:rsidR="005E111D" w:rsidRDefault="00000000">
      <w:pPr>
        <w:spacing w:before="80" w:after="80"/>
      </w:pPr>
      <w:r>
        <w:rPr>
          <w:color w:val="495057"/>
          <w:sz w:val="24"/>
          <w:szCs w:val="24"/>
        </w:rPr>
        <w:t>The Marentis Labs brand now has three clearly nested layers. Each layer has a defined role and a defined audience. Understanding the hierarchy is essential for consistent communication across all touchpoints.</w:t>
      </w:r>
    </w:p>
    <w:p w14:paraId="7D64E880" w14:textId="77777777" w:rsidR="005E111D" w:rsidRDefault="005E111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111D" w14:paraId="67B393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12529"/>
            <w:tcMar>
              <w:top w:w="180" w:type="dxa"/>
              <w:left w:w="320" w:type="dxa"/>
              <w:bottom w:w="180" w:type="dxa"/>
              <w:right w:w="320" w:type="dxa"/>
            </w:tcMar>
          </w:tcPr>
          <w:p w14:paraId="23386BD7" w14:textId="77777777" w:rsidR="005E111D" w:rsidRDefault="00000000">
            <w:pPr>
              <w:jc w:val="center"/>
            </w:pPr>
            <w:r>
              <w:rPr>
                <w:b/>
                <w:bCs/>
                <w:caps/>
                <w:color w:val="A98C5A"/>
                <w:sz w:val="18"/>
                <w:szCs w:val="18"/>
              </w:rPr>
              <w:t>LAYER 1: THE BRAND</w:t>
            </w:r>
          </w:p>
          <w:p w14:paraId="468DDBF7" w14:textId="77777777" w:rsidR="005E111D" w:rsidRDefault="00000000">
            <w:pPr>
              <w:jc w:val="center"/>
            </w:pPr>
            <w:r>
              <w:rPr>
                <w:rFonts w:ascii="Georgia" w:eastAsia="Georgia" w:hAnsi="Georgia" w:cs="Georgia"/>
                <w:b/>
                <w:bCs/>
                <w:color w:val="FFFFFF"/>
                <w:sz w:val="28"/>
                <w:szCs w:val="28"/>
              </w:rPr>
              <w:t xml:space="preserve">Marentis </w:t>
            </w:r>
            <w:proofErr w:type="gramStart"/>
            <w:r>
              <w:rPr>
                <w:rFonts w:ascii="Georgia" w:eastAsia="Georgia" w:hAnsi="Georgia" w:cs="Georgia"/>
                <w:b/>
                <w:bCs/>
                <w:color w:val="FFFFFF"/>
                <w:sz w:val="28"/>
                <w:szCs w:val="28"/>
              </w:rPr>
              <w:t>Labs  |</w:t>
            </w:r>
            <w:proofErr w:type="gramEnd"/>
            <w:r>
              <w:rPr>
                <w:rFonts w:ascii="Georgia" w:eastAsia="Georgia" w:hAnsi="Georgia" w:cs="Georgia"/>
                <w:b/>
                <w:bCs/>
                <w:color w:val="FFFFFF"/>
                <w:sz w:val="28"/>
                <w:szCs w:val="28"/>
              </w:rPr>
              <w:t xml:space="preserve">  Strategic Governance as a Service</w:t>
            </w:r>
          </w:p>
          <w:p w14:paraId="4B3C69CC" w14:textId="77777777" w:rsidR="005E111D" w:rsidRDefault="00000000">
            <w:pPr>
              <w:jc w:val="center"/>
            </w:pPr>
            <w:r>
              <w:rPr>
                <w:i/>
                <w:iCs/>
                <w:color w:val="999999"/>
                <w:sz w:val="21"/>
                <w:szCs w:val="21"/>
              </w:rPr>
              <w:t xml:space="preserve">"We simulate </w:t>
            </w:r>
            <w:proofErr w:type="gramStart"/>
            <w:r>
              <w:rPr>
                <w:i/>
                <w:iCs/>
                <w:color w:val="999999"/>
                <w:sz w:val="21"/>
                <w:szCs w:val="21"/>
              </w:rPr>
              <w:t>failure</w:t>
            </w:r>
            <w:proofErr w:type="gramEnd"/>
            <w:r>
              <w:rPr>
                <w:i/>
                <w:iCs/>
                <w:color w:val="999999"/>
                <w:sz w:val="21"/>
                <w:szCs w:val="21"/>
              </w:rPr>
              <w:t xml:space="preserve"> so leaders don't have to experience it."</w:t>
            </w:r>
          </w:p>
        </w:tc>
      </w:tr>
    </w:tbl>
    <w:p w14:paraId="6F2E478D" w14:textId="77777777" w:rsidR="005E111D" w:rsidRDefault="005E111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0"/>
        <w:gridCol w:w="480"/>
        <w:gridCol w:w="4440"/>
      </w:tblGrid>
      <w:tr w:rsidR="005E111D" w14:paraId="47CE1F8A" w14:textId="77777777">
        <w:tblPrEx>
          <w:tblCellMar>
            <w:top w:w="0" w:type="dxa"/>
            <w:bottom w:w="0" w:type="dxa"/>
          </w:tblCellMar>
        </w:tblPrEx>
        <w:tc>
          <w:tcPr>
            <w:tcW w:w="4440" w:type="dxa"/>
            <w:tcBorders>
              <w:top w:val="none" w:sz="0" w:space="0" w:color="FFFFFF"/>
              <w:left w:val="none" w:sz="0" w:space="0" w:color="FFFFFF"/>
              <w:bottom w:val="none" w:sz="0" w:space="0" w:color="FFFFFF"/>
              <w:right w:val="none" w:sz="0" w:space="0" w:color="FFFFFF"/>
            </w:tcBorders>
            <w:shd w:val="clear" w:color="auto" w:fill="4A6572"/>
            <w:tcMar>
              <w:top w:w="160" w:type="dxa"/>
              <w:left w:w="240" w:type="dxa"/>
              <w:bottom w:w="160" w:type="dxa"/>
              <w:right w:w="200" w:type="dxa"/>
            </w:tcMar>
          </w:tcPr>
          <w:p w14:paraId="5D7BD2F3" w14:textId="77777777" w:rsidR="005E111D" w:rsidRDefault="00000000">
            <w:pPr>
              <w:jc w:val="center"/>
            </w:pPr>
            <w:r>
              <w:rPr>
                <w:b/>
                <w:bCs/>
                <w:caps/>
                <w:color w:val="FFFFFF"/>
                <w:sz w:val="17"/>
                <w:szCs w:val="17"/>
              </w:rPr>
              <w:t>LAYER 2: THE REVENUE MODEL</w:t>
            </w:r>
          </w:p>
          <w:p w14:paraId="72588F50" w14:textId="77777777" w:rsidR="005E111D" w:rsidRDefault="00000000">
            <w:pPr>
              <w:jc w:val="center"/>
            </w:pPr>
            <w:r>
              <w:rPr>
                <w:rFonts w:ascii="Georgia" w:eastAsia="Georgia" w:hAnsi="Georgia" w:cs="Georgia"/>
                <w:b/>
                <w:bCs/>
                <w:color w:val="FFFFFF"/>
              </w:rPr>
              <w:t xml:space="preserve">Four-Tier </w:t>
            </w:r>
            <w:proofErr w:type="spellStart"/>
            <w:r>
              <w:rPr>
                <w:rFonts w:ascii="Georgia" w:eastAsia="Georgia" w:hAnsi="Georgia" w:cs="Georgia"/>
                <w:b/>
                <w:bCs/>
                <w:color w:val="FFFFFF"/>
              </w:rPr>
              <w:t>SGaaS</w:t>
            </w:r>
            <w:proofErr w:type="spellEnd"/>
            <w:r>
              <w:rPr>
                <w:rFonts w:ascii="Georgia" w:eastAsia="Georgia" w:hAnsi="Georgia" w:cs="Georgia"/>
                <w:b/>
                <w:bCs/>
                <w:color w:val="FFFFFF"/>
              </w:rPr>
              <w:t xml:space="preserve"> Architecture</w:t>
            </w:r>
          </w:p>
          <w:p w14:paraId="4A7EE480" w14:textId="77777777" w:rsidR="005E111D" w:rsidRDefault="00000000">
            <w:pPr>
              <w:jc w:val="center"/>
            </w:pPr>
            <w:proofErr w:type="gramStart"/>
            <w:r>
              <w:rPr>
                <w:color w:val="CCDDEE"/>
                <w:sz w:val="19"/>
                <w:szCs w:val="19"/>
              </w:rPr>
              <w:t>Diagnostic  •</w:t>
            </w:r>
            <w:proofErr w:type="gramEnd"/>
            <w:r>
              <w:rPr>
                <w:color w:val="CCDDEE"/>
                <w:sz w:val="19"/>
                <w:szCs w:val="19"/>
              </w:rPr>
              <w:t xml:space="preserve">  </w:t>
            </w:r>
            <w:proofErr w:type="gramStart"/>
            <w:r>
              <w:rPr>
                <w:color w:val="CCDDEE"/>
                <w:sz w:val="19"/>
                <w:szCs w:val="19"/>
              </w:rPr>
              <w:t>Retained  •</w:t>
            </w:r>
            <w:proofErr w:type="gramEnd"/>
            <w:r>
              <w:rPr>
                <w:color w:val="CCDDEE"/>
                <w:sz w:val="19"/>
                <w:szCs w:val="19"/>
              </w:rPr>
              <w:t xml:space="preserve">  </w:t>
            </w:r>
            <w:proofErr w:type="gramStart"/>
            <w:r>
              <w:rPr>
                <w:color w:val="CCDDEE"/>
                <w:sz w:val="19"/>
                <w:szCs w:val="19"/>
              </w:rPr>
              <w:t>Embedded  •</w:t>
            </w:r>
            <w:proofErr w:type="gramEnd"/>
            <w:r>
              <w:rPr>
                <w:color w:val="CCDDEE"/>
                <w:sz w:val="19"/>
                <w:szCs w:val="19"/>
              </w:rPr>
              <w:t xml:space="preserve">  </w:t>
            </w:r>
            <w:proofErr w:type="gramStart"/>
            <w:r>
              <w:rPr>
                <w:color w:val="CCDDEE"/>
                <w:sz w:val="19"/>
                <w:szCs w:val="19"/>
              </w:rPr>
              <w:t>Pre-Exit</w:t>
            </w:r>
            <w:proofErr w:type="gramEnd"/>
          </w:p>
        </w:tc>
        <w:tc>
          <w:tcPr>
            <w:tcW w:w="480" w:type="dxa"/>
            <w:tcBorders>
              <w:top w:val="none" w:sz="0" w:space="0" w:color="FFFFFF"/>
              <w:left w:val="none" w:sz="0" w:space="0" w:color="FFFFFF"/>
              <w:bottom w:val="none" w:sz="0" w:space="0" w:color="FFFFFF"/>
              <w:right w:val="none" w:sz="0" w:space="0" w:color="FFFFFF"/>
            </w:tcBorders>
            <w:shd w:val="clear" w:color="auto" w:fill="212529"/>
          </w:tcPr>
          <w:p w14:paraId="0110E6D5" w14:textId="77777777" w:rsidR="005E111D" w:rsidRDefault="005E111D"/>
        </w:tc>
        <w:tc>
          <w:tcPr>
            <w:tcW w:w="4440" w:type="dxa"/>
            <w:tcBorders>
              <w:top w:val="none" w:sz="0" w:space="0" w:color="FFFFFF"/>
              <w:left w:val="none" w:sz="0" w:space="0" w:color="FFFFFF"/>
              <w:bottom w:val="none" w:sz="0" w:space="0" w:color="FFFFFF"/>
              <w:right w:val="none" w:sz="0" w:space="0" w:color="FFFFFF"/>
            </w:tcBorders>
            <w:shd w:val="clear" w:color="auto" w:fill="3A2800"/>
            <w:tcMar>
              <w:top w:w="160" w:type="dxa"/>
              <w:left w:w="240" w:type="dxa"/>
              <w:bottom w:w="160" w:type="dxa"/>
              <w:right w:w="200" w:type="dxa"/>
            </w:tcMar>
          </w:tcPr>
          <w:p w14:paraId="0074352D" w14:textId="77777777" w:rsidR="005E111D" w:rsidRDefault="00000000">
            <w:pPr>
              <w:jc w:val="center"/>
            </w:pPr>
            <w:r>
              <w:rPr>
                <w:b/>
                <w:bCs/>
                <w:caps/>
                <w:color w:val="FFFFFF"/>
                <w:sz w:val="17"/>
                <w:szCs w:val="17"/>
              </w:rPr>
              <w:t>LAYER 3: THE METHODOLOGY</w:t>
            </w:r>
          </w:p>
          <w:p w14:paraId="0528B0E1" w14:textId="77777777" w:rsidR="005E111D" w:rsidRDefault="00000000">
            <w:pPr>
              <w:jc w:val="center"/>
            </w:pPr>
            <w:r>
              <w:rPr>
                <w:rFonts w:ascii="Georgia" w:eastAsia="Georgia" w:hAnsi="Georgia" w:cs="Georgia"/>
                <w:b/>
                <w:bCs/>
                <w:color w:val="A98C5A"/>
              </w:rPr>
              <w:t>Adversarial Analysis Tools</w:t>
            </w:r>
          </w:p>
          <w:p w14:paraId="05166931" w14:textId="77777777" w:rsidR="005E111D" w:rsidRDefault="00000000">
            <w:pPr>
              <w:jc w:val="center"/>
            </w:pPr>
            <w:r>
              <w:rPr>
                <w:color w:val="DDCCAA"/>
                <w:sz w:val="19"/>
                <w:szCs w:val="19"/>
              </w:rPr>
              <w:t xml:space="preserve">Red </w:t>
            </w:r>
            <w:proofErr w:type="gramStart"/>
            <w:r>
              <w:rPr>
                <w:color w:val="DDCCAA"/>
                <w:sz w:val="19"/>
                <w:szCs w:val="19"/>
              </w:rPr>
              <w:t>Team  •</w:t>
            </w:r>
            <w:proofErr w:type="gramEnd"/>
            <w:r>
              <w:rPr>
                <w:color w:val="DDCCAA"/>
                <w:sz w:val="19"/>
                <w:szCs w:val="19"/>
              </w:rPr>
              <w:t xml:space="preserve">  Simulation </w:t>
            </w:r>
            <w:proofErr w:type="gramStart"/>
            <w:r>
              <w:rPr>
                <w:color w:val="DDCCAA"/>
                <w:sz w:val="19"/>
                <w:szCs w:val="19"/>
              </w:rPr>
              <w:t>Lab  •</w:t>
            </w:r>
            <w:proofErr w:type="gramEnd"/>
            <w:r>
              <w:rPr>
                <w:color w:val="DDCCAA"/>
                <w:sz w:val="19"/>
                <w:szCs w:val="19"/>
              </w:rPr>
              <w:t xml:space="preserve">  </w:t>
            </w:r>
            <w:proofErr w:type="gramStart"/>
            <w:r>
              <w:rPr>
                <w:color w:val="DDCCAA"/>
                <w:sz w:val="19"/>
                <w:szCs w:val="19"/>
              </w:rPr>
              <w:t>Pre-Mortem</w:t>
            </w:r>
            <w:proofErr w:type="gramEnd"/>
          </w:p>
        </w:tc>
      </w:tr>
    </w:tbl>
    <w:p w14:paraId="499CCE5A" w14:textId="77777777" w:rsidR="005E111D" w:rsidRDefault="005E111D">
      <w:pPr>
        <w:spacing w:before="160"/>
      </w:pPr>
    </w:p>
    <w:p w14:paraId="1FA53A53" w14:textId="77777777" w:rsidR="005E111D" w:rsidRDefault="00000000">
      <w:pPr>
        <w:pStyle w:val="Heading2"/>
      </w:pPr>
      <w:r>
        <w:t>Layer 1: The Brand</w:t>
      </w:r>
    </w:p>
    <w:p w14:paraId="20BB3DA6" w14:textId="77777777" w:rsidR="005E111D" w:rsidRDefault="005E111D">
      <w:pPr>
        <w:spacing w:before="80"/>
      </w:pPr>
    </w:p>
    <w:p w14:paraId="4A38C552" w14:textId="77777777" w:rsidR="005E111D" w:rsidRDefault="00000000">
      <w:pPr>
        <w:spacing w:before="80" w:after="80"/>
      </w:pPr>
      <w:r>
        <w:rPr>
          <w:color w:val="495057"/>
        </w:rPr>
        <w:t>The brand communicates what Marentis Labs is and what it stands for. It operates at the level of positioning, name, ethos, and visual identity. It does not describe specific services or tools — it establishes the context in which they are understood.</w:t>
      </w:r>
    </w:p>
    <w:p w14:paraId="7EF6C795" w14:textId="77777777" w:rsidR="005E111D" w:rsidRDefault="005E111D">
      <w:pPr>
        <w:spacing w:before="80"/>
      </w:pPr>
    </w:p>
    <w:p w14:paraId="5C539570" w14:textId="77777777" w:rsidR="005E111D" w:rsidRDefault="00000000">
      <w:pPr>
        <w:spacing w:before="60" w:after="60"/>
        <w:ind w:left="360" w:hanging="240"/>
      </w:pPr>
      <w:r>
        <w:rPr>
          <w:color w:val="A98C5A"/>
        </w:rPr>
        <w:t xml:space="preserve">•  </w:t>
      </w:r>
      <w:r>
        <w:rPr>
          <w:b/>
          <w:bCs/>
          <w:color w:val="212529"/>
        </w:rPr>
        <w:t>Name:</w:t>
      </w:r>
      <w:r>
        <w:rPr>
          <w:color w:val="495057"/>
        </w:rPr>
        <w:t xml:space="preserve"> Marentis Labs — no change required. Distinctive, professional, ages well.</w:t>
      </w:r>
    </w:p>
    <w:p w14:paraId="0D98E2B3" w14:textId="77777777" w:rsidR="005E111D" w:rsidRDefault="00000000">
      <w:pPr>
        <w:spacing w:before="60" w:after="60"/>
        <w:ind w:left="360" w:hanging="240"/>
      </w:pPr>
      <w:r>
        <w:rPr>
          <w:color w:val="A98C5A"/>
        </w:rPr>
        <w:t xml:space="preserve">•  </w:t>
      </w:r>
      <w:r>
        <w:rPr>
          <w:b/>
          <w:bCs/>
          <w:color w:val="212529"/>
        </w:rPr>
        <w:t>Primary positioning:</w:t>
      </w:r>
      <w:r>
        <w:rPr>
          <w:color w:val="495057"/>
        </w:rPr>
        <w:t xml:space="preserve"> Strategic Governance as a Service. This replaces "Strategic Risk &amp; Performance Insights" as the primary descriptor. The "Strategic" qualifier is deliberate: it separates the firm from the IT/cybersecurity space where "Governance as a Service" (</w:t>
      </w:r>
      <w:proofErr w:type="spellStart"/>
      <w:r>
        <w:rPr>
          <w:color w:val="495057"/>
        </w:rPr>
        <w:t>GaaS</w:t>
      </w:r>
      <w:proofErr w:type="spellEnd"/>
      <w:r>
        <w:rPr>
          <w:color w:val="495057"/>
        </w:rPr>
        <w:t>) is heavily used for cloud compliance tooling and managed security services. No firm currently uses "Strategic Governance as a Service" as a positioning claim.</w:t>
      </w:r>
    </w:p>
    <w:p w14:paraId="3D3DADEA" w14:textId="77777777" w:rsidR="005E111D" w:rsidRDefault="00000000">
      <w:pPr>
        <w:spacing w:before="60" w:after="60"/>
        <w:ind w:left="360" w:hanging="240"/>
      </w:pPr>
      <w:r>
        <w:rPr>
          <w:color w:val="A98C5A"/>
        </w:rPr>
        <w:t xml:space="preserve">•  </w:t>
      </w:r>
      <w:r>
        <w:rPr>
          <w:b/>
          <w:bCs/>
          <w:color w:val="212529"/>
        </w:rPr>
        <w:t>Ethos line:</w:t>
      </w:r>
      <w:r>
        <w:rPr>
          <w:color w:val="495057"/>
        </w:rPr>
        <w:t xml:space="preserve"> "We simulate </w:t>
      </w:r>
      <w:proofErr w:type="gramStart"/>
      <w:r>
        <w:rPr>
          <w:color w:val="495057"/>
        </w:rPr>
        <w:t>failure</w:t>
      </w:r>
      <w:proofErr w:type="gramEnd"/>
      <w:r>
        <w:rPr>
          <w:color w:val="495057"/>
        </w:rPr>
        <w:t xml:space="preserve"> so leaders don't have to experience it." — retained as the single most powerful piece of brand copy. It now has a specific meaning within the architecture: it describes the adversarial methodology that runs through every Strategic </w:t>
      </w:r>
      <w:proofErr w:type="spellStart"/>
      <w:r>
        <w:rPr>
          <w:color w:val="495057"/>
        </w:rPr>
        <w:t>GaaS</w:t>
      </w:r>
      <w:proofErr w:type="spellEnd"/>
      <w:r>
        <w:rPr>
          <w:color w:val="495057"/>
        </w:rPr>
        <w:t xml:space="preserve"> engagement.</w:t>
      </w:r>
    </w:p>
    <w:p w14:paraId="0245CF64" w14:textId="77777777" w:rsidR="005E111D" w:rsidRDefault="00000000">
      <w:pPr>
        <w:spacing w:before="60" w:after="60"/>
        <w:ind w:left="360" w:hanging="240"/>
      </w:pPr>
      <w:r>
        <w:rPr>
          <w:color w:val="A98C5A"/>
        </w:rPr>
        <w:t xml:space="preserve">•  </w:t>
      </w:r>
      <w:r>
        <w:rPr>
          <w:b/>
          <w:bCs/>
          <w:color w:val="212529"/>
        </w:rPr>
        <w:t>Tagline:</w:t>
      </w:r>
      <w:r>
        <w:rPr>
          <w:color w:val="495057"/>
        </w:rPr>
        <w:t xml:space="preserve"> "Strategic Risk &amp; Performance Insights" should be retired. It is descriptive, passive, and does not communicate either the Strategic </w:t>
      </w:r>
      <w:proofErr w:type="spellStart"/>
      <w:r>
        <w:rPr>
          <w:color w:val="495057"/>
        </w:rPr>
        <w:t>GaaS</w:t>
      </w:r>
      <w:proofErr w:type="spellEnd"/>
      <w:r>
        <w:rPr>
          <w:color w:val="495057"/>
        </w:rPr>
        <w:t xml:space="preserve"> model or the adversarial methodology. A replacement is proposed in Section 03.</w:t>
      </w:r>
    </w:p>
    <w:p w14:paraId="4B31D996" w14:textId="77777777" w:rsidR="005E111D" w:rsidRDefault="005E111D">
      <w:pPr>
        <w:spacing w:before="120"/>
      </w:pPr>
    </w:p>
    <w:p w14:paraId="52753A6B" w14:textId="77777777" w:rsidR="005E111D" w:rsidRDefault="00000000">
      <w:pPr>
        <w:pStyle w:val="Heading2"/>
      </w:pPr>
      <w:r>
        <w:t xml:space="preserve">Layer 2: The Revenue Model — Four-Tier Strategic </w:t>
      </w:r>
      <w:proofErr w:type="spellStart"/>
      <w:r>
        <w:t>GaaS</w:t>
      </w:r>
      <w:proofErr w:type="spellEnd"/>
      <w:r>
        <w:t xml:space="preserve"> Architecture</w:t>
      </w:r>
    </w:p>
    <w:p w14:paraId="764EED10" w14:textId="77777777" w:rsidR="005E111D" w:rsidRDefault="005E111D">
      <w:pPr>
        <w:spacing w:before="80"/>
      </w:pPr>
    </w:p>
    <w:p w14:paraId="4CE988FB" w14:textId="77777777" w:rsidR="005E111D" w:rsidRDefault="00000000">
      <w:pPr>
        <w:spacing w:before="80" w:after="80"/>
      </w:pPr>
      <w:r>
        <w:rPr>
          <w:color w:val="495057"/>
        </w:rPr>
        <w:t xml:space="preserve">The Strategic </w:t>
      </w:r>
      <w:proofErr w:type="spellStart"/>
      <w:r>
        <w:rPr>
          <w:color w:val="495057"/>
        </w:rPr>
        <w:t>GaaS</w:t>
      </w:r>
      <w:proofErr w:type="spellEnd"/>
      <w:r>
        <w:rPr>
          <w:color w:val="495057"/>
        </w:rPr>
        <w:t xml:space="preserve"> architecture is the commercial structure of the firm. The four tiers define how clients engage, at what depth, and at what price. This layer is primarily relevant to sales and proposals — it should not dominate the public-facing brand, but it must be clearly communicated to prospects in the consideration stage.</w:t>
      </w:r>
    </w:p>
    <w:p w14:paraId="3638DCED" w14:textId="77777777" w:rsidR="005E111D" w:rsidRDefault="005E111D">
      <w:pPr>
        <w:spacing w:before="80"/>
      </w:pPr>
    </w:p>
    <w:p w14:paraId="3E803E79" w14:textId="77777777" w:rsidR="005E111D" w:rsidRDefault="00000000">
      <w:pPr>
        <w:spacing w:before="80" w:after="80"/>
      </w:pPr>
      <w:r>
        <w:rPr>
          <w:color w:val="495057"/>
        </w:rPr>
        <w:t xml:space="preserve">The critical framing change from the current website is this: Strategic </w:t>
      </w:r>
      <w:proofErr w:type="spellStart"/>
      <w:r>
        <w:rPr>
          <w:color w:val="495057"/>
        </w:rPr>
        <w:t>GaaS</w:t>
      </w:r>
      <w:proofErr w:type="spellEnd"/>
      <w:r>
        <w:rPr>
          <w:color w:val="495057"/>
        </w:rPr>
        <w:t xml:space="preserve"> is not a type of technology service. It is a commitment to continuous, principal-level governance oversight rather than episodic project-based advice. The "Strategic" qualifier is load-bearing — it signals that the service operates at board level, addresses consequential governance decisions, and is delivered by a principal with CRO-depth experience. That distinction must be made explicit in all service communications.</w:t>
      </w:r>
    </w:p>
    <w:p w14:paraId="58E981A5" w14:textId="77777777" w:rsidR="005E111D" w:rsidRDefault="005E111D">
      <w:pPr>
        <w:spacing w:before="80"/>
      </w:pPr>
    </w:p>
    <w:p w14:paraId="111F810B" w14:textId="77777777" w:rsidR="005E111D" w:rsidRDefault="00000000">
      <w:pPr>
        <w:spacing w:before="80" w:after="80"/>
      </w:pPr>
      <w:r>
        <w:rPr>
          <w:color w:val="4A6572"/>
        </w:rPr>
        <w:t xml:space="preserve">A note on naming convention: the four service tiers are labelled using the abbreviated form — Diagnostic </w:t>
      </w:r>
      <w:proofErr w:type="spellStart"/>
      <w:r>
        <w:rPr>
          <w:color w:val="4A6572"/>
        </w:rPr>
        <w:t>GaaS</w:t>
      </w:r>
      <w:proofErr w:type="spellEnd"/>
      <w:r>
        <w:rPr>
          <w:color w:val="4A6572"/>
        </w:rPr>
        <w:t xml:space="preserve">, Retained </w:t>
      </w:r>
      <w:proofErr w:type="spellStart"/>
      <w:r>
        <w:rPr>
          <w:color w:val="4A6572"/>
        </w:rPr>
        <w:t>GaaS</w:t>
      </w:r>
      <w:proofErr w:type="spellEnd"/>
      <w:r>
        <w:rPr>
          <w:color w:val="4A6572"/>
        </w:rPr>
        <w:t xml:space="preserve">, Embedded </w:t>
      </w:r>
      <w:proofErr w:type="spellStart"/>
      <w:r>
        <w:rPr>
          <w:color w:val="4A6572"/>
        </w:rPr>
        <w:t>GaaS</w:t>
      </w:r>
      <w:proofErr w:type="spellEnd"/>
      <w:r>
        <w:rPr>
          <w:color w:val="4A6572"/>
        </w:rPr>
        <w:t xml:space="preserve">, Pre-Exit </w:t>
      </w:r>
      <w:proofErr w:type="spellStart"/>
      <w:r>
        <w:rPr>
          <w:color w:val="4A6572"/>
        </w:rPr>
        <w:t>GaaS</w:t>
      </w:r>
      <w:proofErr w:type="spellEnd"/>
      <w:r>
        <w:rPr>
          <w:color w:val="4A6572"/>
        </w:rPr>
        <w:t xml:space="preserve"> — in the same way SaaS products use an abbreviated term in tier names rather than writing "Software as a Service" in full each time. The full form "Strategic Governance as a Service" is used in primary brand positions: tagline, homepage, proposals, and all first-mention contexts. The abbreviation is acceptable in navigation, tier labels, and secondary use.</w:t>
      </w:r>
    </w:p>
    <w:p w14:paraId="00A63E45" w14:textId="77777777" w:rsidR="005E111D" w:rsidRDefault="005E111D">
      <w:pPr>
        <w:spacing w:before="120"/>
      </w:pPr>
    </w:p>
    <w:p w14:paraId="04AF842F" w14:textId="77777777" w:rsidR="005E111D" w:rsidRDefault="00000000">
      <w:pPr>
        <w:pStyle w:val="Heading2"/>
      </w:pPr>
      <w:r>
        <w:t>Layer 3: The Methodology — Adversarial Analysis Tools</w:t>
      </w:r>
    </w:p>
    <w:p w14:paraId="5C6EAB82" w14:textId="77777777" w:rsidR="005E111D" w:rsidRDefault="005E111D">
      <w:pPr>
        <w:spacing w:before="80"/>
      </w:pPr>
    </w:p>
    <w:p w14:paraId="1CB6748D" w14:textId="77777777" w:rsidR="005E111D" w:rsidRDefault="00000000">
      <w:pPr>
        <w:spacing w:before="80" w:after="80"/>
      </w:pPr>
      <w:r>
        <w:rPr>
          <w:color w:val="495057"/>
        </w:rPr>
        <w:t xml:space="preserve">This is the layer that was on the live website but lacked a commercial home. Red Teaming, Risk Simulation, and Pre-Mortem Diagnostics are now positioned not as standalone products but as the proprietary tools deployed within Strategic </w:t>
      </w:r>
      <w:proofErr w:type="spellStart"/>
      <w:r>
        <w:rPr>
          <w:color w:val="495057"/>
        </w:rPr>
        <w:t>GaaS</w:t>
      </w:r>
      <w:proofErr w:type="spellEnd"/>
      <w:r>
        <w:rPr>
          <w:color w:val="495057"/>
        </w:rPr>
        <w:t xml:space="preserve"> engagements. This reframing has three significant advantages:</w:t>
      </w:r>
    </w:p>
    <w:p w14:paraId="1EA2030A" w14:textId="77777777" w:rsidR="005E111D" w:rsidRDefault="005E111D">
      <w:pPr>
        <w:spacing w:before="80"/>
      </w:pPr>
    </w:p>
    <w:p w14:paraId="485B6ADA" w14:textId="77777777" w:rsidR="005E111D" w:rsidRDefault="00000000">
      <w:pPr>
        <w:spacing w:before="60" w:after="60"/>
        <w:ind w:left="360" w:hanging="240"/>
      </w:pPr>
      <w:r>
        <w:rPr>
          <w:color w:val="A98C5A"/>
        </w:rPr>
        <w:t xml:space="preserve">•  </w:t>
      </w:r>
      <w:r>
        <w:rPr>
          <w:b/>
          <w:bCs/>
          <w:color w:val="212529"/>
        </w:rPr>
        <w:t>It elevates the methodology</w:t>
      </w:r>
      <w:r>
        <w:rPr>
          <w:color w:val="495057"/>
        </w:rPr>
        <w:t xml:space="preserve"> to a genuine differentiator. No competitor describes their governance advisory as adversarial by design. This is ownable.</w:t>
      </w:r>
    </w:p>
    <w:p w14:paraId="761F0D53" w14:textId="77777777" w:rsidR="005E111D" w:rsidRDefault="00000000">
      <w:pPr>
        <w:spacing w:before="60" w:after="60"/>
        <w:ind w:left="360" w:hanging="240"/>
      </w:pPr>
      <w:r>
        <w:rPr>
          <w:color w:val="A98C5A"/>
        </w:rPr>
        <w:t xml:space="preserve">•  </w:t>
      </w:r>
      <w:r>
        <w:rPr>
          <w:b/>
          <w:bCs/>
          <w:color w:val="212529"/>
        </w:rPr>
        <w:t>It gives the tools a revenue home.</w:t>
      </w:r>
      <w:r>
        <w:rPr>
          <w:color w:val="495057"/>
        </w:rPr>
        <w:t xml:space="preserve"> Instead of competing with the Strategic </w:t>
      </w:r>
      <w:proofErr w:type="spellStart"/>
      <w:r>
        <w:rPr>
          <w:color w:val="495057"/>
        </w:rPr>
        <w:t>GaaS</w:t>
      </w:r>
      <w:proofErr w:type="spellEnd"/>
      <w:r>
        <w:rPr>
          <w:color w:val="495057"/>
        </w:rPr>
        <w:t xml:space="preserve"> model for positioning, the adversarial tools become proof of quality within it. A client buying Retained Strategic </w:t>
      </w:r>
      <w:proofErr w:type="spellStart"/>
      <w:r>
        <w:rPr>
          <w:color w:val="495057"/>
        </w:rPr>
        <w:t>GaaS</w:t>
      </w:r>
      <w:proofErr w:type="spellEnd"/>
      <w:r>
        <w:rPr>
          <w:color w:val="495057"/>
        </w:rPr>
        <w:t xml:space="preserve"> knows they will receive red teaming as part of the engagement — not as an add-on to buy separately.</w:t>
      </w:r>
    </w:p>
    <w:p w14:paraId="204F2B15" w14:textId="77777777" w:rsidR="005E111D" w:rsidRDefault="00000000">
      <w:pPr>
        <w:spacing w:before="60" w:after="60"/>
        <w:ind w:left="360" w:hanging="240"/>
      </w:pPr>
      <w:r>
        <w:rPr>
          <w:color w:val="A98C5A"/>
        </w:rPr>
        <w:t xml:space="preserve">•  </w:t>
      </w:r>
      <w:r>
        <w:rPr>
          <w:b/>
          <w:bCs/>
          <w:color w:val="212529"/>
        </w:rPr>
        <w:t>It creates a natural new product development path.</w:t>
      </w:r>
      <w:r>
        <w:rPr>
          <w:color w:val="495057"/>
        </w:rPr>
        <w:t xml:space="preserve"> As the firm develops genuinely innovative adversarial analysis products (more sophisticated simulation methodologies, AI-augmented stress testing, sector-specific challenge frameworks), these can be introduced as premium additions within the Strategic </w:t>
      </w:r>
      <w:proofErr w:type="spellStart"/>
      <w:r>
        <w:rPr>
          <w:color w:val="495057"/>
        </w:rPr>
        <w:t>GaaS</w:t>
      </w:r>
      <w:proofErr w:type="spellEnd"/>
      <w:r>
        <w:rPr>
          <w:color w:val="495057"/>
        </w:rPr>
        <w:t xml:space="preserve"> tiers without disrupting the primary brand architecture.</w:t>
      </w:r>
    </w:p>
    <w:p w14:paraId="183476E9" w14:textId="77777777" w:rsidR="005E111D" w:rsidRDefault="005E111D">
      <w:pPr>
        <w:spacing w:before="200"/>
      </w:pPr>
    </w:p>
    <w:p w14:paraId="2FC2778D" w14:textId="77777777" w:rsidR="005E111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2"/>
        <w:gridCol w:w="8788"/>
      </w:tblGrid>
      <w:tr w:rsidR="005E111D" w14:paraId="2E4FC3D7"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A98C5A"/>
            <w:tcMar>
              <w:top w:w="140" w:type="dxa"/>
              <w:left w:w="100" w:type="dxa"/>
              <w:bottom w:w="140" w:type="dxa"/>
              <w:right w:w="100" w:type="dxa"/>
            </w:tcMar>
            <w:vAlign w:val="center"/>
          </w:tcPr>
          <w:p w14:paraId="52712AD2" w14:textId="77777777" w:rsidR="005E111D" w:rsidRDefault="00000000">
            <w:pPr>
              <w:jc w:val="center"/>
            </w:pPr>
            <w:r>
              <w:rPr>
                <w:rFonts w:ascii="Georgia" w:eastAsia="Georgia" w:hAnsi="Georgia" w:cs="Georgia"/>
                <w:b/>
                <w:bCs/>
                <w:color w:val="FFFFFF"/>
                <w:sz w:val="28"/>
                <w:szCs w:val="28"/>
              </w:rPr>
              <w:lastRenderedPageBreak/>
              <w:t>03</w:t>
            </w:r>
          </w:p>
        </w:tc>
        <w:tc>
          <w:tcPr>
            <w:tcW w:w="8800" w:type="dxa"/>
            <w:tcBorders>
              <w:top w:val="none" w:sz="0" w:space="0" w:color="FFFFFF"/>
              <w:left w:val="none" w:sz="0" w:space="0" w:color="FFFFFF"/>
              <w:bottom w:val="none" w:sz="0" w:space="0" w:color="FFFFFF"/>
              <w:right w:val="none" w:sz="0" w:space="0" w:color="FFFFFF"/>
            </w:tcBorders>
            <w:shd w:val="clear" w:color="auto" w:fill="212529"/>
            <w:tcMar>
              <w:top w:w="140" w:type="dxa"/>
              <w:left w:w="260" w:type="dxa"/>
              <w:bottom w:w="140" w:type="dxa"/>
              <w:right w:w="120" w:type="dxa"/>
            </w:tcMar>
            <w:vAlign w:val="center"/>
          </w:tcPr>
          <w:p w14:paraId="5A84A8E2" w14:textId="77777777" w:rsidR="005E111D" w:rsidRDefault="00000000">
            <w:r>
              <w:rPr>
                <w:rFonts w:ascii="Georgia" w:eastAsia="Georgia" w:hAnsi="Georgia" w:cs="Georgia"/>
                <w:b/>
                <w:bCs/>
                <w:caps/>
                <w:color w:val="FFFFFF"/>
                <w:sz w:val="28"/>
                <w:szCs w:val="28"/>
              </w:rPr>
              <w:t>Positioning &amp; Messaging Framework</w:t>
            </w:r>
          </w:p>
        </w:tc>
      </w:tr>
    </w:tbl>
    <w:p w14:paraId="4518CB7F" w14:textId="77777777" w:rsidR="005E111D" w:rsidRDefault="005E111D">
      <w:pPr>
        <w:spacing w:before="160"/>
      </w:pPr>
    </w:p>
    <w:p w14:paraId="6343B069" w14:textId="77777777" w:rsidR="005E111D" w:rsidRDefault="00000000">
      <w:pPr>
        <w:pStyle w:val="Heading2"/>
      </w:pPr>
      <w:r>
        <w:t>The Revised Positioning Statement</w:t>
      </w:r>
    </w:p>
    <w:p w14:paraId="36D38DDA" w14:textId="77777777" w:rsidR="005E111D" w:rsidRDefault="005E111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5E111D" w14:paraId="41FC9EF6" w14:textId="77777777">
        <w:tblPrEx>
          <w:tblCellMar>
            <w:top w:w="0" w:type="dxa"/>
            <w:bottom w:w="0" w:type="dxa"/>
          </w:tblCellMar>
        </w:tblPrEx>
        <w:tc>
          <w:tcPr>
            <w:tcW w:w="200" w:type="dxa"/>
            <w:tcBorders>
              <w:top w:val="none" w:sz="0" w:space="0" w:color="FFFFFF"/>
              <w:left w:val="single" w:sz="8" w:space="0" w:color="A98C5A"/>
              <w:bottom w:val="none" w:sz="0" w:space="0" w:color="FFFFFF"/>
              <w:right w:val="none" w:sz="0" w:space="0" w:color="FFFFFF"/>
            </w:tcBorders>
            <w:shd w:val="clear" w:color="auto" w:fill="F8F9FA"/>
            <w:tcMar>
              <w:top w:w="160" w:type="dxa"/>
              <w:left w:w="60" w:type="dxa"/>
              <w:bottom w:w="160" w:type="dxa"/>
              <w:right w:w="0" w:type="dxa"/>
            </w:tcMar>
          </w:tcPr>
          <w:p w14:paraId="6CF5B8A3" w14:textId="77777777" w:rsidR="005E111D" w:rsidRDefault="005E111D"/>
        </w:tc>
        <w:tc>
          <w:tcPr>
            <w:tcW w:w="916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180" w:type="dxa"/>
            </w:tcMar>
          </w:tcPr>
          <w:p w14:paraId="29B93A41" w14:textId="77777777" w:rsidR="005E111D" w:rsidRDefault="00000000">
            <w:r>
              <w:rPr>
                <w:i/>
                <w:iCs/>
                <w:color w:val="212529"/>
              </w:rPr>
              <w:t>Marentis Labs provides Strategic Governance as a Service to FTSE 350 companies and PE-backed organisations. Unlike traditional advisory, our engagements are continuous, principal-led, and adversarial by design — we operate as a permanent challenge function inside your governance framework, not a consultant called in when something has already gone wrong.</w:t>
            </w:r>
          </w:p>
        </w:tc>
      </w:tr>
    </w:tbl>
    <w:p w14:paraId="136B2AEC" w14:textId="77777777" w:rsidR="005E111D" w:rsidRDefault="005E111D">
      <w:pPr>
        <w:spacing w:before="120"/>
      </w:pPr>
    </w:p>
    <w:p w14:paraId="115A5443" w14:textId="77777777" w:rsidR="005E111D" w:rsidRDefault="00000000">
      <w:pPr>
        <w:pStyle w:val="Heading2"/>
      </w:pPr>
      <w:r>
        <w:t>Primary Tagline — Replacing "Strategic Risk &amp; Performance Insights"</w:t>
      </w:r>
    </w:p>
    <w:p w14:paraId="515F4E7A" w14:textId="77777777" w:rsidR="005E111D" w:rsidRDefault="005E111D">
      <w:pPr>
        <w:spacing w:before="80"/>
      </w:pPr>
    </w:p>
    <w:p w14:paraId="50528ABE" w14:textId="77777777" w:rsidR="005E111D" w:rsidRDefault="00000000">
      <w:pPr>
        <w:spacing w:before="80" w:after="80"/>
      </w:pPr>
      <w:r>
        <w:rPr>
          <w:color w:val="495057"/>
        </w:rPr>
        <w:t>The current tagline describes the category the firm operates in. A stronger tagline describes the firm's specific approach within that category. Three options are proposed, ranked by recommendation:</w:t>
      </w:r>
    </w:p>
    <w:p w14:paraId="09A16E7F" w14:textId="77777777" w:rsidR="005E111D" w:rsidRDefault="005E111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E111D" w14:paraId="3F718AAF" w14:textId="77777777">
        <w:tblPrEx>
          <w:tblCellMar>
            <w:top w:w="0" w:type="dxa"/>
            <w:bottom w:w="0" w:type="dxa"/>
          </w:tblCellMar>
        </w:tblPrEx>
        <w:tc>
          <w:tcPr>
            <w:tcW w:w="2400" w:type="dxa"/>
            <w:tcBorders>
              <w:top w:val="single" w:sz="4" w:space="0" w:color="A98C5A"/>
              <w:left w:val="single" w:sz="4" w:space="0" w:color="A98C5A"/>
              <w:bottom w:val="single" w:sz="4" w:space="0" w:color="A98C5A"/>
              <w:right w:val="single" w:sz="4" w:space="0" w:color="A98C5A"/>
            </w:tcBorders>
            <w:shd w:val="clear" w:color="auto" w:fill="212529"/>
            <w:tcMar>
              <w:top w:w="90" w:type="dxa"/>
              <w:left w:w="130" w:type="dxa"/>
              <w:bottom w:w="90" w:type="dxa"/>
              <w:right w:w="90" w:type="dxa"/>
            </w:tcMar>
          </w:tcPr>
          <w:p w14:paraId="1118BEF4" w14:textId="77777777" w:rsidR="005E111D" w:rsidRDefault="00000000">
            <w:r>
              <w:rPr>
                <w:b/>
                <w:bCs/>
                <w:caps/>
                <w:color w:val="FFFFFF"/>
                <w:sz w:val="20"/>
                <w:szCs w:val="20"/>
              </w:rPr>
              <w:t>Option</w:t>
            </w:r>
          </w:p>
        </w:tc>
        <w:tc>
          <w:tcPr>
            <w:tcW w:w="6960" w:type="dxa"/>
            <w:tcBorders>
              <w:top w:val="single" w:sz="4" w:space="0" w:color="A98C5A"/>
              <w:left w:val="single" w:sz="4" w:space="0" w:color="A98C5A"/>
              <w:bottom w:val="single" w:sz="4" w:space="0" w:color="A98C5A"/>
              <w:right w:val="single" w:sz="4" w:space="0" w:color="A98C5A"/>
            </w:tcBorders>
            <w:shd w:val="clear" w:color="auto" w:fill="212529"/>
            <w:tcMar>
              <w:top w:w="90" w:type="dxa"/>
              <w:left w:w="130" w:type="dxa"/>
              <w:bottom w:w="90" w:type="dxa"/>
              <w:right w:w="90" w:type="dxa"/>
            </w:tcMar>
          </w:tcPr>
          <w:p w14:paraId="7D624EAF" w14:textId="77777777" w:rsidR="005E111D" w:rsidRDefault="00000000">
            <w:r>
              <w:rPr>
                <w:b/>
                <w:bCs/>
                <w:caps/>
                <w:color w:val="FFFFFF"/>
                <w:sz w:val="20"/>
                <w:szCs w:val="20"/>
              </w:rPr>
              <w:t>Description &amp; Assessment</w:t>
            </w:r>
          </w:p>
        </w:tc>
      </w:tr>
      <w:tr w:rsidR="005E111D" w14:paraId="2EBE9E98" w14:textId="77777777">
        <w:tblPrEx>
          <w:tblCellMar>
            <w:top w:w="0" w:type="dxa"/>
            <w:bottom w:w="0" w:type="dxa"/>
          </w:tblCellMar>
        </w:tblPrEx>
        <w:tc>
          <w:tcPr>
            <w:tcW w:w="2400" w:type="dxa"/>
            <w:tcBorders>
              <w:top w:val="single" w:sz="4" w:space="0" w:color="E8E8E8"/>
              <w:left w:val="single" w:sz="4" w:space="0" w:color="E8E8E8"/>
              <w:bottom w:val="single" w:sz="4" w:space="0" w:color="E8E8E8"/>
              <w:right w:val="single" w:sz="4" w:space="0" w:color="E8E8E8"/>
            </w:tcBorders>
            <w:shd w:val="clear" w:color="auto" w:fill="F8F9FA"/>
            <w:tcMar>
              <w:top w:w="90" w:type="dxa"/>
              <w:left w:w="130" w:type="dxa"/>
              <w:bottom w:w="90" w:type="dxa"/>
              <w:right w:w="90" w:type="dxa"/>
            </w:tcMar>
          </w:tcPr>
          <w:p w14:paraId="01E21FD7" w14:textId="77777777" w:rsidR="005E111D" w:rsidRDefault="00000000">
            <w:r>
              <w:rPr>
                <w:b/>
                <w:bCs/>
                <w:color w:val="212529"/>
                <w:sz w:val="20"/>
                <w:szCs w:val="20"/>
              </w:rPr>
              <w:t>Option 1 (Recommended)</w:t>
            </w:r>
          </w:p>
        </w:tc>
        <w:tc>
          <w:tcPr>
            <w:tcW w:w="6960" w:type="dxa"/>
            <w:tcBorders>
              <w:top w:val="single" w:sz="4" w:space="0" w:color="E8E8E8"/>
              <w:left w:val="single" w:sz="4" w:space="0" w:color="E8E8E8"/>
              <w:bottom w:val="single" w:sz="4" w:space="0" w:color="E8E8E8"/>
              <w:right w:val="single" w:sz="4" w:space="0" w:color="E8E8E8"/>
            </w:tcBorders>
            <w:shd w:val="clear" w:color="auto" w:fill="F8F9FA"/>
            <w:tcMar>
              <w:top w:w="90" w:type="dxa"/>
              <w:left w:w="130" w:type="dxa"/>
              <w:bottom w:w="90" w:type="dxa"/>
              <w:right w:w="90" w:type="dxa"/>
            </w:tcMar>
          </w:tcPr>
          <w:p w14:paraId="5AEC1A6D" w14:textId="77777777" w:rsidR="005E111D" w:rsidRDefault="00000000">
            <w:r>
              <w:rPr>
                <w:color w:val="495057"/>
                <w:sz w:val="20"/>
                <w:szCs w:val="20"/>
              </w:rPr>
              <w:t xml:space="preserve">Strategic Governance as a Service. Adversarial by Design. The "Strategic" qualifier does critical disambiguation work: it separates Marentis Labs from the IT/cybersecurity </w:t>
            </w:r>
            <w:proofErr w:type="spellStart"/>
            <w:r>
              <w:rPr>
                <w:color w:val="495057"/>
                <w:sz w:val="20"/>
                <w:szCs w:val="20"/>
              </w:rPr>
              <w:t>GaaS</w:t>
            </w:r>
            <w:proofErr w:type="spellEnd"/>
            <w:r>
              <w:rPr>
                <w:color w:val="495057"/>
                <w:sz w:val="20"/>
                <w:szCs w:val="20"/>
              </w:rPr>
              <w:t xml:space="preserve"> market (cloud compliance tools, managed security services, data governance platforms) that currently dominates search results for "Governance as a Service". No firm uses this exact phrase. It is unoccupied territory with a direct claim on the board-level advisory category.</w:t>
            </w:r>
          </w:p>
        </w:tc>
      </w:tr>
      <w:tr w:rsidR="005E111D" w14:paraId="3E72F784" w14:textId="77777777">
        <w:tblPrEx>
          <w:tblCellMar>
            <w:top w:w="0" w:type="dxa"/>
            <w:bottom w:w="0" w:type="dxa"/>
          </w:tblCellMar>
        </w:tblPrEx>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90" w:type="dxa"/>
              <w:left w:w="130" w:type="dxa"/>
              <w:bottom w:w="90" w:type="dxa"/>
              <w:right w:w="90" w:type="dxa"/>
            </w:tcMar>
          </w:tcPr>
          <w:p w14:paraId="61D6F346" w14:textId="77777777" w:rsidR="005E111D" w:rsidRDefault="00000000">
            <w:r>
              <w:rPr>
                <w:b/>
                <w:bCs/>
                <w:color w:val="212529"/>
                <w:sz w:val="20"/>
                <w:szCs w:val="20"/>
              </w:rPr>
              <w:t>Option 2</w:t>
            </w:r>
          </w:p>
        </w:tc>
        <w:tc>
          <w:tcPr>
            <w:tcW w:w="6960" w:type="dxa"/>
            <w:tcBorders>
              <w:top w:val="single" w:sz="4" w:space="0" w:color="E8E8E8"/>
              <w:left w:val="single" w:sz="4" w:space="0" w:color="E8E8E8"/>
              <w:bottom w:val="single" w:sz="4" w:space="0" w:color="E8E8E8"/>
              <w:right w:val="single" w:sz="4" w:space="0" w:color="E8E8E8"/>
            </w:tcBorders>
            <w:shd w:val="clear" w:color="auto" w:fill="FFFFFF"/>
            <w:tcMar>
              <w:top w:w="90" w:type="dxa"/>
              <w:left w:w="130" w:type="dxa"/>
              <w:bottom w:w="90" w:type="dxa"/>
              <w:right w:w="90" w:type="dxa"/>
            </w:tcMar>
          </w:tcPr>
          <w:p w14:paraId="0E3FBE44" w14:textId="77777777" w:rsidR="005E111D" w:rsidRDefault="00000000">
            <w:r>
              <w:rPr>
                <w:color w:val="495057"/>
                <w:sz w:val="20"/>
                <w:szCs w:val="20"/>
              </w:rPr>
              <w:t xml:space="preserve">Continuous Governance. Permanent Challenge. Emphasises the differentiation from episodic consulting without using the </w:t>
            </w:r>
            <w:proofErr w:type="spellStart"/>
            <w:r>
              <w:rPr>
                <w:color w:val="495057"/>
                <w:sz w:val="20"/>
                <w:szCs w:val="20"/>
              </w:rPr>
              <w:t>GaaS</w:t>
            </w:r>
            <w:proofErr w:type="spellEnd"/>
            <w:r>
              <w:rPr>
                <w:color w:val="495057"/>
                <w:sz w:val="20"/>
                <w:szCs w:val="20"/>
              </w:rPr>
              <w:t xml:space="preserve"> term. Useful for audiences unfamiliar with the model. Less ownable as a category claim — harder to search, less distinctive.</w:t>
            </w:r>
          </w:p>
        </w:tc>
      </w:tr>
      <w:tr w:rsidR="005E111D" w14:paraId="4C598297" w14:textId="77777777">
        <w:tblPrEx>
          <w:tblCellMar>
            <w:top w:w="0" w:type="dxa"/>
            <w:bottom w:w="0" w:type="dxa"/>
          </w:tblCellMar>
        </w:tblPrEx>
        <w:tc>
          <w:tcPr>
            <w:tcW w:w="2400" w:type="dxa"/>
            <w:tcBorders>
              <w:top w:val="single" w:sz="4" w:space="0" w:color="E8E8E8"/>
              <w:left w:val="single" w:sz="4" w:space="0" w:color="E8E8E8"/>
              <w:bottom w:val="single" w:sz="4" w:space="0" w:color="E8E8E8"/>
              <w:right w:val="single" w:sz="4" w:space="0" w:color="E8E8E8"/>
            </w:tcBorders>
            <w:shd w:val="clear" w:color="auto" w:fill="F8F9FA"/>
            <w:tcMar>
              <w:top w:w="90" w:type="dxa"/>
              <w:left w:w="130" w:type="dxa"/>
              <w:bottom w:w="90" w:type="dxa"/>
              <w:right w:w="90" w:type="dxa"/>
            </w:tcMar>
          </w:tcPr>
          <w:p w14:paraId="5B8E615D" w14:textId="77777777" w:rsidR="005E111D" w:rsidRDefault="00000000">
            <w:r>
              <w:rPr>
                <w:b/>
                <w:bCs/>
                <w:color w:val="212529"/>
                <w:sz w:val="20"/>
                <w:szCs w:val="20"/>
              </w:rPr>
              <w:t>Option 3 (Retire to sub-use)</w:t>
            </w:r>
          </w:p>
        </w:tc>
        <w:tc>
          <w:tcPr>
            <w:tcW w:w="6960" w:type="dxa"/>
            <w:tcBorders>
              <w:top w:val="single" w:sz="4" w:space="0" w:color="E8E8E8"/>
              <w:left w:val="single" w:sz="4" w:space="0" w:color="E8E8E8"/>
              <w:bottom w:val="single" w:sz="4" w:space="0" w:color="E8E8E8"/>
              <w:right w:val="single" w:sz="4" w:space="0" w:color="E8E8E8"/>
            </w:tcBorders>
            <w:shd w:val="clear" w:color="auto" w:fill="F8F9FA"/>
            <w:tcMar>
              <w:top w:w="90" w:type="dxa"/>
              <w:left w:w="130" w:type="dxa"/>
              <w:bottom w:w="90" w:type="dxa"/>
              <w:right w:w="90" w:type="dxa"/>
            </w:tcMar>
          </w:tcPr>
          <w:p w14:paraId="003A0189" w14:textId="77777777" w:rsidR="005E111D" w:rsidRDefault="00000000">
            <w:r>
              <w:rPr>
                <w:color w:val="495057"/>
                <w:sz w:val="20"/>
                <w:szCs w:val="20"/>
              </w:rPr>
              <w:t>Strategic Risk &amp; Performance Insights Retain as a sub-descriptor on footer, legal, and technical documentation only. Remove from all primary brand positions.</w:t>
            </w:r>
          </w:p>
        </w:tc>
      </w:tr>
    </w:tbl>
    <w:p w14:paraId="20F3BFF0" w14:textId="77777777" w:rsidR="005E111D" w:rsidRDefault="005E111D">
      <w:pPr>
        <w:spacing w:before="120"/>
      </w:pPr>
    </w:p>
    <w:p w14:paraId="42171D53" w14:textId="77777777" w:rsidR="005E111D" w:rsidRDefault="00000000">
      <w:pPr>
        <w:pStyle w:val="Heading2"/>
      </w:pPr>
      <w:r>
        <w:t>The Ethos Line — Confirmed and Elevated</w:t>
      </w:r>
    </w:p>
    <w:p w14:paraId="0BCCC967" w14:textId="77777777" w:rsidR="005E111D" w:rsidRDefault="005E111D">
      <w:pPr>
        <w:spacing w:before="80"/>
      </w:pPr>
    </w:p>
    <w:p w14:paraId="4A573C80" w14:textId="77777777" w:rsidR="005E111D" w:rsidRDefault="00000000">
      <w:pPr>
        <w:spacing w:before="80" w:after="80"/>
      </w:pPr>
      <w:r>
        <w:rPr>
          <w:color w:val="495057"/>
        </w:rPr>
        <w:t xml:space="preserve">"We simulate </w:t>
      </w:r>
      <w:proofErr w:type="gramStart"/>
      <w:r>
        <w:rPr>
          <w:color w:val="495057"/>
        </w:rPr>
        <w:t>failure</w:t>
      </w:r>
      <w:proofErr w:type="gramEnd"/>
      <w:r>
        <w:rPr>
          <w:color w:val="495057"/>
        </w:rPr>
        <w:t xml:space="preserve"> so leaders don't have to experience it."</w:t>
      </w:r>
    </w:p>
    <w:p w14:paraId="0FB8CA4D" w14:textId="77777777" w:rsidR="005E111D" w:rsidRDefault="005E111D">
      <w:pPr>
        <w:spacing w:before="60"/>
      </w:pPr>
    </w:p>
    <w:p w14:paraId="3F35B09B" w14:textId="77777777" w:rsidR="005E111D" w:rsidRDefault="00000000">
      <w:pPr>
        <w:spacing w:before="80" w:after="80"/>
      </w:pPr>
      <w:r>
        <w:rPr>
          <w:color w:val="495057"/>
        </w:rPr>
        <w:t xml:space="preserve">This line is now more powerful than it was in the original brand. It previously described a consulting methodology. It now describes the operating philosophy of a firm that embeds itself inside its clients' governance and runs continuous adversarial analysis as a standard feature of the engagement. Every Strategic </w:t>
      </w:r>
      <w:proofErr w:type="spellStart"/>
      <w:r>
        <w:rPr>
          <w:color w:val="495057"/>
        </w:rPr>
        <w:t>GaaS</w:t>
      </w:r>
      <w:proofErr w:type="spellEnd"/>
      <w:r>
        <w:rPr>
          <w:color w:val="495057"/>
        </w:rPr>
        <w:t xml:space="preserve"> client, at every tier, benefits from this approach. The ethos line should appear:</w:t>
      </w:r>
    </w:p>
    <w:p w14:paraId="09C512D6" w14:textId="77777777" w:rsidR="005E111D" w:rsidRDefault="005E111D">
      <w:pPr>
        <w:spacing w:before="60"/>
      </w:pPr>
    </w:p>
    <w:p w14:paraId="68705E20" w14:textId="77777777" w:rsidR="005E111D" w:rsidRDefault="00000000">
      <w:pPr>
        <w:spacing w:before="60" w:after="60"/>
        <w:ind w:left="360" w:hanging="240"/>
      </w:pPr>
      <w:r>
        <w:rPr>
          <w:color w:val="A98C5A"/>
        </w:rPr>
        <w:lastRenderedPageBreak/>
        <w:t xml:space="preserve">•  </w:t>
      </w:r>
      <w:r>
        <w:rPr>
          <w:b/>
          <w:bCs/>
          <w:color w:val="212529"/>
        </w:rPr>
        <w:t>On the website homepage</w:t>
      </w:r>
      <w:r>
        <w:rPr>
          <w:color w:val="495057"/>
        </w:rPr>
        <w:t xml:space="preserve"> as the primary H1 (current placement is correct)</w:t>
      </w:r>
    </w:p>
    <w:p w14:paraId="39D7EF48" w14:textId="77777777" w:rsidR="005E111D" w:rsidRDefault="00000000">
      <w:pPr>
        <w:spacing w:before="60" w:after="60"/>
        <w:ind w:left="360" w:hanging="240"/>
      </w:pPr>
      <w:r>
        <w:rPr>
          <w:color w:val="A98C5A"/>
        </w:rPr>
        <w:t xml:space="preserve">•  </w:t>
      </w:r>
      <w:r>
        <w:rPr>
          <w:b/>
          <w:bCs/>
          <w:color w:val="212529"/>
        </w:rPr>
        <w:t>On every proposal cover page</w:t>
      </w:r>
    </w:p>
    <w:p w14:paraId="2C036816" w14:textId="77777777" w:rsidR="005E111D" w:rsidRDefault="00000000">
      <w:pPr>
        <w:spacing w:before="60" w:after="60"/>
        <w:ind w:left="360" w:hanging="240"/>
      </w:pPr>
      <w:r>
        <w:rPr>
          <w:color w:val="A98C5A"/>
        </w:rPr>
        <w:t xml:space="preserve">•  </w:t>
      </w:r>
      <w:r>
        <w:rPr>
          <w:b/>
          <w:bCs/>
          <w:color w:val="212529"/>
        </w:rPr>
        <w:t>On every client report cover</w:t>
      </w:r>
    </w:p>
    <w:p w14:paraId="19BCE00C" w14:textId="77777777" w:rsidR="005E111D" w:rsidRDefault="00000000">
      <w:pPr>
        <w:spacing w:before="60" w:after="60"/>
        <w:ind w:left="360" w:hanging="240"/>
      </w:pPr>
      <w:r>
        <w:rPr>
          <w:color w:val="A98C5A"/>
        </w:rPr>
        <w:t xml:space="preserve">•  </w:t>
      </w:r>
      <w:r>
        <w:rPr>
          <w:b/>
          <w:bCs/>
          <w:color w:val="212529"/>
        </w:rPr>
        <w:t>In Owen's LinkedIn banner and summary</w:t>
      </w:r>
    </w:p>
    <w:p w14:paraId="7DEBEDD8" w14:textId="77777777" w:rsidR="005E111D" w:rsidRDefault="00000000">
      <w:pPr>
        <w:spacing w:before="60" w:after="60"/>
        <w:ind w:left="360" w:hanging="240"/>
      </w:pPr>
      <w:r>
        <w:rPr>
          <w:color w:val="A98C5A"/>
        </w:rPr>
        <w:t xml:space="preserve">•  </w:t>
      </w:r>
      <w:r>
        <w:rPr>
          <w:b/>
          <w:bCs/>
          <w:color w:val="212529"/>
        </w:rPr>
        <w:t>In speaker event bios and conference introductions</w:t>
      </w:r>
    </w:p>
    <w:p w14:paraId="5F106E3B" w14:textId="77777777" w:rsidR="005E111D" w:rsidRDefault="00000000">
      <w:pPr>
        <w:spacing w:before="60" w:after="60"/>
        <w:ind w:left="360" w:hanging="240"/>
      </w:pPr>
      <w:r>
        <w:rPr>
          <w:color w:val="A98C5A"/>
        </w:rPr>
        <w:t xml:space="preserve">•  </w:t>
      </w:r>
      <w:r>
        <w:rPr>
          <w:b/>
          <w:bCs/>
          <w:color w:val="212529"/>
        </w:rPr>
        <w:t>As the opening line of the firm's Insights newsletter</w:t>
      </w:r>
      <w:r>
        <w:rPr>
          <w:color w:val="495057"/>
        </w:rPr>
        <w:t xml:space="preserve"> when launched</w:t>
      </w:r>
    </w:p>
    <w:p w14:paraId="1461A387" w14:textId="77777777" w:rsidR="005E111D" w:rsidRDefault="005E111D">
      <w:pPr>
        <w:spacing w:before="120"/>
      </w:pPr>
    </w:p>
    <w:p w14:paraId="00CB4092" w14:textId="77777777" w:rsidR="005E111D" w:rsidRDefault="00000000">
      <w:pPr>
        <w:pStyle w:val="Heading2"/>
      </w:pPr>
      <w:r>
        <w:t>Audience-Specific Messaging</w:t>
      </w:r>
    </w:p>
    <w:p w14:paraId="1078E24E" w14:textId="77777777" w:rsidR="005E111D" w:rsidRDefault="005E111D">
      <w:pPr>
        <w:spacing w:before="80"/>
      </w:pPr>
    </w:p>
    <w:p w14:paraId="088E85D5" w14:textId="77777777" w:rsidR="005E111D" w:rsidRDefault="00000000">
      <w:pPr>
        <w:spacing w:before="80" w:after="80"/>
      </w:pPr>
      <w:r>
        <w:rPr>
          <w:color w:val="495057"/>
        </w:rPr>
        <w:t xml:space="preserve">The architecture resolves the previous problem of serving multiple buyer archetypes with inconsistent messages. The primary positioning (Strategic </w:t>
      </w:r>
      <w:proofErr w:type="spellStart"/>
      <w:r>
        <w:rPr>
          <w:color w:val="495057"/>
        </w:rPr>
        <w:t>GaaS</w:t>
      </w:r>
      <w:proofErr w:type="spellEnd"/>
      <w:r>
        <w:rPr>
          <w:color w:val="495057"/>
        </w:rPr>
        <w:t>, adversarial by design) is consistent across all audiences. The emphasis shifts by archetype:</w:t>
      </w:r>
    </w:p>
    <w:p w14:paraId="5EB103E5" w14:textId="77777777" w:rsidR="005E111D" w:rsidRDefault="005E111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400"/>
        <w:gridCol w:w="2760"/>
      </w:tblGrid>
      <w:tr w:rsidR="005E111D" w14:paraId="7E5D981E" w14:textId="77777777">
        <w:tblPrEx>
          <w:tblCellMar>
            <w:top w:w="0" w:type="dxa"/>
            <w:bottom w:w="0" w:type="dxa"/>
          </w:tblCellMar>
        </w:tblPrEx>
        <w:tc>
          <w:tcPr>
            <w:tcW w:w="1800" w:type="dxa"/>
            <w:tcBorders>
              <w:top w:val="single" w:sz="4" w:space="0" w:color="A98C5A"/>
              <w:left w:val="single" w:sz="4" w:space="0" w:color="A98C5A"/>
              <w:bottom w:val="single" w:sz="4" w:space="0" w:color="A98C5A"/>
              <w:right w:val="single" w:sz="4" w:space="0" w:color="A98C5A"/>
            </w:tcBorders>
            <w:shd w:val="clear" w:color="auto" w:fill="212529"/>
            <w:tcMar>
              <w:top w:w="90" w:type="dxa"/>
              <w:left w:w="120" w:type="dxa"/>
              <w:bottom w:w="90" w:type="dxa"/>
              <w:right w:w="80" w:type="dxa"/>
            </w:tcMar>
          </w:tcPr>
          <w:p w14:paraId="47EF63A3" w14:textId="77777777" w:rsidR="005E111D" w:rsidRDefault="00000000">
            <w:r>
              <w:rPr>
                <w:b/>
                <w:bCs/>
                <w:caps/>
                <w:color w:val="FFFFFF"/>
                <w:sz w:val="19"/>
                <w:szCs w:val="19"/>
              </w:rPr>
              <w:t>Buyer Archetype</w:t>
            </w:r>
          </w:p>
        </w:tc>
        <w:tc>
          <w:tcPr>
            <w:tcW w:w="2400" w:type="dxa"/>
            <w:tcBorders>
              <w:top w:val="single" w:sz="4" w:space="0" w:color="A98C5A"/>
              <w:left w:val="single" w:sz="4" w:space="0" w:color="A98C5A"/>
              <w:bottom w:val="single" w:sz="4" w:space="0" w:color="A98C5A"/>
              <w:right w:val="single" w:sz="4" w:space="0" w:color="A98C5A"/>
            </w:tcBorders>
            <w:shd w:val="clear" w:color="auto" w:fill="212529"/>
            <w:tcMar>
              <w:top w:w="90" w:type="dxa"/>
              <w:left w:w="120" w:type="dxa"/>
              <w:bottom w:w="90" w:type="dxa"/>
              <w:right w:w="80" w:type="dxa"/>
            </w:tcMar>
          </w:tcPr>
          <w:p w14:paraId="45CE348A" w14:textId="77777777" w:rsidR="005E111D" w:rsidRDefault="00000000">
            <w:r>
              <w:rPr>
                <w:b/>
                <w:bCs/>
                <w:caps/>
                <w:color w:val="FFFFFF"/>
                <w:sz w:val="19"/>
                <w:szCs w:val="19"/>
              </w:rPr>
              <w:t>Primary Anxiety</w:t>
            </w:r>
          </w:p>
        </w:tc>
        <w:tc>
          <w:tcPr>
            <w:tcW w:w="2400" w:type="dxa"/>
            <w:tcBorders>
              <w:top w:val="single" w:sz="4" w:space="0" w:color="A98C5A"/>
              <w:left w:val="single" w:sz="4" w:space="0" w:color="A98C5A"/>
              <w:bottom w:val="single" w:sz="4" w:space="0" w:color="A98C5A"/>
              <w:right w:val="single" w:sz="4" w:space="0" w:color="A98C5A"/>
            </w:tcBorders>
            <w:shd w:val="clear" w:color="auto" w:fill="212529"/>
            <w:tcMar>
              <w:top w:w="90" w:type="dxa"/>
              <w:left w:w="120" w:type="dxa"/>
              <w:bottom w:w="90" w:type="dxa"/>
              <w:right w:w="80" w:type="dxa"/>
            </w:tcMar>
          </w:tcPr>
          <w:p w14:paraId="12C2612F" w14:textId="77777777" w:rsidR="005E111D" w:rsidRDefault="00000000">
            <w:r>
              <w:rPr>
                <w:b/>
                <w:bCs/>
                <w:caps/>
                <w:color w:val="FFFFFF"/>
                <w:sz w:val="19"/>
                <w:szCs w:val="19"/>
              </w:rPr>
              <w:t>Strategic GaaS Message</w:t>
            </w:r>
          </w:p>
        </w:tc>
        <w:tc>
          <w:tcPr>
            <w:tcW w:w="2760" w:type="dxa"/>
            <w:tcBorders>
              <w:top w:val="single" w:sz="4" w:space="0" w:color="A98C5A"/>
              <w:left w:val="single" w:sz="4" w:space="0" w:color="A98C5A"/>
              <w:bottom w:val="single" w:sz="4" w:space="0" w:color="A98C5A"/>
              <w:right w:val="single" w:sz="4" w:space="0" w:color="A98C5A"/>
            </w:tcBorders>
            <w:shd w:val="clear" w:color="auto" w:fill="212529"/>
            <w:tcMar>
              <w:top w:w="90" w:type="dxa"/>
              <w:left w:w="120" w:type="dxa"/>
              <w:bottom w:w="90" w:type="dxa"/>
              <w:right w:w="80" w:type="dxa"/>
            </w:tcMar>
          </w:tcPr>
          <w:p w14:paraId="461713C0" w14:textId="77777777" w:rsidR="005E111D" w:rsidRDefault="00000000">
            <w:r>
              <w:rPr>
                <w:b/>
                <w:bCs/>
                <w:caps/>
                <w:color w:val="FFFFFF"/>
                <w:sz w:val="19"/>
                <w:szCs w:val="19"/>
              </w:rPr>
              <w:t>Adversarial Differentiator</w:t>
            </w:r>
          </w:p>
        </w:tc>
      </w:tr>
      <w:tr w:rsidR="005E111D" w14:paraId="07E39AE9" w14:textId="77777777">
        <w:tblPrEx>
          <w:tblCellMar>
            <w:top w:w="0" w:type="dxa"/>
            <w:bottom w:w="0" w:type="dxa"/>
          </w:tblCellMar>
        </w:tblPrEx>
        <w:tc>
          <w:tcPr>
            <w:tcW w:w="1800" w:type="dxa"/>
            <w:tcBorders>
              <w:top w:val="single" w:sz="4" w:space="0" w:color="E8E8E8"/>
              <w:left w:val="single" w:sz="4" w:space="0" w:color="E8E8E8"/>
              <w:bottom w:val="single" w:sz="4" w:space="0" w:color="E8E8E8"/>
              <w:right w:val="single" w:sz="4" w:space="0" w:color="E8E8E8"/>
            </w:tcBorders>
            <w:shd w:val="clear" w:color="auto" w:fill="F8F9FA"/>
            <w:tcMar>
              <w:top w:w="90" w:type="dxa"/>
              <w:left w:w="120" w:type="dxa"/>
              <w:bottom w:w="90" w:type="dxa"/>
              <w:right w:w="80" w:type="dxa"/>
            </w:tcMar>
          </w:tcPr>
          <w:p w14:paraId="67A1C243" w14:textId="77777777" w:rsidR="005E111D" w:rsidRDefault="00000000">
            <w:r>
              <w:rPr>
                <w:b/>
                <w:bCs/>
                <w:color w:val="212529"/>
                <w:sz w:val="19"/>
                <w:szCs w:val="19"/>
              </w:rPr>
              <w:t>FTSE 350 Board Chair / CFO</w:t>
            </w:r>
          </w:p>
        </w:tc>
        <w:tc>
          <w:tcPr>
            <w:tcW w:w="2400" w:type="dxa"/>
            <w:tcBorders>
              <w:top w:val="single" w:sz="4" w:space="0" w:color="E8E8E8"/>
              <w:left w:val="single" w:sz="4" w:space="0" w:color="E8E8E8"/>
              <w:bottom w:val="single" w:sz="4" w:space="0" w:color="E8E8E8"/>
              <w:right w:val="single" w:sz="4" w:space="0" w:color="E8E8E8"/>
            </w:tcBorders>
            <w:shd w:val="clear" w:color="auto" w:fill="F8F9FA"/>
            <w:tcMar>
              <w:top w:w="90" w:type="dxa"/>
              <w:left w:w="120" w:type="dxa"/>
              <w:bottom w:w="90" w:type="dxa"/>
              <w:right w:w="80" w:type="dxa"/>
            </w:tcMar>
          </w:tcPr>
          <w:p w14:paraId="43A67ED9" w14:textId="77777777" w:rsidR="005E111D" w:rsidRDefault="00000000">
            <w:r>
              <w:rPr>
                <w:color w:val="495057"/>
                <w:sz w:val="19"/>
                <w:szCs w:val="19"/>
              </w:rPr>
              <w:t>Regulatory scrutiny is increasing. Can we demonstrate governance maturity?</w:t>
            </w:r>
          </w:p>
        </w:tc>
        <w:tc>
          <w:tcPr>
            <w:tcW w:w="2400" w:type="dxa"/>
            <w:tcBorders>
              <w:top w:val="single" w:sz="4" w:space="0" w:color="E8E8E8"/>
              <w:left w:val="single" w:sz="4" w:space="0" w:color="E8E8E8"/>
              <w:bottom w:val="single" w:sz="4" w:space="0" w:color="E8E8E8"/>
              <w:right w:val="single" w:sz="4" w:space="0" w:color="E8E8E8"/>
            </w:tcBorders>
            <w:shd w:val="clear" w:color="auto" w:fill="F8F9FA"/>
            <w:tcMar>
              <w:top w:w="90" w:type="dxa"/>
              <w:left w:w="120" w:type="dxa"/>
              <w:bottom w:w="90" w:type="dxa"/>
              <w:right w:w="80" w:type="dxa"/>
            </w:tcMar>
          </w:tcPr>
          <w:p w14:paraId="655D23FF" w14:textId="77777777" w:rsidR="005E111D" w:rsidRDefault="00000000">
            <w:r>
              <w:rPr>
                <w:color w:val="495057"/>
                <w:sz w:val="19"/>
                <w:szCs w:val="19"/>
              </w:rPr>
              <w:t>A principal-level CRO embedded in your governance framework, continuously. Not a project team. Not a technology platform.</w:t>
            </w:r>
          </w:p>
        </w:tc>
        <w:tc>
          <w:tcPr>
            <w:tcW w:w="2760" w:type="dxa"/>
            <w:tcBorders>
              <w:top w:val="single" w:sz="4" w:space="0" w:color="E8E8E8"/>
              <w:left w:val="single" w:sz="4" w:space="0" w:color="E8E8E8"/>
              <w:bottom w:val="single" w:sz="4" w:space="0" w:color="E8E8E8"/>
              <w:right w:val="single" w:sz="4" w:space="0" w:color="E8E8E8"/>
            </w:tcBorders>
            <w:shd w:val="clear" w:color="auto" w:fill="F8F9FA"/>
            <w:tcMar>
              <w:top w:w="90" w:type="dxa"/>
              <w:left w:w="120" w:type="dxa"/>
              <w:bottom w:w="90" w:type="dxa"/>
              <w:right w:w="80" w:type="dxa"/>
            </w:tcMar>
          </w:tcPr>
          <w:p w14:paraId="413ACD52" w14:textId="77777777" w:rsidR="005E111D" w:rsidRDefault="00000000">
            <w:r>
              <w:rPr>
                <w:color w:val="495057"/>
                <w:sz w:val="19"/>
                <w:szCs w:val="19"/>
              </w:rPr>
              <w:t>We actively try to break your framework before the regulator does.</w:t>
            </w:r>
          </w:p>
        </w:tc>
      </w:tr>
      <w:tr w:rsidR="005E111D" w14:paraId="27582F36" w14:textId="77777777">
        <w:tblPrEx>
          <w:tblCellMar>
            <w:top w:w="0" w:type="dxa"/>
            <w:bottom w:w="0" w:type="dxa"/>
          </w:tblCellMar>
        </w:tblPrEx>
        <w:tc>
          <w:tcPr>
            <w:tcW w:w="1800" w:type="dxa"/>
            <w:tcBorders>
              <w:top w:val="single" w:sz="4" w:space="0" w:color="E8E8E8"/>
              <w:left w:val="single" w:sz="4" w:space="0" w:color="E8E8E8"/>
              <w:bottom w:val="single" w:sz="4" w:space="0" w:color="E8E8E8"/>
              <w:right w:val="single" w:sz="4" w:space="0" w:color="E8E8E8"/>
            </w:tcBorders>
            <w:shd w:val="clear" w:color="auto" w:fill="FFFFFF"/>
            <w:tcMar>
              <w:top w:w="90" w:type="dxa"/>
              <w:left w:w="120" w:type="dxa"/>
              <w:bottom w:w="90" w:type="dxa"/>
              <w:right w:w="80" w:type="dxa"/>
            </w:tcMar>
          </w:tcPr>
          <w:p w14:paraId="41BA8123" w14:textId="77777777" w:rsidR="005E111D" w:rsidRDefault="00000000">
            <w:r>
              <w:rPr>
                <w:b/>
                <w:bCs/>
                <w:color w:val="212529"/>
                <w:sz w:val="19"/>
                <w:szCs w:val="19"/>
              </w:rPr>
              <w:t>PE Sponsor (Pre-Exit)</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90" w:type="dxa"/>
              <w:left w:w="120" w:type="dxa"/>
              <w:bottom w:w="90" w:type="dxa"/>
              <w:right w:w="80" w:type="dxa"/>
            </w:tcMar>
          </w:tcPr>
          <w:p w14:paraId="2AF8E0CD" w14:textId="77777777" w:rsidR="005E111D" w:rsidRDefault="00000000">
            <w:r>
              <w:rPr>
                <w:color w:val="495057"/>
                <w:sz w:val="19"/>
                <w:szCs w:val="19"/>
              </w:rPr>
              <w:t>Governance gaps will cost us on exit multiple or extend the timeline.</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90" w:type="dxa"/>
              <w:left w:w="120" w:type="dxa"/>
              <w:bottom w:w="90" w:type="dxa"/>
              <w:right w:w="80" w:type="dxa"/>
            </w:tcMar>
          </w:tcPr>
          <w:p w14:paraId="28D4DE15" w14:textId="77777777" w:rsidR="005E111D" w:rsidRDefault="00000000">
            <w:r>
              <w:rPr>
                <w:color w:val="495057"/>
                <w:sz w:val="19"/>
                <w:szCs w:val="19"/>
              </w:rPr>
              <w:t>Exit-specific governance uplift with gain-sharing — we only win if you do.</w:t>
            </w:r>
          </w:p>
        </w:tc>
        <w:tc>
          <w:tcPr>
            <w:tcW w:w="2760" w:type="dxa"/>
            <w:tcBorders>
              <w:top w:val="single" w:sz="4" w:space="0" w:color="E8E8E8"/>
              <w:left w:val="single" w:sz="4" w:space="0" w:color="E8E8E8"/>
              <w:bottom w:val="single" w:sz="4" w:space="0" w:color="E8E8E8"/>
              <w:right w:val="single" w:sz="4" w:space="0" w:color="E8E8E8"/>
            </w:tcBorders>
            <w:shd w:val="clear" w:color="auto" w:fill="FFFFFF"/>
            <w:tcMar>
              <w:top w:w="90" w:type="dxa"/>
              <w:left w:w="120" w:type="dxa"/>
              <w:bottom w:w="90" w:type="dxa"/>
              <w:right w:w="80" w:type="dxa"/>
            </w:tcMar>
          </w:tcPr>
          <w:p w14:paraId="09589BA8" w14:textId="77777777" w:rsidR="005E111D" w:rsidRDefault="00000000">
            <w:r>
              <w:rPr>
                <w:color w:val="495057"/>
                <w:sz w:val="19"/>
                <w:szCs w:val="19"/>
              </w:rPr>
              <w:t>We run a buyer's due diligence before the buyer does. Then we fix what we find.</w:t>
            </w:r>
          </w:p>
        </w:tc>
      </w:tr>
      <w:tr w:rsidR="005E111D" w14:paraId="25ECC69F" w14:textId="77777777">
        <w:tblPrEx>
          <w:tblCellMar>
            <w:top w:w="0" w:type="dxa"/>
            <w:bottom w:w="0" w:type="dxa"/>
          </w:tblCellMar>
        </w:tblPrEx>
        <w:tc>
          <w:tcPr>
            <w:tcW w:w="1800" w:type="dxa"/>
            <w:tcBorders>
              <w:top w:val="single" w:sz="4" w:space="0" w:color="E8E8E8"/>
              <w:left w:val="single" w:sz="4" w:space="0" w:color="E8E8E8"/>
              <w:bottom w:val="single" w:sz="4" w:space="0" w:color="E8E8E8"/>
              <w:right w:val="single" w:sz="4" w:space="0" w:color="E8E8E8"/>
            </w:tcBorders>
            <w:shd w:val="clear" w:color="auto" w:fill="F8F9FA"/>
            <w:tcMar>
              <w:top w:w="90" w:type="dxa"/>
              <w:left w:w="120" w:type="dxa"/>
              <w:bottom w:w="90" w:type="dxa"/>
              <w:right w:w="80" w:type="dxa"/>
            </w:tcMar>
          </w:tcPr>
          <w:p w14:paraId="7D17E06A" w14:textId="77777777" w:rsidR="005E111D" w:rsidRDefault="00000000">
            <w:r>
              <w:rPr>
                <w:b/>
                <w:bCs/>
                <w:color w:val="212529"/>
                <w:sz w:val="19"/>
                <w:szCs w:val="19"/>
              </w:rPr>
              <w:t>Regulated Entity (Tier 3)</w:t>
            </w:r>
          </w:p>
        </w:tc>
        <w:tc>
          <w:tcPr>
            <w:tcW w:w="2400" w:type="dxa"/>
            <w:tcBorders>
              <w:top w:val="single" w:sz="4" w:space="0" w:color="E8E8E8"/>
              <w:left w:val="single" w:sz="4" w:space="0" w:color="E8E8E8"/>
              <w:bottom w:val="single" w:sz="4" w:space="0" w:color="E8E8E8"/>
              <w:right w:val="single" w:sz="4" w:space="0" w:color="E8E8E8"/>
            </w:tcBorders>
            <w:shd w:val="clear" w:color="auto" w:fill="F8F9FA"/>
            <w:tcMar>
              <w:top w:w="90" w:type="dxa"/>
              <w:left w:w="120" w:type="dxa"/>
              <w:bottom w:w="90" w:type="dxa"/>
              <w:right w:w="80" w:type="dxa"/>
            </w:tcMar>
          </w:tcPr>
          <w:p w14:paraId="18092C62" w14:textId="77777777" w:rsidR="005E111D" w:rsidRDefault="00000000">
            <w:r>
              <w:rPr>
                <w:color w:val="495057"/>
                <w:sz w:val="19"/>
                <w:szCs w:val="19"/>
              </w:rPr>
              <w:t>We need board-level risk oversight without the cost of a full-time CRO hire.</w:t>
            </w:r>
          </w:p>
        </w:tc>
        <w:tc>
          <w:tcPr>
            <w:tcW w:w="2400" w:type="dxa"/>
            <w:tcBorders>
              <w:top w:val="single" w:sz="4" w:space="0" w:color="E8E8E8"/>
              <w:left w:val="single" w:sz="4" w:space="0" w:color="E8E8E8"/>
              <w:bottom w:val="single" w:sz="4" w:space="0" w:color="E8E8E8"/>
              <w:right w:val="single" w:sz="4" w:space="0" w:color="E8E8E8"/>
            </w:tcBorders>
            <w:shd w:val="clear" w:color="auto" w:fill="F8F9FA"/>
            <w:tcMar>
              <w:top w:w="90" w:type="dxa"/>
              <w:left w:w="120" w:type="dxa"/>
              <w:bottom w:w="90" w:type="dxa"/>
              <w:right w:w="80" w:type="dxa"/>
            </w:tcMar>
          </w:tcPr>
          <w:p w14:paraId="32F87867" w14:textId="77777777" w:rsidR="005E111D" w:rsidRDefault="00000000">
            <w:r>
              <w:rPr>
                <w:color w:val="495057"/>
                <w:sz w:val="19"/>
                <w:szCs w:val="19"/>
              </w:rPr>
              <w:t>Fractional CRO at 40–60% of the full-time cost. Board-seated. Framework-owning.</w:t>
            </w:r>
          </w:p>
        </w:tc>
        <w:tc>
          <w:tcPr>
            <w:tcW w:w="2760" w:type="dxa"/>
            <w:tcBorders>
              <w:top w:val="single" w:sz="4" w:space="0" w:color="E8E8E8"/>
              <w:left w:val="single" w:sz="4" w:space="0" w:color="E8E8E8"/>
              <w:bottom w:val="single" w:sz="4" w:space="0" w:color="E8E8E8"/>
              <w:right w:val="single" w:sz="4" w:space="0" w:color="E8E8E8"/>
            </w:tcBorders>
            <w:shd w:val="clear" w:color="auto" w:fill="F8F9FA"/>
            <w:tcMar>
              <w:top w:w="90" w:type="dxa"/>
              <w:left w:w="120" w:type="dxa"/>
              <w:bottom w:w="90" w:type="dxa"/>
              <w:right w:w="80" w:type="dxa"/>
            </w:tcMar>
          </w:tcPr>
          <w:p w14:paraId="012FE83B" w14:textId="77777777" w:rsidR="005E111D" w:rsidRDefault="00000000">
            <w:r>
              <w:rPr>
                <w:color w:val="495057"/>
                <w:sz w:val="19"/>
                <w:szCs w:val="19"/>
              </w:rPr>
              <w:t>Our red team challenge replaces the external scrutiny that a weak governance function fails to anticipate.</w:t>
            </w:r>
          </w:p>
        </w:tc>
      </w:tr>
      <w:tr w:rsidR="005E111D" w14:paraId="409A1D3F" w14:textId="77777777">
        <w:tblPrEx>
          <w:tblCellMar>
            <w:top w:w="0" w:type="dxa"/>
            <w:bottom w:w="0" w:type="dxa"/>
          </w:tblCellMar>
        </w:tblPrEx>
        <w:tc>
          <w:tcPr>
            <w:tcW w:w="1800" w:type="dxa"/>
            <w:tcBorders>
              <w:top w:val="single" w:sz="4" w:space="0" w:color="E8E8E8"/>
              <w:left w:val="single" w:sz="4" w:space="0" w:color="E8E8E8"/>
              <w:bottom w:val="single" w:sz="4" w:space="0" w:color="E8E8E8"/>
              <w:right w:val="single" w:sz="4" w:space="0" w:color="E8E8E8"/>
            </w:tcBorders>
            <w:shd w:val="clear" w:color="auto" w:fill="FFFFFF"/>
            <w:tcMar>
              <w:top w:w="90" w:type="dxa"/>
              <w:left w:w="120" w:type="dxa"/>
              <w:bottom w:w="90" w:type="dxa"/>
              <w:right w:w="80" w:type="dxa"/>
            </w:tcMar>
          </w:tcPr>
          <w:p w14:paraId="078C9B88" w14:textId="77777777" w:rsidR="005E111D" w:rsidRDefault="00000000">
            <w:r>
              <w:rPr>
                <w:b/>
                <w:bCs/>
                <w:color w:val="212529"/>
                <w:sz w:val="19"/>
                <w:szCs w:val="19"/>
              </w:rPr>
              <w:t>CEO of Growth Company</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90" w:type="dxa"/>
              <w:left w:w="120" w:type="dxa"/>
              <w:bottom w:w="90" w:type="dxa"/>
              <w:right w:w="80" w:type="dxa"/>
            </w:tcMar>
          </w:tcPr>
          <w:p w14:paraId="38376040" w14:textId="77777777" w:rsidR="005E111D" w:rsidRDefault="00000000">
            <w:r>
              <w:rPr>
                <w:color w:val="495057"/>
                <w:sz w:val="19"/>
                <w:szCs w:val="19"/>
              </w:rPr>
              <w:t>We're moving fast. Our governance hasn't kept up.</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90" w:type="dxa"/>
              <w:left w:w="120" w:type="dxa"/>
              <w:bottom w:w="90" w:type="dxa"/>
              <w:right w:w="80" w:type="dxa"/>
            </w:tcMar>
          </w:tcPr>
          <w:p w14:paraId="3F743D0C" w14:textId="77777777" w:rsidR="005E111D" w:rsidRDefault="00000000">
            <w:r>
              <w:rPr>
                <w:color w:val="495057"/>
                <w:sz w:val="19"/>
                <w:szCs w:val="19"/>
              </w:rPr>
              <w:t>Retained advisory that scales with you. No lag, no catch-up projects.</w:t>
            </w:r>
          </w:p>
        </w:tc>
        <w:tc>
          <w:tcPr>
            <w:tcW w:w="2760" w:type="dxa"/>
            <w:tcBorders>
              <w:top w:val="single" w:sz="4" w:space="0" w:color="E8E8E8"/>
              <w:left w:val="single" w:sz="4" w:space="0" w:color="E8E8E8"/>
              <w:bottom w:val="single" w:sz="4" w:space="0" w:color="E8E8E8"/>
              <w:right w:val="single" w:sz="4" w:space="0" w:color="E8E8E8"/>
            </w:tcBorders>
            <w:shd w:val="clear" w:color="auto" w:fill="FFFFFF"/>
            <w:tcMar>
              <w:top w:w="90" w:type="dxa"/>
              <w:left w:w="120" w:type="dxa"/>
              <w:bottom w:w="90" w:type="dxa"/>
              <w:right w:w="80" w:type="dxa"/>
            </w:tcMar>
          </w:tcPr>
          <w:p w14:paraId="6956C395" w14:textId="77777777" w:rsidR="005E111D" w:rsidRDefault="00000000">
            <w:r>
              <w:rPr>
                <w:color w:val="495057"/>
                <w:sz w:val="19"/>
                <w:szCs w:val="19"/>
              </w:rPr>
              <w:t>We identify the governance failures that will surface in your next investment round before the investors do.</w:t>
            </w:r>
          </w:p>
        </w:tc>
      </w:tr>
    </w:tbl>
    <w:p w14:paraId="7360C5DC" w14:textId="77777777" w:rsidR="005E111D" w:rsidRDefault="005E111D">
      <w:pPr>
        <w:spacing w:before="200"/>
      </w:pPr>
    </w:p>
    <w:p w14:paraId="6293902A" w14:textId="77777777" w:rsidR="005E111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9"/>
        <w:gridCol w:w="8781"/>
      </w:tblGrid>
      <w:tr w:rsidR="005E111D" w14:paraId="2FDBC62D"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A98C5A"/>
            <w:tcMar>
              <w:top w:w="140" w:type="dxa"/>
              <w:left w:w="100" w:type="dxa"/>
              <w:bottom w:w="140" w:type="dxa"/>
              <w:right w:w="100" w:type="dxa"/>
            </w:tcMar>
            <w:vAlign w:val="center"/>
          </w:tcPr>
          <w:p w14:paraId="520E9637" w14:textId="77777777" w:rsidR="005E111D" w:rsidRDefault="00000000">
            <w:pPr>
              <w:jc w:val="center"/>
            </w:pPr>
            <w:r>
              <w:rPr>
                <w:rFonts w:ascii="Georgia" w:eastAsia="Georgia" w:hAnsi="Georgia" w:cs="Georgia"/>
                <w:b/>
                <w:bCs/>
                <w:color w:val="FFFFFF"/>
                <w:sz w:val="28"/>
                <w:szCs w:val="28"/>
              </w:rPr>
              <w:lastRenderedPageBreak/>
              <w:t>04</w:t>
            </w:r>
          </w:p>
        </w:tc>
        <w:tc>
          <w:tcPr>
            <w:tcW w:w="8800" w:type="dxa"/>
            <w:tcBorders>
              <w:top w:val="none" w:sz="0" w:space="0" w:color="FFFFFF"/>
              <w:left w:val="none" w:sz="0" w:space="0" w:color="FFFFFF"/>
              <w:bottom w:val="none" w:sz="0" w:space="0" w:color="FFFFFF"/>
              <w:right w:val="none" w:sz="0" w:space="0" w:color="FFFFFF"/>
            </w:tcBorders>
            <w:shd w:val="clear" w:color="auto" w:fill="212529"/>
            <w:tcMar>
              <w:top w:w="140" w:type="dxa"/>
              <w:left w:w="260" w:type="dxa"/>
              <w:bottom w:w="140" w:type="dxa"/>
              <w:right w:w="120" w:type="dxa"/>
            </w:tcMar>
            <w:vAlign w:val="center"/>
          </w:tcPr>
          <w:p w14:paraId="14A59898" w14:textId="77777777" w:rsidR="005E111D" w:rsidRDefault="00000000">
            <w:r>
              <w:rPr>
                <w:rFonts w:ascii="Georgia" w:eastAsia="Georgia" w:hAnsi="Georgia" w:cs="Georgia"/>
                <w:b/>
                <w:bCs/>
                <w:caps/>
                <w:color w:val="FFFFFF"/>
                <w:sz w:val="28"/>
                <w:szCs w:val="28"/>
              </w:rPr>
              <w:t>Service Architecture: Strategic GaaS Tiers with Adversarial Tools</w:t>
            </w:r>
          </w:p>
        </w:tc>
      </w:tr>
    </w:tbl>
    <w:p w14:paraId="1D4E86B7" w14:textId="77777777" w:rsidR="005E111D" w:rsidRDefault="005E111D">
      <w:pPr>
        <w:spacing w:before="160"/>
      </w:pPr>
    </w:p>
    <w:p w14:paraId="6892D034" w14:textId="77777777" w:rsidR="005E111D" w:rsidRDefault="00000000">
      <w:pPr>
        <w:spacing w:before="80" w:after="80"/>
      </w:pPr>
      <w:r>
        <w:rPr>
          <w:color w:val="495057"/>
          <w:sz w:val="24"/>
          <w:szCs w:val="24"/>
        </w:rPr>
        <w:t xml:space="preserve">Each Strategic </w:t>
      </w:r>
      <w:proofErr w:type="spellStart"/>
      <w:r>
        <w:rPr>
          <w:color w:val="495057"/>
          <w:sz w:val="24"/>
          <w:szCs w:val="24"/>
        </w:rPr>
        <w:t>GaaS</w:t>
      </w:r>
      <w:proofErr w:type="spellEnd"/>
      <w:r>
        <w:rPr>
          <w:color w:val="495057"/>
          <w:sz w:val="24"/>
          <w:szCs w:val="24"/>
        </w:rPr>
        <w:t xml:space="preserve"> tier is now defined by three components: the commercial model (what the client buys), the governance scope (what Marentis Labs provides), and the adversarial tools deployed (how Marentis Labs delivers it differently from any competitor). This three-part structure is the template for every service page on the website and every section of a proposal.</w:t>
      </w:r>
    </w:p>
    <w:p w14:paraId="634A3DCB" w14:textId="77777777" w:rsidR="005E111D" w:rsidRDefault="005E111D">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
        <w:gridCol w:w="7900"/>
        <w:gridCol w:w="994"/>
      </w:tblGrid>
      <w:tr w:rsidR="005E111D" w14:paraId="2A066404"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4A6572"/>
            <w:tcMar>
              <w:top w:w="120" w:type="dxa"/>
              <w:left w:w="80" w:type="dxa"/>
              <w:bottom w:w="120" w:type="dxa"/>
              <w:right w:w="80" w:type="dxa"/>
            </w:tcMar>
            <w:vAlign w:val="center"/>
          </w:tcPr>
          <w:p w14:paraId="32318BF5" w14:textId="77777777" w:rsidR="005E111D" w:rsidRDefault="00000000">
            <w:pPr>
              <w:jc w:val="center"/>
            </w:pPr>
            <w:r>
              <w:rPr>
                <w:rFonts w:ascii="Georgia" w:eastAsia="Georgia" w:hAnsi="Georgia" w:cs="Georgia"/>
                <w:b/>
                <w:bCs/>
                <w:color w:val="FFFFFF"/>
                <w:sz w:val="26"/>
                <w:szCs w:val="26"/>
              </w:rPr>
              <w:t>T1</w:t>
            </w:r>
          </w:p>
        </w:tc>
        <w:tc>
          <w:tcPr>
            <w:tcW w:w="8000" w:type="dxa"/>
            <w:tcBorders>
              <w:top w:val="none" w:sz="0" w:space="0" w:color="FFFFFF"/>
              <w:left w:val="none" w:sz="0" w:space="0" w:color="FFFFFF"/>
              <w:bottom w:val="none" w:sz="0" w:space="0" w:color="FFFFFF"/>
              <w:right w:val="none" w:sz="0" w:space="0" w:color="FFFFFF"/>
            </w:tcBorders>
            <w:shd w:val="clear" w:color="auto" w:fill="212529"/>
            <w:tcMar>
              <w:top w:w="120" w:type="dxa"/>
              <w:left w:w="220" w:type="dxa"/>
              <w:bottom w:w="120" w:type="dxa"/>
              <w:right w:w="120" w:type="dxa"/>
            </w:tcMar>
          </w:tcPr>
          <w:p w14:paraId="31D30F78" w14:textId="77777777" w:rsidR="005E111D" w:rsidRDefault="00000000">
            <w:r>
              <w:rPr>
                <w:rFonts w:ascii="Georgia" w:eastAsia="Georgia" w:hAnsi="Georgia" w:cs="Georgia"/>
                <w:b/>
                <w:bCs/>
                <w:color w:val="FFFFFF"/>
                <w:sz w:val="24"/>
                <w:szCs w:val="24"/>
              </w:rPr>
              <w:t xml:space="preserve">Diagnostic </w:t>
            </w:r>
            <w:proofErr w:type="spellStart"/>
            <w:r>
              <w:rPr>
                <w:rFonts w:ascii="Georgia" w:eastAsia="Georgia" w:hAnsi="Georgia" w:cs="Georgia"/>
                <w:b/>
                <w:bCs/>
                <w:color w:val="FFFFFF"/>
                <w:sz w:val="24"/>
                <w:szCs w:val="24"/>
              </w:rPr>
              <w:t>GaaS</w:t>
            </w:r>
            <w:proofErr w:type="spellEnd"/>
            <w:r>
              <w:rPr>
                <w:color w:val="888888"/>
              </w:rPr>
              <w:t xml:space="preserve">   |   </w:t>
            </w:r>
            <w:r>
              <w:rPr>
                <w:i/>
                <w:iCs/>
                <w:color w:val="A98C5A"/>
              </w:rPr>
              <w:t>Point-in-time governance health check</w:t>
            </w:r>
          </w:p>
        </w:tc>
        <w:tc>
          <w:tcPr>
            <w:tcW w:w="1000" w:type="dxa"/>
            <w:tcBorders>
              <w:top w:val="none" w:sz="0" w:space="0" w:color="FFFFFF"/>
              <w:left w:val="none" w:sz="0" w:space="0" w:color="FFFFFF"/>
              <w:bottom w:val="none" w:sz="0" w:space="0" w:color="FFFFFF"/>
              <w:right w:val="none" w:sz="0" w:space="0" w:color="FFFFFF"/>
            </w:tcBorders>
            <w:shd w:val="clear" w:color="auto" w:fill="212529"/>
            <w:tcMar>
              <w:top w:w="120" w:type="dxa"/>
              <w:left w:w="80" w:type="dxa"/>
              <w:bottom w:w="120" w:type="dxa"/>
              <w:right w:w="80" w:type="dxa"/>
            </w:tcMar>
            <w:vAlign w:val="center"/>
          </w:tcPr>
          <w:p w14:paraId="090543CA" w14:textId="77777777" w:rsidR="005E111D" w:rsidRDefault="00000000">
            <w:pPr>
              <w:jc w:val="right"/>
            </w:pPr>
            <w:r>
              <w:rPr>
                <w:b/>
                <w:bCs/>
                <w:color w:val="A98C5A"/>
                <w:sz w:val="18"/>
                <w:szCs w:val="18"/>
              </w:rPr>
              <w:t>£25k–£100k</w:t>
            </w:r>
          </w:p>
        </w:tc>
      </w:tr>
      <w:tr w:rsidR="005E111D" w14:paraId="1ED5C183" w14:textId="77777777">
        <w:tblPrEx>
          <w:tblCellMar>
            <w:top w:w="0" w:type="dxa"/>
            <w:bottom w:w="0" w:type="dxa"/>
          </w:tblCellMar>
        </w:tblPrEx>
        <w:tc>
          <w:tcPr>
            <w:tcW w:w="9360" w:type="dxa"/>
            <w:gridSpan w:val="3"/>
            <w:tcBorders>
              <w:top w:val="none" w:sz="0" w:space="0" w:color="FFFFFF"/>
              <w:left w:val="none" w:sz="0" w:space="0" w:color="FFFFFF"/>
              <w:bottom w:val="single" w:sz="4" w:space="0" w:color="4A6572"/>
              <w:right w:val="none" w:sz="0" w:space="0" w:color="FFFFFF"/>
            </w:tcBorders>
            <w:shd w:val="clear" w:color="auto" w:fill="F8F9FA"/>
            <w:tcMar>
              <w:top w:w="120" w:type="dxa"/>
              <w:left w:w="220" w:type="dxa"/>
              <w:bottom w:w="120" w:type="dxa"/>
              <w:right w:w="200" w:type="dxa"/>
            </w:tcMar>
          </w:tcPr>
          <w:p w14:paraId="5237B9CE" w14:textId="77777777" w:rsidR="005E111D" w:rsidRDefault="00000000">
            <w:r>
              <w:rPr>
                <w:color w:val="495057"/>
                <w:sz w:val="21"/>
                <w:szCs w:val="21"/>
              </w:rPr>
              <w:t xml:space="preserve">A structured, time-bounded assessment of the client's governance and risk maturity. The entry point to the Strategic </w:t>
            </w:r>
            <w:proofErr w:type="spellStart"/>
            <w:r>
              <w:rPr>
                <w:color w:val="495057"/>
                <w:sz w:val="21"/>
                <w:szCs w:val="21"/>
              </w:rPr>
              <w:t>GaaS</w:t>
            </w:r>
            <w:proofErr w:type="spellEnd"/>
            <w:r>
              <w:rPr>
                <w:color w:val="495057"/>
                <w:sz w:val="21"/>
                <w:szCs w:val="21"/>
              </w:rPr>
              <w:t xml:space="preserve"> model. Designed to surface the gaps that retained engagement will address, with sufficient rigour to be credible as a standalone deliverable to a board.</w:t>
            </w:r>
          </w:p>
          <w:p w14:paraId="3EDFF132" w14:textId="77777777" w:rsidR="005E111D" w:rsidRDefault="005E111D">
            <w:pPr>
              <w:spacing w:before="80"/>
            </w:pPr>
          </w:p>
          <w:p w14:paraId="3034F171" w14:textId="77777777" w:rsidR="005E111D" w:rsidRDefault="00000000">
            <w:r>
              <w:rPr>
                <w:b/>
                <w:bCs/>
                <w:color w:val="212529"/>
                <w:sz w:val="20"/>
                <w:szCs w:val="20"/>
              </w:rPr>
              <w:t xml:space="preserve">Adversarial tools deployed: </w:t>
            </w:r>
            <w:r>
              <w:rPr>
                <w:color w:val="495057"/>
                <w:sz w:val="20"/>
                <w:szCs w:val="20"/>
              </w:rPr>
              <w:t>Pre-Mortem Diagnostic applied to governance assumptions; initial Red Team Review of risk framework design; Governance Maturity Assessment benchmarked against peer cohort.</w:t>
            </w:r>
          </w:p>
          <w:p w14:paraId="7A1F5390" w14:textId="77777777" w:rsidR="005E111D" w:rsidRDefault="00000000">
            <w:r>
              <w:rPr>
                <w:b/>
                <w:bCs/>
                <w:color w:val="212529"/>
                <w:sz w:val="20"/>
                <w:szCs w:val="20"/>
              </w:rPr>
              <w:t xml:space="preserve">Typical duration: </w:t>
            </w:r>
            <w:r>
              <w:rPr>
                <w:color w:val="495057"/>
                <w:sz w:val="20"/>
                <w:szCs w:val="20"/>
              </w:rPr>
              <w:t>2–4 weeks, fixed scope</w:t>
            </w:r>
          </w:p>
        </w:tc>
      </w:tr>
    </w:tbl>
    <w:p w14:paraId="096D7E5C" w14:textId="77777777" w:rsidR="005E111D" w:rsidRDefault="005E111D">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1"/>
        <w:gridCol w:w="7762"/>
        <w:gridCol w:w="1097"/>
      </w:tblGrid>
      <w:tr w:rsidR="005E111D" w14:paraId="7D3D3E17"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A98C5A"/>
            <w:tcMar>
              <w:top w:w="120" w:type="dxa"/>
              <w:left w:w="80" w:type="dxa"/>
              <w:bottom w:w="120" w:type="dxa"/>
              <w:right w:w="80" w:type="dxa"/>
            </w:tcMar>
            <w:vAlign w:val="center"/>
          </w:tcPr>
          <w:p w14:paraId="489532A3" w14:textId="77777777" w:rsidR="005E111D" w:rsidRDefault="00000000">
            <w:pPr>
              <w:jc w:val="center"/>
            </w:pPr>
            <w:r>
              <w:rPr>
                <w:rFonts w:ascii="Georgia" w:eastAsia="Georgia" w:hAnsi="Georgia" w:cs="Georgia"/>
                <w:b/>
                <w:bCs/>
                <w:color w:val="FFFFFF"/>
                <w:sz w:val="26"/>
                <w:szCs w:val="26"/>
              </w:rPr>
              <w:t>T2</w:t>
            </w:r>
          </w:p>
        </w:tc>
        <w:tc>
          <w:tcPr>
            <w:tcW w:w="8000" w:type="dxa"/>
            <w:tcBorders>
              <w:top w:val="none" w:sz="0" w:space="0" w:color="FFFFFF"/>
              <w:left w:val="none" w:sz="0" w:space="0" w:color="FFFFFF"/>
              <w:bottom w:val="none" w:sz="0" w:space="0" w:color="FFFFFF"/>
              <w:right w:val="none" w:sz="0" w:space="0" w:color="FFFFFF"/>
            </w:tcBorders>
            <w:shd w:val="clear" w:color="auto" w:fill="212529"/>
            <w:tcMar>
              <w:top w:w="120" w:type="dxa"/>
              <w:left w:w="220" w:type="dxa"/>
              <w:bottom w:w="120" w:type="dxa"/>
              <w:right w:w="120" w:type="dxa"/>
            </w:tcMar>
          </w:tcPr>
          <w:p w14:paraId="1EC47F4B" w14:textId="77777777" w:rsidR="005E111D" w:rsidRDefault="00000000">
            <w:r>
              <w:rPr>
                <w:rFonts w:ascii="Georgia" w:eastAsia="Georgia" w:hAnsi="Georgia" w:cs="Georgia"/>
                <w:b/>
                <w:bCs/>
                <w:color w:val="FFFFFF"/>
                <w:sz w:val="24"/>
                <w:szCs w:val="24"/>
              </w:rPr>
              <w:t xml:space="preserve">Retained </w:t>
            </w:r>
            <w:proofErr w:type="spellStart"/>
            <w:r>
              <w:rPr>
                <w:rFonts w:ascii="Georgia" w:eastAsia="Georgia" w:hAnsi="Georgia" w:cs="Georgia"/>
                <w:b/>
                <w:bCs/>
                <w:color w:val="FFFFFF"/>
                <w:sz w:val="24"/>
                <w:szCs w:val="24"/>
              </w:rPr>
              <w:t>GaaS</w:t>
            </w:r>
            <w:proofErr w:type="spellEnd"/>
            <w:r>
              <w:rPr>
                <w:color w:val="888888"/>
              </w:rPr>
              <w:t xml:space="preserve">   |   </w:t>
            </w:r>
            <w:r>
              <w:rPr>
                <w:i/>
                <w:iCs/>
                <w:color w:val="A98C5A"/>
              </w:rPr>
              <w:t>Continuous fractional CRO service</w:t>
            </w:r>
          </w:p>
        </w:tc>
        <w:tc>
          <w:tcPr>
            <w:tcW w:w="1000" w:type="dxa"/>
            <w:tcBorders>
              <w:top w:val="none" w:sz="0" w:space="0" w:color="FFFFFF"/>
              <w:left w:val="none" w:sz="0" w:space="0" w:color="FFFFFF"/>
              <w:bottom w:val="none" w:sz="0" w:space="0" w:color="FFFFFF"/>
              <w:right w:val="none" w:sz="0" w:space="0" w:color="FFFFFF"/>
            </w:tcBorders>
            <w:shd w:val="clear" w:color="auto" w:fill="212529"/>
            <w:tcMar>
              <w:top w:w="120" w:type="dxa"/>
              <w:left w:w="80" w:type="dxa"/>
              <w:bottom w:w="120" w:type="dxa"/>
              <w:right w:w="80" w:type="dxa"/>
            </w:tcMar>
            <w:vAlign w:val="center"/>
          </w:tcPr>
          <w:p w14:paraId="73541F2F" w14:textId="77777777" w:rsidR="005E111D" w:rsidRDefault="00000000">
            <w:pPr>
              <w:jc w:val="right"/>
            </w:pPr>
            <w:r>
              <w:rPr>
                <w:b/>
                <w:bCs/>
                <w:color w:val="A98C5A"/>
                <w:sz w:val="18"/>
                <w:szCs w:val="18"/>
              </w:rPr>
              <w:t>£8k–£25k/month</w:t>
            </w:r>
          </w:p>
        </w:tc>
      </w:tr>
      <w:tr w:rsidR="005E111D" w14:paraId="03804485" w14:textId="77777777">
        <w:tblPrEx>
          <w:tblCellMar>
            <w:top w:w="0" w:type="dxa"/>
            <w:bottom w:w="0" w:type="dxa"/>
          </w:tblCellMar>
        </w:tblPrEx>
        <w:tc>
          <w:tcPr>
            <w:tcW w:w="9360" w:type="dxa"/>
            <w:gridSpan w:val="3"/>
            <w:tcBorders>
              <w:top w:val="none" w:sz="0" w:space="0" w:color="FFFFFF"/>
              <w:left w:val="none" w:sz="0" w:space="0" w:color="FFFFFF"/>
              <w:bottom w:val="single" w:sz="4" w:space="0" w:color="A98C5A"/>
              <w:right w:val="none" w:sz="0" w:space="0" w:color="FFFFFF"/>
            </w:tcBorders>
            <w:shd w:val="clear" w:color="auto" w:fill="F8F9FA"/>
            <w:tcMar>
              <w:top w:w="120" w:type="dxa"/>
              <w:left w:w="220" w:type="dxa"/>
              <w:bottom w:w="120" w:type="dxa"/>
              <w:right w:w="200" w:type="dxa"/>
            </w:tcMar>
          </w:tcPr>
          <w:p w14:paraId="3183E77A" w14:textId="77777777" w:rsidR="005E111D" w:rsidRDefault="00000000">
            <w:r>
              <w:rPr>
                <w:color w:val="495057"/>
                <w:sz w:val="21"/>
                <w:szCs w:val="21"/>
              </w:rPr>
              <w:t>An ongoing principal-level advisory relationship. Owen provides 15–30 hours per month of governance counsel, regulatory intelligence, and strategic risk oversight. The client gains continuous access to board-level CRO expertise without the cost or inflexibility of a full-time hire. This is the primary revenue engine of the firm.</w:t>
            </w:r>
          </w:p>
          <w:p w14:paraId="2C53F52F" w14:textId="77777777" w:rsidR="005E111D" w:rsidRDefault="005E111D">
            <w:pPr>
              <w:spacing w:before="80"/>
            </w:pPr>
          </w:p>
          <w:p w14:paraId="2BF1D8F4" w14:textId="77777777" w:rsidR="005E111D" w:rsidRDefault="00000000">
            <w:r>
              <w:rPr>
                <w:b/>
                <w:bCs/>
                <w:color w:val="212529"/>
                <w:sz w:val="20"/>
                <w:szCs w:val="20"/>
              </w:rPr>
              <w:t xml:space="preserve">Adversarial tools deployed: </w:t>
            </w:r>
            <w:r>
              <w:rPr>
                <w:color w:val="495057"/>
                <w:sz w:val="20"/>
                <w:szCs w:val="20"/>
              </w:rPr>
              <w:t>Monthly governance pulse review with adversarial framing; quarterly challenge session using Red Team Protocol™; annual full Red Team Review of governance framework; on-call challenge function for major board decisions.</w:t>
            </w:r>
          </w:p>
          <w:p w14:paraId="781CCA0D" w14:textId="77777777" w:rsidR="005E111D" w:rsidRDefault="00000000">
            <w:r>
              <w:rPr>
                <w:b/>
                <w:bCs/>
                <w:color w:val="212529"/>
                <w:sz w:val="20"/>
                <w:szCs w:val="20"/>
              </w:rPr>
              <w:t xml:space="preserve">Typical duration: </w:t>
            </w:r>
            <w:r>
              <w:rPr>
                <w:color w:val="495057"/>
                <w:sz w:val="20"/>
                <w:szCs w:val="20"/>
              </w:rPr>
              <w:t>12+ months, renewable</w:t>
            </w:r>
          </w:p>
        </w:tc>
      </w:tr>
    </w:tbl>
    <w:p w14:paraId="6AD15617" w14:textId="77777777" w:rsidR="005E111D" w:rsidRDefault="005E111D">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1"/>
        <w:gridCol w:w="7762"/>
        <w:gridCol w:w="1097"/>
      </w:tblGrid>
      <w:tr w:rsidR="005E111D" w14:paraId="2CB317A2"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2E5266"/>
            <w:tcMar>
              <w:top w:w="120" w:type="dxa"/>
              <w:left w:w="80" w:type="dxa"/>
              <w:bottom w:w="120" w:type="dxa"/>
              <w:right w:w="80" w:type="dxa"/>
            </w:tcMar>
            <w:vAlign w:val="center"/>
          </w:tcPr>
          <w:p w14:paraId="7BE09DE6" w14:textId="77777777" w:rsidR="005E111D" w:rsidRDefault="00000000">
            <w:pPr>
              <w:jc w:val="center"/>
            </w:pPr>
            <w:r>
              <w:rPr>
                <w:rFonts w:ascii="Georgia" w:eastAsia="Georgia" w:hAnsi="Georgia" w:cs="Georgia"/>
                <w:b/>
                <w:bCs/>
                <w:color w:val="FFFFFF"/>
                <w:sz w:val="26"/>
                <w:szCs w:val="26"/>
              </w:rPr>
              <w:t>T3</w:t>
            </w:r>
          </w:p>
        </w:tc>
        <w:tc>
          <w:tcPr>
            <w:tcW w:w="8000" w:type="dxa"/>
            <w:tcBorders>
              <w:top w:val="none" w:sz="0" w:space="0" w:color="FFFFFF"/>
              <w:left w:val="none" w:sz="0" w:space="0" w:color="FFFFFF"/>
              <w:bottom w:val="none" w:sz="0" w:space="0" w:color="FFFFFF"/>
              <w:right w:val="none" w:sz="0" w:space="0" w:color="FFFFFF"/>
            </w:tcBorders>
            <w:shd w:val="clear" w:color="auto" w:fill="212529"/>
            <w:tcMar>
              <w:top w:w="120" w:type="dxa"/>
              <w:left w:w="220" w:type="dxa"/>
              <w:bottom w:w="120" w:type="dxa"/>
              <w:right w:w="120" w:type="dxa"/>
            </w:tcMar>
          </w:tcPr>
          <w:p w14:paraId="73166FF8" w14:textId="77777777" w:rsidR="005E111D" w:rsidRDefault="00000000">
            <w:r>
              <w:rPr>
                <w:rFonts w:ascii="Georgia" w:eastAsia="Georgia" w:hAnsi="Georgia" w:cs="Georgia"/>
                <w:b/>
                <w:bCs/>
                <w:color w:val="FFFFFF"/>
                <w:sz w:val="24"/>
                <w:szCs w:val="24"/>
              </w:rPr>
              <w:t xml:space="preserve">Embedded </w:t>
            </w:r>
            <w:proofErr w:type="spellStart"/>
            <w:r>
              <w:rPr>
                <w:rFonts w:ascii="Georgia" w:eastAsia="Georgia" w:hAnsi="Georgia" w:cs="Georgia"/>
                <w:b/>
                <w:bCs/>
                <w:color w:val="FFFFFF"/>
                <w:sz w:val="24"/>
                <w:szCs w:val="24"/>
              </w:rPr>
              <w:t>GaaS</w:t>
            </w:r>
            <w:proofErr w:type="spellEnd"/>
            <w:r>
              <w:rPr>
                <w:color w:val="888888"/>
              </w:rPr>
              <w:t xml:space="preserve">   |   </w:t>
            </w:r>
            <w:r>
              <w:rPr>
                <w:i/>
                <w:iCs/>
                <w:color w:val="A98C5A"/>
              </w:rPr>
              <w:t>Principal-level governance ownership</w:t>
            </w:r>
          </w:p>
        </w:tc>
        <w:tc>
          <w:tcPr>
            <w:tcW w:w="1000" w:type="dxa"/>
            <w:tcBorders>
              <w:top w:val="none" w:sz="0" w:space="0" w:color="FFFFFF"/>
              <w:left w:val="none" w:sz="0" w:space="0" w:color="FFFFFF"/>
              <w:bottom w:val="none" w:sz="0" w:space="0" w:color="FFFFFF"/>
              <w:right w:val="none" w:sz="0" w:space="0" w:color="FFFFFF"/>
            </w:tcBorders>
            <w:shd w:val="clear" w:color="auto" w:fill="212529"/>
            <w:tcMar>
              <w:top w:w="120" w:type="dxa"/>
              <w:left w:w="80" w:type="dxa"/>
              <w:bottom w:w="120" w:type="dxa"/>
              <w:right w:w="80" w:type="dxa"/>
            </w:tcMar>
            <w:vAlign w:val="center"/>
          </w:tcPr>
          <w:p w14:paraId="3ED28131" w14:textId="77777777" w:rsidR="005E111D" w:rsidRDefault="00000000">
            <w:pPr>
              <w:jc w:val="right"/>
            </w:pPr>
            <w:r>
              <w:rPr>
                <w:b/>
                <w:bCs/>
                <w:color w:val="A98C5A"/>
                <w:sz w:val="18"/>
                <w:szCs w:val="18"/>
              </w:rPr>
              <w:t>£25k–£40k/month</w:t>
            </w:r>
          </w:p>
        </w:tc>
      </w:tr>
      <w:tr w:rsidR="005E111D" w14:paraId="3391995E" w14:textId="77777777">
        <w:tblPrEx>
          <w:tblCellMar>
            <w:top w:w="0" w:type="dxa"/>
            <w:bottom w:w="0" w:type="dxa"/>
          </w:tblCellMar>
        </w:tblPrEx>
        <w:tc>
          <w:tcPr>
            <w:tcW w:w="9360" w:type="dxa"/>
            <w:gridSpan w:val="3"/>
            <w:tcBorders>
              <w:top w:val="none" w:sz="0" w:space="0" w:color="FFFFFF"/>
              <w:left w:val="none" w:sz="0" w:space="0" w:color="FFFFFF"/>
              <w:bottom w:val="single" w:sz="4" w:space="0" w:color="2E5266"/>
              <w:right w:val="none" w:sz="0" w:space="0" w:color="FFFFFF"/>
            </w:tcBorders>
            <w:shd w:val="clear" w:color="auto" w:fill="F8F9FA"/>
            <w:tcMar>
              <w:top w:w="120" w:type="dxa"/>
              <w:left w:w="220" w:type="dxa"/>
              <w:bottom w:w="120" w:type="dxa"/>
              <w:right w:w="200" w:type="dxa"/>
            </w:tcMar>
          </w:tcPr>
          <w:p w14:paraId="6D9E6BBA" w14:textId="77777777" w:rsidR="005E111D" w:rsidRDefault="00000000">
            <w:r>
              <w:rPr>
                <w:color w:val="495057"/>
                <w:sz w:val="21"/>
                <w:szCs w:val="21"/>
              </w:rPr>
              <w:t>The deepest engagement model. Owen takes a named governance role — board seat, risk committee chair, or equivalent — and acts as the client's permanent internal challenge function. Governance framework design, regulatory liaison, and continuous risk oversight are all delivered directly by the founding principal.</w:t>
            </w:r>
          </w:p>
          <w:p w14:paraId="7197C284" w14:textId="77777777" w:rsidR="005E111D" w:rsidRDefault="005E111D">
            <w:pPr>
              <w:spacing w:before="80"/>
            </w:pPr>
          </w:p>
          <w:p w14:paraId="660E3D35" w14:textId="77777777" w:rsidR="005E111D" w:rsidRDefault="00000000">
            <w:r>
              <w:rPr>
                <w:b/>
                <w:bCs/>
                <w:color w:val="212529"/>
                <w:sz w:val="20"/>
                <w:szCs w:val="20"/>
              </w:rPr>
              <w:t xml:space="preserve">Adversarial tools deployed: </w:t>
            </w:r>
            <w:r>
              <w:rPr>
                <w:color w:val="495057"/>
                <w:sz w:val="20"/>
                <w:szCs w:val="20"/>
              </w:rPr>
              <w:t xml:space="preserve">Full Red Team Protocol™ applied quarterly; bespoke Risk Simulation Lab engagement for major strategic decisions; continuous </w:t>
            </w:r>
            <w:proofErr w:type="gramStart"/>
            <w:r>
              <w:rPr>
                <w:color w:val="495057"/>
                <w:sz w:val="20"/>
                <w:szCs w:val="20"/>
              </w:rPr>
              <w:t>Pre-Mortem</w:t>
            </w:r>
            <w:proofErr w:type="gramEnd"/>
            <w:r>
              <w:rPr>
                <w:color w:val="495057"/>
                <w:sz w:val="20"/>
                <w:szCs w:val="20"/>
              </w:rPr>
              <w:t xml:space="preserve"> framing of board decisions before commitment; regulatory red team ahead of examinations.</w:t>
            </w:r>
          </w:p>
          <w:p w14:paraId="4B4F12D0" w14:textId="77777777" w:rsidR="005E111D" w:rsidRDefault="00000000">
            <w:r>
              <w:rPr>
                <w:b/>
                <w:bCs/>
                <w:color w:val="212529"/>
                <w:sz w:val="20"/>
                <w:szCs w:val="20"/>
              </w:rPr>
              <w:t xml:space="preserve">Typical duration: </w:t>
            </w:r>
            <w:r>
              <w:rPr>
                <w:color w:val="495057"/>
                <w:sz w:val="20"/>
                <w:szCs w:val="20"/>
              </w:rPr>
              <w:t>12–18 months typical</w:t>
            </w:r>
          </w:p>
        </w:tc>
      </w:tr>
    </w:tbl>
    <w:p w14:paraId="73B582E3" w14:textId="77777777" w:rsidR="005E111D" w:rsidRDefault="005E111D">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7"/>
        <w:gridCol w:w="7861"/>
        <w:gridCol w:w="992"/>
      </w:tblGrid>
      <w:tr w:rsidR="005E111D" w14:paraId="191CF1B3"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212529"/>
            <w:tcMar>
              <w:top w:w="120" w:type="dxa"/>
              <w:left w:w="80" w:type="dxa"/>
              <w:bottom w:w="120" w:type="dxa"/>
              <w:right w:w="80" w:type="dxa"/>
            </w:tcMar>
            <w:vAlign w:val="center"/>
          </w:tcPr>
          <w:p w14:paraId="156B3335" w14:textId="77777777" w:rsidR="005E111D" w:rsidRDefault="00000000">
            <w:pPr>
              <w:jc w:val="center"/>
            </w:pPr>
            <w:r>
              <w:rPr>
                <w:rFonts w:ascii="Georgia" w:eastAsia="Georgia" w:hAnsi="Georgia" w:cs="Georgia"/>
                <w:b/>
                <w:bCs/>
                <w:color w:val="FFFFFF"/>
                <w:sz w:val="26"/>
                <w:szCs w:val="26"/>
              </w:rPr>
              <w:lastRenderedPageBreak/>
              <w:t>T4</w:t>
            </w:r>
          </w:p>
        </w:tc>
        <w:tc>
          <w:tcPr>
            <w:tcW w:w="8000" w:type="dxa"/>
            <w:tcBorders>
              <w:top w:val="none" w:sz="0" w:space="0" w:color="FFFFFF"/>
              <w:left w:val="none" w:sz="0" w:space="0" w:color="FFFFFF"/>
              <w:bottom w:val="none" w:sz="0" w:space="0" w:color="FFFFFF"/>
              <w:right w:val="none" w:sz="0" w:space="0" w:color="FFFFFF"/>
            </w:tcBorders>
            <w:shd w:val="clear" w:color="auto" w:fill="212529"/>
            <w:tcMar>
              <w:top w:w="120" w:type="dxa"/>
              <w:left w:w="220" w:type="dxa"/>
              <w:bottom w:w="120" w:type="dxa"/>
              <w:right w:w="120" w:type="dxa"/>
            </w:tcMar>
          </w:tcPr>
          <w:p w14:paraId="4C982BBB" w14:textId="77777777" w:rsidR="005E111D" w:rsidRDefault="00000000">
            <w:r>
              <w:rPr>
                <w:rFonts w:ascii="Georgia" w:eastAsia="Georgia" w:hAnsi="Georgia" w:cs="Georgia"/>
                <w:b/>
                <w:bCs/>
                <w:color w:val="FFFFFF"/>
                <w:sz w:val="24"/>
                <w:szCs w:val="24"/>
              </w:rPr>
              <w:t xml:space="preserve">Pre-Exit </w:t>
            </w:r>
            <w:proofErr w:type="spellStart"/>
            <w:r>
              <w:rPr>
                <w:rFonts w:ascii="Georgia" w:eastAsia="Georgia" w:hAnsi="Georgia" w:cs="Georgia"/>
                <w:b/>
                <w:bCs/>
                <w:color w:val="FFFFFF"/>
                <w:sz w:val="24"/>
                <w:szCs w:val="24"/>
              </w:rPr>
              <w:t>GaaS</w:t>
            </w:r>
            <w:proofErr w:type="spellEnd"/>
            <w:r>
              <w:rPr>
                <w:color w:val="888888"/>
              </w:rPr>
              <w:t xml:space="preserve">   |   </w:t>
            </w:r>
            <w:r>
              <w:rPr>
                <w:i/>
                <w:iCs/>
                <w:color w:val="A98C5A"/>
              </w:rPr>
              <w:t>Exit-aligned governance preparation</w:t>
            </w:r>
          </w:p>
        </w:tc>
        <w:tc>
          <w:tcPr>
            <w:tcW w:w="1000" w:type="dxa"/>
            <w:tcBorders>
              <w:top w:val="none" w:sz="0" w:space="0" w:color="FFFFFF"/>
              <w:left w:val="none" w:sz="0" w:space="0" w:color="FFFFFF"/>
              <w:bottom w:val="none" w:sz="0" w:space="0" w:color="FFFFFF"/>
              <w:right w:val="none" w:sz="0" w:space="0" w:color="FFFFFF"/>
            </w:tcBorders>
            <w:shd w:val="clear" w:color="auto" w:fill="212529"/>
            <w:tcMar>
              <w:top w:w="120" w:type="dxa"/>
              <w:left w:w="80" w:type="dxa"/>
              <w:bottom w:w="120" w:type="dxa"/>
              <w:right w:w="80" w:type="dxa"/>
            </w:tcMar>
            <w:vAlign w:val="center"/>
          </w:tcPr>
          <w:p w14:paraId="04D2769C" w14:textId="77777777" w:rsidR="005E111D" w:rsidRDefault="00000000">
            <w:pPr>
              <w:jc w:val="right"/>
            </w:pPr>
            <w:r>
              <w:rPr>
                <w:b/>
                <w:bCs/>
                <w:color w:val="A98C5A"/>
                <w:sz w:val="18"/>
                <w:szCs w:val="18"/>
              </w:rPr>
              <w:t>£20k–£50k base + gain-share</w:t>
            </w:r>
          </w:p>
        </w:tc>
      </w:tr>
      <w:tr w:rsidR="005E111D" w14:paraId="686A78BE" w14:textId="77777777">
        <w:tblPrEx>
          <w:tblCellMar>
            <w:top w:w="0" w:type="dxa"/>
            <w:bottom w:w="0" w:type="dxa"/>
          </w:tblCellMar>
        </w:tblPrEx>
        <w:tc>
          <w:tcPr>
            <w:tcW w:w="9360" w:type="dxa"/>
            <w:gridSpan w:val="3"/>
            <w:tcBorders>
              <w:top w:val="none" w:sz="0" w:space="0" w:color="FFFFFF"/>
              <w:left w:val="none" w:sz="0" w:space="0" w:color="FFFFFF"/>
              <w:bottom w:val="single" w:sz="4" w:space="0" w:color="212529"/>
              <w:right w:val="none" w:sz="0" w:space="0" w:color="FFFFFF"/>
            </w:tcBorders>
            <w:shd w:val="clear" w:color="auto" w:fill="F8F9FA"/>
            <w:tcMar>
              <w:top w:w="120" w:type="dxa"/>
              <w:left w:w="220" w:type="dxa"/>
              <w:bottom w:w="120" w:type="dxa"/>
              <w:right w:w="200" w:type="dxa"/>
            </w:tcMar>
          </w:tcPr>
          <w:p w14:paraId="06712E42" w14:textId="77777777" w:rsidR="005E111D" w:rsidRDefault="00000000">
            <w:r>
              <w:rPr>
                <w:color w:val="495057"/>
                <w:sz w:val="21"/>
                <w:szCs w:val="21"/>
              </w:rPr>
              <w:t xml:space="preserve">Specialised governance uplift for PE portfolio companies within 12–18 months of planned exit. Structured in four phases (Diagnostic, Framework Design, Implementation, Buyer Preparation), with optional </w:t>
            </w:r>
            <w:proofErr w:type="gramStart"/>
            <w:r>
              <w:rPr>
                <w:color w:val="495057"/>
                <w:sz w:val="21"/>
                <w:szCs w:val="21"/>
              </w:rPr>
              <w:t>gain-sharing</w:t>
            </w:r>
            <w:proofErr w:type="gramEnd"/>
            <w:r>
              <w:rPr>
                <w:color w:val="495057"/>
                <w:sz w:val="21"/>
                <w:szCs w:val="21"/>
              </w:rPr>
              <w:t xml:space="preserve"> on exit value uplift. Designed to make governance a positive exit narrative rather than a diligence liability.</w:t>
            </w:r>
          </w:p>
          <w:p w14:paraId="3F083F5E" w14:textId="77777777" w:rsidR="005E111D" w:rsidRDefault="005E111D">
            <w:pPr>
              <w:spacing w:before="80"/>
            </w:pPr>
          </w:p>
          <w:p w14:paraId="3A73C520" w14:textId="77777777" w:rsidR="005E111D" w:rsidRDefault="00000000">
            <w:r>
              <w:rPr>
                <w:b/>
                <w:bCs/>
                <w:color w:val="212529"/>
                <w:sz w:val="20"/>
                <w:szCs w:val="20"/>
              </w:rPr>
              <w:t xml:space="preserve">Adversarial tools deployed: </w:t>
            </w:r>
            <w:r>
              <w:rPr>
                <w:color w:val="495057"/>
                <w:sz w:val="20"/>
                <w:szCs w:val="20"/>
              </w:rPr>
              <w:t xml:space="preserve">Buyer-perspective Red Team on governance framework; Risk Simulation Lab for exit scenario stress-testing; </w:t>
            </w:r>
            <w:proofErr w:type="gramStart"/>
            <w:r>
              <w:rPr>
                <w:color w:val="495057"/>
                <w:sz w:val="20"/>
                <w:szCs w:val="20"/>
              </w:rPr>
              <w:t>Pre-Mortem</w:t>
            </w:r>
            <w:proofErr w:type="gramEnd"/>
            <w:r>
              <w:rPr>
                <w:color w:val="495057"/>
                <w:sz w:val="20"/>
                <w:szCs w:val="20"/>
              </w:rPr>
              <w:t xml:space="preserve"> of post-acquisition governance integration; full governance data room built to withstand adversarial buyer scrutiny.</w:t>
            </w:r>
          </w:p>
          <w:p w14:paraId="065E3D83" w14:textId="77777777" w:rsidR="005E111D" w:rsidRDefault="00000000">
            <w:r>
              <w:rPr>
                <w:b/>
                <w:bCs/>
                <w:color w:val="212529"/>
                <w:sz w:val="20"/>
                <w:szCs w:val="20"/>
              </w:rPr>
              <w:t xml:space="preserve">Typical duration: </w:t>
            </w:r>
            <w:r>
              <w:rPr>
                <w:color w:val="495057"/>
                <w:sz w:val="20"/>
                <w:szCs w:val="20"/>
              </w:rPr>
              <w:t>12–18 months pre-exit</w:t>
            </w:r>
          </w:p>
        </w:tc>
      </w:tr>
    </w:tbl>
    <w:p w14:paraId="57A70D07" w14:textId="77777777" w:rsidR="005E111D" w:rsidRDefault="005E111D">
      <w:pPr>
        <w:spacing w:before="200"/>
      </w:pPr>
    </w:p>
    <w:p w14:paraId="3EABB6FC" w14:textId="77777777" w:rsidR="005E111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5"/>
        <w:gridCol w:w="8795"/>
      </w:tblGrid>
      <w:tr w:rsidR="005E111D" w14:paraId="28B89863"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A98C5A"/>
            <w:tcMar>
              <w:top w:w="140" w:type="dxa"/>
              <w:left w:w="100" w:type="dxa"/>
              <w:bottom w:w="140" w:type="dxa"/>
              <w:right w:w="100" w:type="dxa"/>
            </w:tcMar>
            <w:vAlign w:val="center"/>
          </w:tcPr>
          <w:p w14:paraId="5C97BB89" w14:textId="77777777" w:rsidR="005E111D" w:rsidRDefault="00000000">
            <w:pPr>
              <w:jc w:val="center"/>
            </w:pPr>
            <w:r>
              <w:rPr>
                <w:rFonts w:ascii="Georgia" w:eastAsia="Georgia" w:hAnsi="Georgia" w:cs="Georgia"/>
                <w:b/>
                <w:bCs/>
                <w:color w:val="FFFFFF"/>
                <w:sz w:val="28"/>
                <w:szCs w:val="28"/>
              </w:rPr>
              <w:lastRenderedPageBreak/>
              <w:t>05</w:t>
            </w:r>
          </w:p>
        </w:tc>
        <w:tc>
          <w:tcPr>
            <w:tcW w:w="8800" w:type="dxa"/>
            <w:tcBorders>
              <w:top w:val="none" w:sz="0" w:space="0" w:color="FFFFFF"/>
              <w:left w:val="none" w:sz="0" w:space="0" w:color="FFFFFF"/>
              <w:bottom w:val="none" w:sz="0" w:space="0" w:color="FFFFFF"/>
              <w:right w:val="none" w:sz="0" w:space="0" w:color="FFFFFF"/>
            </w:tcBorders>
            <w:shd w:val="clear" w:color="auto" w:fill="212529"/>
            <w:tcMar>
              <w:top w:w="140" w:type="dxa"/>
              <w:left w:w="260" w:type="dxa"/>
              <w:bottom w:w="140" w:type="dxa"/>
              <w:right w:w="120" w:type="dxa"/>
            </w:tcMar>
            <w:vAlign w:val="center"/>
          </w:tcPr>
          <w:p w14:paraId="44025661" w14:textId="77777777" w:rsidR="005E111D" w:rsidRDefault="00000000">
            <w:r>
              <w:rPr>
                <w:rFonts w:ascii="Georgia" w:eastAsia="Georgia" w:hAnsi="Georgia" w:cs="Georgia"/>
                <w:b/>
                <w:bCs/>
                <w:caps/>
                <w:color w:val="FFFFFF"/>
                <w:sz w:val="28"/>
                <w:szCs w:val="28"/>
              </w:rPr>
              <w:t>The Adversarial Methodology: Defined as a Brand Asset</w:t>
            </w:r>
          </w:p>
        </w:tc>
      </w:tr>
    </w:tbl>
    <w:p w14:paraId="4CBADCF0" w14:textId="77777777" w:rsidR="005E111D" w:rsidRDefault="005E111D">
      <w:pPr>
        <w:spacing w:before="160"/>
      </w:pPr>
    </w:p>
    <w:p w14:paraId="37BACE43" w14:textId="77777777" w:rsidR="005E111D" w:rsidRDefault="00000000">
      <w:pPr>
        <w:spacing w:before="80" w:after="80"/>
      </w:pPr>
      <w:r>
        <w:rPr>
          <w:color w:val="495057"/>
          <w:sz w:val="24"/>
          <w:szCs w:val="24"/>
        </w:rPr>
        <w:t xml:space="preserve">The adversarial tools — Red Team Review, Risk Simulation Lab, Pre-Mortem Diagnostic — previously competed with the Strategic </w:t>
      </w:r>
      <w:proofErr w:type="spellStart"/>
      <w:r>
        <w:rPr>
          <w:color w:val="495057"/>
          <w:sz w:val="24"/>
          <w:szCs w:val="24"/>
        </w:rPr>
        <w:t>GaaS</w:t>
      </w:r>
      <w:proofErr w:type="spellEnd"/>
      <w:r>
        <w:rPr>
          <w:color w:val="495057"/>
          <w:sz w:val="24"/>
          <w:szCs w:val="24"/>
        </w:rPr>
        <w:t xml:space="preserve"> model for brand positioning. They are now defined as the proprietary methodology that differentiates Marentis Labs within the Strategic </w:t>
      </w:r>
      <w:proofErr w:type="spellStart"/>
      <w:r>
        <w:rPr>
          <w:color w:val="495057"/>
          <w:sz w:val="24"/>
          <w:szCs w:val="24"/>
        </w:rPr>
        <w:t>GaaS</w:t>
      </w:r>
      <w:proofErr w:type="spellEnd"/>
      <w:r>
        <w:rPr>
          <w:color w:val="495057"/>
          <w:sz w:val="24"/>
          <w:szCs w:val="24"/>
        </w:rPr>
        <w:t xml:space="preserve"> category. This section establishes how each tool should be described, named, and presented.</w:t>
      </w:r>
    </w:p>
    <w:p w14:paraId="1487A979" w14:textId="77777777" w:rsidR="005E111D" w:rsidRDefault="005E111D">
      <w:pPr>
        <w:spacing w:before="120"/>
      </w:pPr>
    </w:p>
    <w:p w14:paraId="337D4539" w14:textId="77777777" w:rsidR="005E111D" w:rsidRDefault="00000000">
      <w:pPr>
        <w:pStyle w:val="Heading2"/>
      </w:pPr>
      <w:r>
        <w:t>The Naming Convention</w:t>
      </w:r>
    </w:p>
    <w:p w14:paraId="67D5735F" w14:textId="77777777" w:rsidR="005E111D" w:rsidRDefault="005E111D">
      <w:pPr>
        <w:spacing w:before="80"/>
      </w:pPr>
    </w:p>
    <w:p w14:paraId="02B7F149" w14:textId="77777777" w:rsidR="005E111D" w:rsidRDefault="00000000">
      <w:pPr>
        <w:spacing w:before="80" w:after="80"/>
      </w:pPr>
      <w:r>
        <w:rPr>
          <w:color w:val="495057"/>
        </w:rPr>
        <w:t>The tools should be presented consistently under the umbrella of the Adversarial Governance Methodology — a term that communicates both what the tools share and why they matter. Each tool retains its existing name but is always contextualised within the methodology umbrella on the website and in proposals.</w:t>
      </w:r>
    </w:p>
    <w:p w14:paraId="65B034F7" w14:textId="77777777" w:rsidR="005E111D" w:rsidRDefault="005E111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5E111D" w14:paraId="01517BA1" w14:textId="77777777">
        <w:tblPrEx>
          <w:tblCellMar>
            <w:top w:w="0" w:type="dxa"/>
            <w:bottom w:w="0" w:type="dxa"/>
          </w:tblCellMar>
        </w:tblPrEx>
        <w:tc>
          <w:tcPr>
            <w:tcW w:w="200" w:type="dxa"/>
            <w:tcBorders>
              <w:top w:val="none" w:sz="0" w:space="0" w:color="FFFFFF"/>
              <w:left w:val="single" w:sz="8" w:space="0" w:color="A98C5A"/>
              <w:bottom w:val="none" w:sz="0" w:space="0" w:color="FFFFFF"/>
              <w:right w:val="none" w:sz="0" w:space="0" w:color="FFFFFF"/>
            </w:tcBorders>
            <w:shd w:val="clear" w:color="auto" w:fill="F8F9FA"/>
            <w:tcMar>
              <w:top w:w="160" w:type="dxa"/>
              <w:left w:w="60" w:type="dxa"/>
              <w:bottom w:w="160" w:type="dxa"/>
              <w:right w:w="0" w:type="dxa"/>
            </w:tcMar>
          </w:tcPr>
          <w:p w14:paraId="33ECD175" w14:textId="77777777" w:rsidR="005E111D" w:rsidRDefault="005E111D"/>
        </w:tc>
        <w:tc>
          <w:tcPr>
            <w:tcW w:w="916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180" w:type="dxa"/>
            </w:tcMar>
          </w:tcPr>
          <w:p w14:paraId="1F2C4B4D" w14:textId="77777777" w:rsidR="005E111D" w:rsidRDefault="00000000">
            <w:r>
              <w:rPr>
                <w:i/>
                <w:iCs/>
                <w:color w:val="212529"/>
              </w:rPr>
              <w:t>The Adversarial Governance Methodology is not an add-on or a separate product line. It is the operating philosophy embedded in every Marentis Labs engagement. We do not accept governance frameworks at face value. We stress-test them, challenge their assumptions, and simulate their failure — so you know where they break before it matters.</w:t>
            </w:r>
          </w:p>
        </w:tc>
      </w:tr>
    </w:tbl>
    <w:p w14:paraId="2E007AE0" w14:textId="77777777" w:rsidR="005E111D" w:rsidRDefault="005E111D">
      <w:pPr>
        <w:spacing w:before="120"/>
      </w:pPr>
    </w:p>
    <w:p w14:paraId="63769D5E" w14:textId="77777777" w:rsidR="005E111D" w:rsidRDefault="00000000">
      <w:pPr>
        <w:pStyle w:val="Heading2"/>
      </w:pPr>
      <w:r>
        <w:t>Tool Definitions — How Each Should Be Described</w:t>
      </w:r>
    </w:p>
    <w:p w14:paraId="58801B1E" w14:textId="77777777" w:rsidR="005E111D" w:rsidRDefault="005E111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E111D" w14:paraId="7525A9D8" w14:textId="77777777">
        <w:tblPrEx>
          <w:tblCellMar>
            <w:top w:w="0" w:type="dxa"/>
            <w:bottom w:w="0" w:type="dxa"/>
          </w:tblCellMar>
        </w:tblPrEx>
        <w:tc>
          <w:tcPr>
            <w:tcW w:w="2200" w:type="dxa"/>
            <w:tcBorders>
              <w:top w:val="single" w:sz="4" w:space="0" w:color="A98C5A"/>
              <w:left w:val="single" w:sz="4" w:space="0" w:color="A98C5A"/>
              <w:bottom w:val="single" w:sz="4" w:space="0" w:color="A98C5A"/>
              <w:right w:val="single" w:sz="4" w:space="0" w:color="A98C5A"/>
            </w:tcBorders>
            <w:shd w:val="clear" w:color="auto" w:fill="212529"/>
            <w:tcMar>
              <w:top w:w="90" w:type="dxa"/>
              <w:left w:w="130" w:type="dxa"/>
              <w:bottom w:w="90" w:type="dxa"/>
              <w:right w:w="90" w:type="dxa"/>
            </w:tcMar>
          </w:tcPr>
          <w:p w14:paraId="459D28B6" w14:textId="77777777" w:rsidR="005E111D" w:rsidRDefault="00000000">
            <w:r>
              <w:rPr>
                <w:b/>
                <w:bCs/>
                <w:caps/>
                <w:color w:val="FFFFFF"/>
                <w:sz w:val="20"/>
                <w:szCs w:val="20"/>
              </w:rPr>
              <w:t>Tool</w:t>
            </w:r>
          </w:p>
        </w:tc>
        <w:tc>
          <w:tcPr>
            <w:tcW w:w="7160" w:type="dxa"/>
            <w:tcBorders>
              <w:top w:val="single" w:sz="4" w:space="0" w:color="A98C5A"/>
              <w:left w:val="single" w:sz="4" w:space="0" w:color="A98C5A"/>
              <w:bottom w:val="single" w:sz="4" w:space="0" w:color="A98C5A"/>
              <w:right w:val="single" w:sz="4" w:space="0" w:color="A98C5A"/>
            </w:tcBorders>
            <w:shd w:val="clear" w:color="auto" w:fill="212529"/>
            <w:tcMar>
              <w:top w:w="90" w:type="dxa"/>
              <w:left w:w="130" w:type="dxa"/>
              <w:bottom w:w="90" w:type="dxa"/>
              <w:right w:w="90" w:type="dxa"/>
            </w:tcMar>
          </w:tcPr>
          <w:p w14:paraId="392FADA7" w14:textId="77777777" w:rsidR="005E111D" w:rsidRDefault="00000000">
            <w:r>
              <w:rPr>
                <w:b/>
                <w:bCs/>
                <w:caps/>
                <w:color w:val="FFFFFF"/>
                <w:sz w:val="20"/>
                <w:szCs w:val="20"/>
              </w:rPr>
              <w:t>Standard Description for Website &amp; Proposals</w:t>
            </w:r>
          </w:p>
        </w:tc>
      </w:tr>
      <w:tr w:rsidR="005E111D" w14:paraId="65B2D0A1" w14:textId="77777777">
        <w:tblPrEx>
          <w:tblCellMar>
            <w:top w:w="0" w:type="dxa"/>
            <w:bottom w:w="0" w:type="dxa"/>
          </w:tblCellMar>
        </w:tblPrEx>
        <w:tc>
          <w:tcPr>
            <w:tcW w:w="2200" w:type="dxa"/>
            <w:tcBorders>
              <w:top w:val="single" w:sz="4" w:space="0" w:color="E8E8E8"/>
              <w:left w:val="single" w:sz="4" w:space="0" w:color="E8E8E8"/>
              <w:bottom w:val="single" w:sz="4" w:space="0" w:color="E8E8E8"/>
              <w:right w:val="single" w:sz="4" w:space="0" w:color="E8E8E8"/>
            </w:tcBorders>
            <w:shd w:val="clear" w:color="auto" w:fill="F8F9FA"/>
            <w:tcMar>
              <w:top w:w="90" w:type="dxa"/>
              <w:left w:w="130" w:type="dxa"/>
              <w:bottom w:w="90" w:type="dxa"/>
              <w:right w:w="90" w:type="dxa"/>
            </w:tcMar>
          </w:tcPr>
          <w:p w14:paraId="40F1BCEE" w14:textId="77777777" w:rsidR="005E111D" w:rsidRDefault="00000000">
            <w:r>
              <w:rPr>
                <w:b/>
                <w:bCs/>
                <w:color w:val="212529"/>
                <w:sz w:val="20"/>
                <w:szCs w:val="20"/>
              </w:rPr>
              <w:t>Red Team Review</w:t>
            </w:r>
          </w:p>
        </w:tc>
        <w:tc>
          <w:tcPr>
            <w:tcW w:w="7160" w:type="dxa"/>
            <w:tcBorders>
              <w:top w:val="single" w:sz="4" w:space="0" w:color="E8E8E8"/>
              <w:left w:val="single" w:sz="4" w:space="0" w:color="E8E8E8"/>
              <w:bottom w:val="single" w:sz="4" w:space="0" w:color="E8E8E8"/>
              <w:right w:val="single" w:sz="4" w:space="0" w:color="E8E8E8"/>
            </w:tcBorders>
            <w:shd w:val="clear" w:color="auto" w:fill="F8F9FA"/>
            <w:tcMar>
              <w:top w:w="90" w:type="dxa"/>
              <w:left w:w="130" w:type="dxa"/>
              <w:bottom w:w="90" w:type="dxa"/>
              <w:right w:w="90" w:type="dxa"/>
            </w:tcMar>
          </w:tcPr>
          <w:p w14:paraId="14E9BAE0" w14:textId="77777777" w:rsidR="005E111D" w:rsidRDefault="00000000">
            <w:r>
              <w:rPr>
                <w:color w:val="495057"/>
                <w:sz w:val="20"/>
                <w:szCs w:val="20"/>
              </w:rPr>
              <w:t>A structured, adversarial assessment of a strategic plan, governance framework, investment case, or board decision. Applied as a standalone diagnostic or as part of a retained engagement. The reviewer acts as a professional devil's advocate — finding the assumptions the internal team has stopped questioning. Duration: 4 weeks standalone; continuous within retained engagements.</w:t>
            </w:r>
          </w:p>
        </w:tc>
      </w:tr>
      <w:tr w:rsidR="005E111D" w14:paraId="4675BD07" w14:textId="77777777">
        <w:tblPrEx>
          <w:tblCellMar>
            <w:top w:w="0" w:type="dxa"/>
            <w:bottom w:w="0" w:type="dxa"/>
          </w:tblCellMar>
        </w:tblPrEx>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90" w:type="dxa"/>
              <w:left w:w="130" w:type="dxa"/>
              <w:bottom w:w="90" w:type="dxa"/>
              <w:right w:w="90" w:type="dxa"/>
            </w:tcMar>
          </w:tcPr>
          <w:p w14:paraId="17FAA59B" w14:textId="77777777" w:rsidR="005E111D" w:rsidRDefault="00000000">
            <w:r>
              <w:rPr>
                <w:b/>
                <w:bCs/>
                <w:color w:val="212529"/>
                <w:sz w:val="20"/>
                <w:szCs w:val="20"/>
              </w:rPr>
              <w:t>Risk Simulation Lab</w:t>
            </w:r>
          </w:p>
        </w:tc>
        <w:tc>
          <w:tcPr>
            <w:tcW w:w="7160" w:type="dxa"/>
            <w:tcBorders>
              <w:top w:val="single" w:sz="4" w:space="0" w:color="E8E8E8"/>
              <w:left w:val="single" w:sz="4" w:space="0" w:color="E8E8E8"/>
              <w:bottom w:val="single" w:sz="4" w:space="0" w:color="E8E8E8"/>
              <w:right w:val="single" w:sz="4" w:space="0" w:color="E8E8E8"/>
            </w:tcBorders>
            <w:shd w:val="clear" w:color="auto" w:fill="FFFFFF"/>
            <w:tcMar>
              <w:top w:w="90" w:type="dxa"/>
              <w:left w:w="130" w:type="dxa"/>
              <w:bottom w:w="90" w:type="dxa"/>
              <w:right w:w="90" w:type="dxa"/>
            </w:tcMar>
          </w:tcPr>
          <w:p w14:paraId="05AFDB1E" w14:textId="77777777" w:rsidR="005E111D" w:rsidRDefault="00000000">
            <w:r>
              <w:rPr>
                <w:color w:val="495057"/>
                <w:sz w:val="20"/>
                <w:szCs w:val="20"/>
              </w:rPr>
              <w:t>A 90-day bespoke engagement that subjects leadership decision-making and governance processes to a high-stakes simulated shock. Not a tabletop exercise. A realistic, facilitated scenario designed to expose failure modes in crisis governance, escalation processes, and board communication under pressure. Premium engagement. Standalone or embedded.</w:t>
            </w:r>
          </w:p>
        </w:tc>
      </w:tr>
      <w:tr w:rsidR="005E111D" w14:paraId="5862D6B7" w14:textId="77777777">
        <w:tblPrEx>
          <w:tblCellMar>
            <w:top w:w="0" w:type="dxa"/>
            <w:bottom w:w="0" w:type="dxa"/>
          </w:tblCellMar>
        </w:tblPrEx>
        <w:tc>
          <w:tcPr>
            <w:tcW w:w="2200" w:type="dxa"/>
            <w:tcBorders>
              <w:top w:val="single" w:sz="4" w:space="0" w:color="E8E8E8"/>
              <w:left w:val="single" w:sz="4" w:space="0" w:color="E8E8E8"/>
              <w:bottom w:val="single" w:sz="4" w:space="0" w:color="E8E8E8"/>
              <w:right w:val="single" w:sz="4" w:space="0" w:color="E8E8E8"/>
            </w:tcBorders>
            <w:shd w:val="clear" w:color="auto" w:fill="F8F9FA"/>
            <w:tcMar>
              <w:top w:w="90" w:type="dxa"/>
              <w:left w:w="130" w:type="dxa"/>
              <w:bottom w:w="90" w:type="dxa"/>
              <w:right w:w="90" w:type="dxa"/>
            </w:tcMar>
          </w:tcPr>
          <w:p w14:paraId="2DE1990D" w14:textId="77777777" w:rsidR="005E111D" w:rsidRDefault="00000000">
            <w:r>
              <w:rPr>
                <w:b/>
                <w:bCs/>
                <w:color w:val="212529"/>
                <w:sz w:val="20"/>
                <w:szCs w:val="20"/>
              </w:rPr>
              <w:t>Pre-Mortem Diagnostic</w:t>
            </w:r>
          </w:p>
        </w:tc>
        <w:tc>
          <w:tcPr>
            <w:tcW w:w="7160" w:type="dxa"/>
            <w:tcBorders>
              <w:top w:val="single" w:sz="4" w:space="0" w:color="E8E8E8"/>
              <w:left w:val="single" w:sz="4" w:space="0" w:color="E8E8E8"/>
              <w:bottom w:val="single" w:sz="4" w:space="0" w:color="E8E8E8"/>
              <w:right w:val="single" w:sz="4" w:space="0" w:color="E8E8E8"/>
            </w:tcBorders>
            <w:shd w:val="clear" w:color="auto" w:fill="F8F9FA"/>
            <w:tcMar>
              <w:top w:w="90" w:type="dxa"/>
              <w:left w:w="130" w:type="dxa"/>
              <w:bottom w:w="90" w:type="dxa"/>
              <w:right w:w="90" w:type="dxa"/>
            </w:tcMar>
          </w:tcPr>
          <w:p w14:paraId="42B94397" w14:textId="77777777" w:rsidR="005E111D" w:rsidRDefault="00000000">
            <w:r>
              <w:rPr>
                <w:color w:val="495057"/>
                <w:sz w:val="20"/>
                <w:szCs w:val="20"/>
              </w:rPr>
              <w:t>A structured workshop technique applied before major capital commitments, strategic decisions, or governance changes. Starts from the assumption of failure and works backwards to identify the most likely causes. Faster and cheaper than a Red Team Review; most effective for single decisions rather than systemic governance assessment. 2–3 weeks.</w:t>
            </w:r>
          </w:p>
        </w:tc>
      </w:tr>
    </w:tbl>
    <w:p w14:paraId="62D402AB" w14:textId="77777777" w:rsidR="005E111D" w:rsidRDefault="005E111D">
      <w:pPr>
        <w:spacing w:before="120"/>
      </w:pPr>
    </w:p>
    <w:p w14:paraId="7A77524E" w14:textId="77777777" w:rsidR="005E111D" w:rsidRDefault="00000000">
      <w:pPr>
        <w:pStyle w:val="Heading2"/>
      </w:pPr>
      <w:r>
        <w:lastRenderedPageBreak/>
        <w:t>Innovation Pipeline: Future Adversarial Products</w:t>
      </w:r>
    </w:p>
    <w:p w14:paraId="4E9D61A9" w14:textId="77777777" w:rsidR="005E111D" w:rsidRDefault="005E111D">
      <w:pPr>
        <w:spacing w:before="80"/>
      </w:pPr>
    </w:p>
    <w:p w14:paraId="06B87CD2" w14:textId="77777777" w:rsidR="005E111D" w:rsidRDefault="00000000">
      <w:pPr>
        <w:spacing w:before="80" w:after="80"/>
      </w:pPr>
      <w:r>
        <w:rPr>
          <w:color w:val="495057"/>
        </w:rPr>
        <w:t xml:space="preserve">The architecture creates a natural home for future product development. As Marentis Labs develops genuinely novel adversarial analysis capabilities — AI-augmented governance stress testing, sector-specific simulation frameworks, proprietary risk maturity benchmarking — these can be introduced as additions to the Adversarial Governance Methodology toolkit without disrupting the Strategic </w:t>
      </w:r>
      <w:proofErr w:type="spellStart"/>
      <w:r>
        <w:rPr>
          <w:color w:val="495057"/>
        </w:rPr>
        <w:t>GaaS</w:t>
      </w:r>
      <w:proofErr w:type="spellEnd"/>
      <w:r>
        <w:rPr>
          <w:color w:val="495057"/>
        </w:rPr>
        <w:t xml:space="preserve"> brand structure.</w:t>
      </w:r>
    </w:p>
    <w:p w14:paraId="6E993165" w14:textId="77777777" w:rsidR="005E111D" w:rsidRDefault="005E111D">
      <w:pPr>
        <w:spacing w:before="80"/>
      </w:pPr>
    </w:p>
    <w:p w14:paraId="0608D6DF" w14:textId="77777777" w:rsidR="005E111D" w:rsidRDefault="00000000">
      <w:pPr>
        <w:spacing w:before="80" w:after="80"/>
      </w:pPr>
      <w:r>
        <w:rPr>
          <w:color w:val="495057"/>
        </w:rPr>
        <w:t xml:space="preserve">The brand principle for new tool development </w:t>
      </w:r>
      <w:proofErr w:type="gramStart"/>
      <w:r>
        <w:rPr>
          <w:color w:val="495057"/>
        </w:rPr>
        <w:t>is:</w:t>
      </w:r>
      <w:proofErr w:type="gramEnd"/>
      <w:r>
        <w:rPr>
          <w:color w:val="495057"/>
        </w:rPr>
        <w:t xml:space="preserve"> each new tool must be genuinely distinctive (not a repackaged consulting methodology), must be deployable within a Strategic </w:t>
      </w:r>
      <w:proofErr w:type="spellStart"/>
      <w:r>
        <w:rPr>
          <w:color w:val="495057"/>
        </w:rPr>
        <w:t>GaaS</w:t>
      </w:r>
      <w:proofErr w:type="spellEnd"/>
      <w:r>
        <w:rPr>
          <w:color w:val="495057"/>
        </w:rPr>
        <w:t xml:space="preserve"> engagement context, and must be nameable with a specific description of what it does that no competitor can replicate. The ™ designation in the strategy report (Risk Maturity Model™, Red Team Protocol™, Governance Pulse™) reflects the right intent — proprietary, named, owned. These should only be presented externally once the methodologies are documented and consistently delivered.</w:t>
      </w:r>
    </w:p>
    <w:p w14:paraId="1C27E123" w14:textId="77777777" w:rsidR="005E111D" w:rsidRDefault="005E111D">
      <w:pPr>
        <w:spacing w:before="200"/>
      </w:pPr>
    </w:p>
    <w:p w14:paraId="40F4B110" w14:textId="77777777" w:rsidR="005E111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
        <w:gridCol w:w="8782"/>
      </w:tblGrid>
      <w:tr w:rsidR="005E111D" w14:paraId="47A9C4A0"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A98C5A"/>
            <w:tcMar>
              <w:top w:w="140" w:type="dxa"/>
              <w:left w:w="100" w:type="dxa"/>
              <w:bottom w:w="140" w:type="dxa"/>
              <w:right w:w="100" w:type="dxa"/>
            </w:tcMar>
            <w:vAlign w:val="center"/>
          </w:tcPr>
          <w:p w14:paraId="0639993E" w14:textId="77777777" w:rsidR="005E111D" w:rsidRDefault="00000000">
            <w:pPr>
              <w:jc w:val="center"/>
            </w:pPr>
            <w:r>
              <w:rPr>
                <w:rFonts w:ascii="Georgia" w:eastAsia="Georgia" w:hAnsi="Georgia" w:cs="Georgia"/>
                <w:b/>
                <w:bCs/>
                <w:color w:val="FFFFFF"/>
                <w:sz w:val="28"/>
                <w:szCs w:val="28"/>
              </w:rPr>
              <w:lastRenderedPageBreak/>
              <w:t>06</w:t>
            </w:r>
          </w:p>
        </w:tc>
        <w:tc>
          <w:tcPr>
            <w:tcW w:w="8800" w:type="dxa"/>
            <w:tcBorders>
              <w:top w:val="none" w:sz="0" w:space="0" w:color="FFFFFF"/>
              <w:left w:val="none" w:sz="0" w:space="0" w:color="FFFFFF"/>
              <w:bottom w:val="none" w:sz="0" w:space="0" w:color="FFFFFF"/>
              <w:right w:val="none" w:sz="0" w:space="0" w:color="FFFFFF"/>
            </w:tcBorders>
            <w:shd w:val="clear" w:color="auto" w:fill="212529"/>
            <w:tcMar>
              <w:top w:w="140" w:type="dxa"/>
              <w:left w:w="260" w:type="dxa"/>
              <w:bottom w:w="140" w:type="dxa"/>
              <w:right w:w="120" w:type="dxa"/>
            </w:tcMar>
            <w:vAlign w:val="center"/>
          </w:tcPr>
          <w:p w14:paraId="6AB89E9C" w14:textId="77777777" w:rsidR="005E111D" w:rsidRDefault="00000000">
            <w:r>
              <w:rPr>
                <w:rFonts w:ascii="Georgia" w:eastAsia="Georgia" w:hAnsi="Georgia" w:cs="Georgia"/>
                <w:b/>
                <w:bCs/>
                <w:caps/>
                <w:color w:val="FFFFFF"/>
                <w:sz w:val="28"/>
                <w:szCs w:val="28"/>
              </w:rPr>
              <w:t>Visual Identity: Updated Guidance</w:t>
            </w:r>
          </w:p>
        </w:tc>
      </w:tr>
    </w:tbl>
    <w:p w14:paraId="56E914ED" w14:textId="77777777" w:rsidR="005E111D" w:rsidRDefault="005E111D">
      <w:pPr>
        <w:spacing w:before="160"/>
      </w:pPr>
    </w:p>
    <w:p w14:paraId="46D4AA07" w14:textId="77777777" w:rsidR="005E111D" w:rsidRDefault="00000000">
      <w:pPr>
        <w:spacing w:before="80" w:after="80"/>
      </w:pPr>
      <w:r>
        <w:rPr>
          <w:color w:val="495057"/>
        </w:rPr>
        <w:t xml:space="preserve">The core visual identity (logo, palette, typography) does not need to change. The ML Charcoal / ML Gold combination is correct for the Strategic </w:t>
      </w:r>
      <w:proofErr w:type="spellStart"/>
      <w:r>
        <w:rPr>
          <w:color w:val="495057"/>
        </w:rPr>
        <w:t>GaaS</w:t>
      </w:r>
      <w:proofErr w:type="spellEnd"/>
      <w:r>
        <w:rPr>
          <w:color w:val="495057"/>
        </w:rPr>
        <w:t xml:space="preserve"> positioning and continues to differentiate from Big 4 conventions. What changes is the application system — how the identity is extended into the service tier structure and the adversarial methodology communication.</w:t>
      </w:r>
    </w:p>
    <w:p w14:paraId="678BB7E4" w14:textId="77777777" w:rsidR="005E111D" w:rsidRDefault="005E111D">
      <w:pPr>
        <w:spacing w:before="120"/>
      </w:pPr>
    </w:p>
    <w:p w14:paraId="761A8E80" w14:textId="77777777" w:rsidR="005E111D" w:rsidRDefault="00000000">
      <w:pPr>
        <w:pStyle w:val="Heading2"/>
      </w:pPr>
      <w:r>
        <w:t>Tier Colour Coding</w:t>
      </w:r>
    </w:p>
    <w:p w14:paraId="73D9BB2F" w14:textId="77777777" w:rsidR="005E111D" w:rsidRDefault="005E111D">
      <w:pPr>
        <w:spacing w:before="80"/>
      </w:pPr>
    </w:p>
    <w:p w14:paraId="02EEEF7E" w14:textId="77777777" w:rsidR="005E111D" w:rsidRDefault="00000000">
      <w:pPr>
        <w:spacing w:before="80" w:after="80"/>
      </w:pPr>
      <w:r>
        <w:rPr>
          <w:color w:val="495057"/>
        </w:rPr>
        <w:t>To make the four-tier architecture visually navigable — in proposals, on the website, and in client deliverables — each tier should be associated with a consistent accent colour within the primary palette:</w:t>
      </w:r>
    </w:p>
    <w:p w14:paraId="23665A2A" w14:textId="77777777" w:rsidR="005E111D" w:rsidRDefault="005E111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E111D" w14:paraId="0CC6D708" w14:textId="77777777">
        <w:tblPrEx>
          <w:tblCellMar>
            <w:top w:w="0" w:type="dxa"/>
            <w:bottom w:w="0" w:type="dxa"/>
          </w:tblCellMar>
        </w:tblPrEx>
        <w:tc>
          <w:tcPr>
            <w:tcW w:w="2200" w:type="dxa"/>
            <w:tcBorders>
              <w:top w:val="single" w:sz="4" w:space="0" w:color="A98C5A"/>
              <w:left w:val="single" w:sz="4" w:space="0" w:color="A98C5A"/>
              <w:bottom w:val="single" w:sz="4" w:space="0" w:color="A98C5A"/>
              <w:right w:val="single" w:sz="4" w:space="0" w:color="A98C5A"/>
            </w:tcBorders>
            <w:shd w:val="clear" w:color="auto" w:fill="212529"/>
            <w:tcMar>
              <w:top w:w="90" w:type="dxa"/>
              <w:left w:w="130" w:type="dxa"/>
              <w:bottom w:w="90" w:type="dxa"/>
              <w:right w:w="90" w:type="dxa"/>
            </w:tcMar>
          </w:tcPr>
          <w:p w14:paraId="289DC93D" w14:textId="77777777" w:rsidR="005E111D" w:rsidRDefault="00000000">
            <w:r>
              <w:rPr>
                <w:b/>
                <w:bCs/>
                <w:caps/>
                <w:color w:val="FFFFFF"/>
                <w:sz w:val="20"/>
                <w:szCs w:val="20"/>
              </w:rPr>
              <w:t>Tier</w:t>
            </w:r>
          </w:p>
        </w:tc>
        <w:tc>
          <w:tcPr>
            <w:tcW w:w="7160" w:type="dxa"/>
            <w:tcBorders>
              <w:top w:val="single" w:sz="4" w:space="0" w:color="A98C5A"/>
              <w:left w:val="single" w:sz="4" w:space="0" w:color="A98C5A"/>
              <w:bottom w:val="single" w:sz="4" w:space="0" w:color="A98C5A"/>
              <w:right w:val="single" w:sz="4" w:space="0" w:color="A98C5A"/>
            </w:tcBorders>
            <w:shd w:val="clear" w:color="auto" w:fill="212529"/>
            <w:tcMar>
              <w:top w:w="90" w:type="dxa"/>
              <w:left w:w="130" w:type="dxa"/>
              <w:bottom w:w="90" w:type="dxa"/>
              <w:right w:w="90" w:type="dxa"/>
            </w:tcMar>
          </w:tcPr>
          <w:p w14:paraId="483DFAAF" w14:textId="77777777" w:rsidR="005E111D" w:rsidRDefault="00000000">
            <w:r>
              <w:rPr>
                <w:b/>
                <w:bCs/>
                <w:caps/>
                <w:color w:val="FFFFFF"/>
                <w:sz w:val="20"/>
                <w:szCs w:val="20"/>
              </w:rPr>
              <w:t>Colour &amp; Rationale</w:t>
            </w:r>
          </w:p>
        </w:tc>
      </w:tr>
      <w:tr w:rsidR="005E111D" w14:paraId="0E6C5FBE" w14:textId="77777777">
        <w:tblPrEx>
          <w:tblCellMar>
            <w:top w:w="0" w:type="dxa"/>
            <w:bottom w:w="0" w:type="dxa"/>
          </w:tblCellMar>
        </w:tblPrEx>
        <w:tc>
          <w:tcPr>
            <w:tcW w:w="2200" w:type="dxa"/>
            <w:tcBorders>
              <w:top w:val="single" w:sz="4" w:space="0" w:color="E8E8E8"/>
              <w:left w:val="single" w:sz="4" w:space="0" w:color="E8E8E8"/>
              <w:bottom w:val="single" w:sz="4" w:space="0" w:color="E8E8E8"/>
              <w:right w:val="single" w:sz="4" w:space="0" w:color="E8E8E8"/>
            </w:tcBorders>
            <w:shd w:val="clear" w:color="auto" w:fill="F8F9FA"/>
            <w:tcMar>
              <w:top w:w="90" w:type="dxa"/>
              <w:left w:w="130" w:type="dxa"/>
              <w:bottom w:w="90" w:type="dxa"/>
              <w:right w:w="90" w:type="dxa"/>
            </w:tcMar>
          </w:tcPr>
          <w:p w14:paraId="4333FE03" w14:textId="77777777" w:rsidR="005E111D" w:rsidRDefault="00000000">
            <w:r>
              <w:rPr>
                <w:b/>
                <w:bCs/>
                <w:color w:val="212529"/>
                <w:sz w:val="20"/>
                <w:szCs w:val="20"/>
              </w:rPr>
              <w:t xml:space="preserve">Diagnostic </w:t>
            </w:r>
            <w:proofErr w:type="spellStart"/>
            <w:r>
              <w:rPr>
                <w:b/>
                <w:bCs/>
                <w:color w:val="212529"/>
                <w:sz w:val="20"/>
                <w:szCs w:val="20"/>
              </w:rPr>
              <w:t>GaaS</w:t>
            </w:r>
            <w:proofErr w:type="spellEnd"/>
            <w:r>
              <w:rPr>
                <w:b/>
                <w:bCs/>
                <w:color w:val="212529"/>
                <w:sz w:val="20"/>
                <w:szCs w:val="20"/>
              </w:rPr>
              <w:t xml:space="preserve"> (T1)</w:t>
            </w:r>
          </w:p>
        </w:tc>
        <w:tc>
          <w:tcPr>
            <w:tcW w:w="7160" w:type="dxa"/>
            <w:tcBorders>
              <w:top w:val="single" w:sz="4" w:space="0" w:color="E8E8E8"/>
              <w:left w:val="single" w:sz="4" w:space="0" w:color="E8E8E8"/>
              <w:bottom w:val="single" w:sz="4" w:space="0" w:color="E8E8E8"/>
              <w:right w:val="single" w:sz="4" w:space="0" w:color="E8E8E8"/>
            </w:tcBorders>
            <w:shd w:val="clear" w:color="auto" w:fill="F8F9FA"/>
            <w:tcMar>
              <w:top w:w="90" w:type="dxa"/>
              <w:left w:w="130" w:type="dxa"/>
              <w:bottom w:w="90" w:type="dxa"/>
              <w:right w:w="90" w:type="dxa"/>
            </w:tcMar>
          </w:tcPr>
          <w:p w14:paraId="3CA48418" w14:textId="77777777" w:rsidR="005E111D" w:rsidRDefault="00000000">
            <w:r>
              <w:rPr>
                <w:color w:val="495057"/>
                <w:sz w:val="20"/>
                <w:szCs w:val="20"/>
              </w:rPr>
              <w:t xml:space="preserve">ML Slate </w:t>
            </w:r>
            <w:proofErr w:type="gramStart"/>
            <w:r>
              <w:rPr>
                <w:color w:val="495057"/>
                <w:sz w:val="20"/>
                <w:szCs w:val="20"/>
              </w:rPr>
              <w:t>Blue  #</w:t>
            </w:r>
            <w:proofErr w:type="gramEnd"/>
            <w:r>
              <w:rPr>
                <w:color w:val="495057"/>
                <w:sz w:val="20"/>
                <w:szCs w:val="20"/>
              </w:rPr>
              <w:t>4A</w:t>
            </w:r>
            <w:proofErr w:type="gramStart"/>
            <w:r>
              <w:rPr>
                <w:color w:val="495057"/>
                <w:sz w:val="20"/>
                <w:szCs w:val="20"/>
              </w:rPr>
              <w:t>6572  —</w:t>
            </w:r>
            <w:proofErr w:type="gramEnd"/>
            <w:r>
              <w:rPr>
                <w:color w:val="495057"/>
                <w:sz w:val="20"/>
                <w:szCs w:val="20"/>
              </w:rPr>
              <w:t xml:space="preserve">  Entry-level, exploratory. Cooler tone signals assessment rather than commitment.</w:t>
            </w:r>
          </w:p>
        </w:tc>
      </w:tr>
      <w:tr w:rsidR="005E111D" w14:paraId="5E277217" w14:textId="77777777">
        <w:tblPrEx>
          <w:tblCellMar>
            <w:top w:w="0" w:type="dxa"/>
            <w:bottom w:w="0" w:type="dxa"/>
          </w:tblCellMar>
        </w:tblPrEx>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90" w:type="dxa"/>
              <w:left w:w="130" w:type="dxa"/>
              <w:bottom w:w="90" w:type="dxa"/>
              <w:right w:w="90" w:type="dxa"/>
            </w:tcMar>
          </w:tcPr>
          <w:p w14:paraId="6EA1B963" w14:textId="77777777" w:rsidR="005E111D" w:rsidRDefault="00000000">
            <w:r>
              <w:rPr>
                <w:b/>
                <w:bCs/>
                <w:color w:val="212529"/>
                <w:sz w:val="20"/>
                <w:szCs w:val="20"/>
              </w:rPr>
              <w:t xml:space="preserve">Retained </w:t>
            </w:r>
            <w:proofErr w:type="spellStart"/>
            <w:r>
              <w:rPr>
                <w:b/>
                <w:bCs/>
                <w:color w:val="212529"/>
                <w:sz w:val="20"/>
                <w:szCs w:val="20"/>
              </w:rPr>
              <w:t>GaaS</w:t>
            </w:r>
            <w:proofErr w:type="spellEnd"/>
            <w:r>
              <w:rPr>
                <w:b/>
                <w:bCs/>
                <w:color w:val="212529"/>
                <w:sz w:val="20"/>
                <w:szCs w:val="20"/>
              </w:rPr>
              <w:t xml:space="preserve"> (T2)</w:t>
            </w:r>
          </w:p>
        </w:tc>
        <w:tc>
          <w:tcPr>
            <w:tcW w:w="7160" w:type="dxa"/>
            <w:tcBorders>
              <w:top w:val="single" w:sz="4" w:space="0" w:color="E8E8E8"/>
              <w:left w:val="single" w:sz="4" w:space="0" w:color="E8E8E8"/>
              <w:bottom w:val="single" w:sz="4" w:space="0" w:color="E8E8E8"/>
              <w:right w:val="single" w:sz="4" w:space="0" w:color="E8E8E8"/>
            </w:tcBorders>
            <w:shd w:val="clear" w:color="auto" w:fill="FFFFFF"/>
            <w:tcMar>
              <w:top w:w="90" w:type="dxa"/>
              <w:left w:w="130" w:type="dxa"/>
              <w:bottom w:w="90" w:type="dxa"/>
              <w:right w:w="90" w:type="dxa"/>
            </w:tcMar>
          </w:tcPr>
          <w:p w14:paraId="4D52021A" w14:textId="77777777" w:rsidR="005E111D" w:rsidRDefault="00000000">
            <w:r>
              <w:rPr>
                <w:color w:val="495057"/>
                <w:sz w:val="20"/>
                <w:szCs w:val="20"/>
              </w:rPr>
              <w:t xml:space="preserve">ML </w:t>
            </w:r>
            <w:proofErr w:type="gramStart"/>
            <w:r>
              <w:rPr>
                <w:color w:val="495057"/>
                <w:sz w:val="20"/>
                <w:szCs w:val="20"/>
              </w:rPr>
              <w:t>Gold  #</w:t>
            </w:r>
            <w:proofErr w:type="gramEnd"/>
            <w:r>
              <w:rPr>
                <w:color w:val="495057"/>
                <w:sz w:val="20"/>
                <w:szCs w:val="20"/>
              </w:rPr>
              <w:t>A98C5</w:t>
            </w:r>
            <w:proofErr w:type="gramStart"/>
            <w:r>
              <w:rPr>
                <w:color w:val="495057"/>
                <w:sz w:val="20"/>
                <w:szCs w:val="20"/>
              </w:rPr>
              <w:t>A  —</w:t>
            </w:r>
            <w:proofErr w:type="gramEnd"/>
            <w:r>
              <w:rPr>
                <w:color w:val="495057"/>
                <w:sz w:val="20"/>
                <w:szCs w:val="20"/>
              </w:rPr>
              <w:t xml:space="preserve">  The primary revenue relationship. Gold signals ongoing value and premium partnership.</w:t>
            </w:r>
          </w:p>
        </w:tc>
      </w:tr>
      <w:tr w:rsidR="005E111D" w14:paraId="2A408E90" w14:textId="77777777">
        <w:tblPrEx>
          <w:tblCellMar>
            <w:top w:w="0" w:type="dxa"/>
            <w:bottom w:w="0" w:type="dxa"/>
          </w:tblCellMar>
        </w:tblPrEx>
        <w:tc>
          <w:tcPr>
            <w:tcW w:w="2200" w:type="dxa"/>
            <w:tcBorders>
              <w:top w:val="single" w:sz="4" w:space="0" w:color="E8E8E8"/>
              <w:left w:val="single" w:sz="4" w:space="0" w:color="E8E8E8"/>
              <w:bottom w:val="single" w:sz="4" w:space="0" w:color="E8E8E8"/>
              <w:right w:val="single" w:sz="4" w:space="0" w:color="E8E8E8"/>
            </w:tcBorders>
            <w:shd w:val="clear" w:color="auto" w:fill="F8F9FA"/>
            <w:tcMar>
              <w:top w:w="90" w:type="dxa"/>
              <w:left w:w="130" w:type="dxa"/>
              <w:bottom w:w="90" w:type="dxa"/>
              <w:right w:w="90" w:type="dxa"/>
            </w:tcMar>
          </w:tcPr>
          <w:p w14:paraId="2A50C39C" w14:textId="77777777" w:rsidR="005E111D" w:rsidRDefault="00000000">
            <w:r>
              <w:rPr>
                <w:b/>
                <w:bCs/>
                <w:color w:val="212529"/>
                <w:sz w:val="20"/>
                <w:szCs w:val="20"/>
              </w:rPr>
              <w:t xml:space="preserve">Embedded </w:t>
            </w:r>
            <w:proofErr w:type="spellStart"/>
            <w:r>
              <w:rPr>
                <w:b/>
                <w:bCs/>
                <w:color w:val="212529"/>
                <w:sz w:val="20"/>
                <w:szCs w:val="20"/>
              </w:rPr>
              <w:t>GaaS</w:t>
            </w:r>
            <w:proofErr w:type="spellEnd"/>
            <w:r>
              <w:rPr>
                <w:b/>
                <w:bCs/>
                <w:color w:val="212529"/>
                <w:sz w:val="20"/>
                <w:szCs w:val="20"/>
              </w:rPr>
              <w:t xml:space="preserve"> (T3)</w:t>
            </w:r>
          </w:p>
        </w:tc>
        <w:tc>
          <w:tcPr>
            <w:tcW w:w="7160" w:type="dxa"/>
            <w:tcBorders>
              <w:top w:val="single" w:sz="4" w:space="0" w:color="E8E8E8"/>
              <w:left w:val="single" w:sz="4" w:space="0" w:color="E8E8E8"/>
              <w:bottom w:val="single" w:sz="4" w:space="0" w:color="E8E8E8"/>
              <w:right w:val="single" w:sz="4" w:space="0" w:color="E8E8E8"/>
            </w:tcBorders>
            <w:shd w:val="clear" w:color="auto" w:fill="F8F9FA"/>
            <w:tcMar>
              <w:top w:w="90" w:type="dxa"/>
              <w:left w:w="130" w:type="dxa"/>
              <w:bottom w:w="90" w:type="dxa"/>
              <w:right w:w="90" w:type="dxa"/>
            </w:tcMar>
          </w:tcPr>
          <w:p w14:paraId="776CF6AF" w14:textId="77777777" w:rsidR="005E111D" w:rsidRDefault="00000000">
            <w:r>
              <w:rPr>
                <w:color w:val="495057"/>
                <w:sz w:val="20"/>
                <w:szCs w:val="20"/>
              </w:rPr>
              <w:t xml:space="preserve">Deep </w:t>
            </w:r>
            <w:proofErr w:type="gramStart"/>
            <w:r>
              <w:rPr>
                <w:color w:val="495057"/>
                <w:sz w:val="20"/>
                <w:szCs w:val="20"/>
              </w:rPr>
              <w:t>Blue  #</w:t>
            </w:r>
            <w:proofErr w:type="gramEnd"/>
            <w:r>
              <w:rPr>
                <w:color w:val="495057"/>
                <w:sz w:val="20"/>
                <w:szCs w:val="20"/>
              </w:rPr>
              <w:t>2E</w:t>
            </w:r>
            <w:proofErr w:type="gramStart"/>
            <w:r>
              <w:rPr>
                <w:color w:val="495057"/>
                <w:sz w:val="20"/>
                <w:szCs w:val="20"/>
              </w:rPr>
              <w:t>5266  —</w:t>
            </w:r>
            <w:proofErr w:type="gramEnd"/>
            <w:r>
              <w:rPr>
                <w:color w:val="495057"/>
                <w:sz w:val="20"/>
                <w:szCs w:val="20"/>
              </w:rPr>
              <w:t xml:space="preserve">  Deepest engagement, highest authority. Darker, more formal.</w:t>
            </w:r>
          </w:p>
        </w:tc>
      </w:tr>
      <w:tr w:rsidR="005E111D" w14:paraId="775E218B" w14:textId="77777777">
        <w:tblPrEx>
          <w:tblCellMar>
            <w:top w:w="0" w:type="dxa"/>
            <w:bottom w:w="0" w:type="dxa"/>
          </w:tblCellMar>
        </w:tblPrEx>
        <w:tc>
          <w:tcPr>
            <w:tcW w:w="2200" w:type="dxa"/>
            <w:tcBorders>
              <w:top w:val="single" w:sz="4" w:space="0" w:color="E8E8E8"/>
              <w:left w:val="single" w:sz="4" w:space="0" w:color="E8E8E8"/>
              <w:bottom w:val="single" w:sz="4" w:space="0" w:color="E8E8E8"/>
              <w:right w:val="single" w:sz="4" w:space="0" w:color="E8E8E8"/>
            </w:tcBorders>
            <w:shd w:val="clear" w:color="auto" w:fill="FFFFFF"/>
            <w:tcMar>
              <w:top w:w="90" w:type="dxa"/>
              <w:left w:w="130" w:type="dxa"/>
              <w:bottom w:w="90" w:type="dxa"/>
              <w:right w:w="90" w:type="dxa"/>
            </w:tcMar>
          </w:tcPr>
          <w:p w14:paraId="09A9EEE0" w14:textId="77777777" w:rsidR="005E111D" w:rsidRDefault="00000000">
            <w:r>
              <w:rPr>
                <w:b/>
                <w:bCs/>
                <w:color w:val="212529"/>
                <w:sz w:val="20"/>
                <w:szCs w:val="20"/>
              </w:rPr>
              <w:t xml:space="preserve">Pre-Exit </w:t>
            </w:r>
            <w:proofErr w:type="spellStart"/>
            <w:r>
              <w:rPr>
                <w:b/>
                <w:bCs/>
                <w:color w:val="212529"/>
                <w:sz w:val="20"/>
                <w:szCs w:val="20"/>
              </w:rPr>
              <w:t>GaaS</w:t>
            </w:r>
            <w:proofErr w:type="spellEnd"/>
            <w:r>
              <w:rPr>
                <w:b/>
                <w:bCs/>
                <w:color w:val="212529"/>
                <w:sz w:val="20"/>
                <w:szCs w:val="20"/>
              </w:rPr>
              <w:t xml:space="preserve"> (T4)</w:t>
            </w:r>
          </w:p>
        </w:tc>
        <w:tc>
          <w:tcPr>
            <w:tcW w:w="7160" w:type="dxa"/>
            <w:tcBorders>
              <w:top w:val="single" w:sz="4" w:space="0" w:color="E8E8E8"/>
              <w:left w:val="single" w:sz="4" w:space="0" w:color="E8E8E8"/>
              <w:bottom w:val="single" w:sz="4" w:space="0" w:color="E8E8E8"/>
              <w:right w:val="single" w:sz="4" w:space="0" w:color="E8E8E8"/>
            </w:tcBorders>
            <w:shd w:val="clear" w:color="auto" w:fill="FFFFFF"/>
            <w:tcMar>
              <w:top w:w="90" w:type="dxa"/>
              <w:left w:w="130" w:type="dxa"/>
              <w:bottom w:w="90" w:type="dxa"/>
              <w:right w:w="90" w:type="dxa"/>
            </w:tcMar>
          </w:tcPr>
          <w:p w14:paraId="573DC291" w14:textId="77777777" w:rsidR="005E111D" w:rsidRDefault="00000000">
            <w:r>
              <w:rPr>
                <w:color w:val="495057"/>
                <w:sz w:val="20"/>
                <w:szCs w:val="20"/>
              </w:rPr>
              <w:t xml:space="preserve">ML </w:t>
            </w:r>
            <w:proofErr w:type="gramStart"/>
            <w:r>
              <w:rPr>
                <w:color w:val="495057"/>
                <w:sz w:val="20"/>
                <w:szCs w:val="20"/>
              </w:rPr>
              <w:t>Charcoal  #212529  —</w:t>
            </w:r>
            <w:proofErr w:type="gramEnd"/>
            <w:r>
              <w:rPr>
                <w:color w:val="495057"/>
                <w:sz w:val="20"/>
                <w:szCs w:val="20"/>
              </w:rPr>
              <w:t xml:space="preserve">  High-stakes, time-bounded. The most serious engagement. Charcoal signals gravity.</w:t>
            </w:r>
          </w:p>
        </w:tc>
      </w:tr>
    </w:tbl>
    <w:p w14:paraId="7139CEC6" w14:textId="77777777" w:rsidR="005E111D" w:rsidRDefault="005E111D">
      <w:pPr>
        <w:spacing w:before="80"/>
      </w:pPr>
    </w:p>
    <w:p w14:paraId="51BE76BE" w14:textId="77777777" w:rsidR="005E111D" w:rsidRDefault="00000000">
      <w:pPr>
        <w:spacing w:before="80" w:after="80"/>
      </w:pPr>
      <w:r>
        <w:rPr>
          <w:color w:val="495057"/>
        </w:rPr>
        <w:t>All four sit within the approved brand palette and do not require additional colours. The system works in both print and digital contexts.</w:t>
      </w:r>
    </w:p>
    <w:p w14:paraId="12DE37C2" w14:textId="77777777" w:rsidR="005E111D" w:rsidRDefault="005E111D">
      <w:pPr>
        <w:spacing w:before="120"/>
      </w:pPr>
    </w:p>
    <w:p w14:paraId="720DD40E" w14:textId="77777777" w:rsidR="005E111D" w:rsidRDefault="00000000">
      <w:pPr>
        <w:pStyle w:val="Heading2"/>
      </w:pPr>
      <w:r>
        <w:t>Adversarial Methodology — Visual Language</w:t>
      </w:r>
    </w:p>
    <w:p w14:paraId="178D2156" w14:textId="77777777" w:rsidR="005E111D" w:rsidRDefault="005E111D">
      <w:pPr>
        <w:spacing w:before="80"/>
      </w:pPr>
    </w:p>
    <w:p w14:paraId="1C44AAA6" w14:textId="77777777" w:rsidR="005E111D" w:rsidRDefault="00000000">
      <w:pPr>
        <w:spacing w:before="80" w:after="80"/>
      </w:pPr>
      <w:r>
        <w:rPr>
          <w:color w:val="495057"/>
        </w:rPr>
        <w:t>The adversarial methodology should be visually signalled on the website and in proposals through deliberate use of challenge-oriented language and imagery — not gratuitous military or conflict aesthetics (which are common in red team branding and have become generic), but precision, structure, and rigour. Specific guidance:</w:t>
      </w:r>
    </w:p>
    <w:p w14:paraId="115363F2" w14:textId="77777777" w:rsidR="005E111D" w:rsidRDefault="005E111D">
      <w:pPr>
        <w:spacing w:before="80"/>
      </w:pPr>
    </w:p>
    <w:p w14:paraId="472DF2E3" w14:textId="77777777" w:rsidR="005E111D" w:rsidRDefault="00000000">
      <w:pPr>
        <w:spacing w:before="60" w:after="60"/>
        <w:ind w:left="360" w:hanging="240"/>
      </w:pPr>
      <w:r>
        <w:rPr>
          <w:color w:val="A98C5A"/>
        </w:rPr>
        <w:t xml:space="preserve">•  </w:t>
      </w:r>
      <w:r>
        <w:rPr>
          <w:b/>
          <w:bCs/>
          <w:color w:val="212529"/>
        </w:rPr>
        <w:t>No military or war-room imagery.</w:t>
      </w:r>
      <w:r>
        <w:rPr>
          <w:color w:val="495057"/>
        </w:rPr>
        <w:t xml:space="preserve"> It is overused in the space, signals aggression rather than governance expertise, and is inconsistent with the board-level buyer persona.</w:t>
      </w:r>
    </w:p>
    <w:p w14:paraId="48CBBC3D" w14:textId="77777777" w:rsidR="005E111D" w:rsidRDefault="00000000">
      <w:pPr>
        <w:spacing w:before="60" w:after="60"/>
        <w:ind w:left="360" w:hanging="240"/>
      </w:pPr>
      <w:r>
        <w:rPr>
          <w:color w:val="A98C5A"/>
        </w:rPr>
        <w:t xml:space="preserve">•  </w:t>
      </w:r>
      <w:r>
        <w:rPr>
          <w:b/>
          <w:bCs/>
          <w:color w:val="212529"/>
        </w:rPr>
        <w:t>Geometric precision.</w:t>
      </w:r>
      <w:r>
        <w:rPr>
          <w:color w:val="495057"/>
        </w:rPr>
        <w:t xml:space="preserve"> The existing logo mark already references a geometric, analytical aesthetic. Extend this to iconography and data visualisation — structured diagrams, clean matrices, precise frameworks.</w:t>
      </w:r>
    </w:p>
    <w:p w14:paraId="4B015ED4" w14:textId="77777777" w:rsidR="005E111D" w:rsidRDefault="00000000">
      <w:pPr>
        <w:spacing w:before="60" w:after="60"/>
        <w:ind w:left="360" w:hanging="240"/>
      </w:pPr>
      <w:r>
        <w:rPr>
          <w:color w:val="A98C5A"/>
        </w:rPr>
        <w:t xml:space="preserve">•  </w:t>
      </w:r>
      <w:r>
        <w:rPr>
          <w:b/>
          <w:bCs/>
          <w:color w:val="212529"/>
        </w:rPr>
        <w:t>Use the language of challenge, not conflict.</w:t>
      </w:r>
      <w:r>
        <w:rPr>
          <w:color w:val="495057"/>
        </w:rPr>
        <w:t xml:space="preserve"> "Independent challenge", "adversarial analysis", "systematic stress-testing" — not "war gaming", "combat simulation", or aggressive metaphors.</w:t>
      </w:r>
    </w:p>
    <w:p w14:paraId="0E9FCFB9" w14:textId="77777777" w:rsidR="005E111D" w:rsidRDefault="005E111D">
      <w:pPr>
        <w:spacing w:before="200"/>
      </w:pPr>
    </w:p>
    <w:p w14:paraId="23F0A47B" w14:textId="77777777" w:rsidR="005E111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800"/>
      </w:tblGrid>
      <w:tr w:rsidR="005E111D" w14:paraId="2AF21EFF"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A98C5A"/>
            <w:tcMar>
              <w:top w:w="140" w:type="dxa"/>
              <w:left w:w="100" w:type="dxa"/>
              <w:bottom w:w="140" w:type="dxa"/>
              <w:right w:w="100" w:type="dxa"/>
            </w:tcMar>
            <w:vAlign w:val="center"/>
          </w:tcPr>
          <w:p w14:paraId="61E2C5F8" w14:textId="77777777" w:rsidR="005E111D" w:rsidRDefault="00000000">
            <w:pPr>
              <w:jc w:val="center"/>
            </w:pPr>
            <w:r>
              <w:rPr>
                <w:rFonts w:ascii="Georgia" w:eastAsia="Georgia" w:hAnsi="Georgia" w:cs="Georgia"/>
                <w:b/>
                <w:bCs/>
                <w:color w:val="FFFFFF"/>
                <w:sz w:val="28"/>
                <w:szCs w:val="28"/>
              </w:rPr>
              <w:lastRenderedPageBreak/>
              <w:t>07</w:t>
            </w:r>
          </w:p>
        </w:tc>
        <w:tc>
          <w:tcPr>
            <w:tcW w:w="8800" w:type="dxa"/>
            <w:tcBorders>
              <w:top w:val="none" w:sz="0" w:space="0" w:color="FFFFFF"/>
              <w:left w:val="none" w:sz="0" w:space="0" w:color="FFFFFF"/>
              <w:bottom w:val="none" w:sz="0" w:space="0" w:color="FFFFFF"/>
              <w:right w:val="none" w:sz="0" w:space="0" w:color="FFFFFF"/>
            </w:tcBorders>
            <w:shd w:val="clear" w:color="auto" w:fill="212529"/>
            <w:tcMar>
              <w:top w:w="140" w:type="dxa"/>
              <w:left w:w="260" w:type="dxa"/>
              <w:bottom w:w="140" w:type="dxa"/>
              <w:right w:w="120" w:type="dxa"/>
            </w:tcMar>
            <w:vAlign w:val="center"/>
          </w:tcPr>
          <w:p w14:paraId="53D19947" w14:textId="77777777" w:rsidR="005E111D" w:rsidRDefault="00000000">
            <w:r>
              <w:rPr>
                <w:rFonts w:ascii="Georgia" w:eastAsia="Georgia" w:hAnsi="Georgia" w:cs="Georgia"/>
                <w:b/>
                <w:bCs/>
                <w:caps/>
                <w:color w:val="FFFFFF"/>
                <w:sz w:val="28"/>
                <w:szCs w:val="28"/>
              </w:rPr>
              <w:t>Website Restructure: Revised Architecture</w:t>
            </w:r>
          </w:p>
        </w:tc>
      </w:tr>
    </w:tbl>
    <w:p w14:paraId="259BED30" w14:textId="77777777" w:rsidR="005E111D" w:rsidRDefault="005E111D">
      <w:pPr>
        <w:spacing w:before="160"/>
      </w:pPr>
    </w:p>
    <w:p w14:paraId="69E70807" w14:textId="77777777" w:rsidR="005E111D" w:rsidRDefault="00000000">
      <w:pPr>
        <w:spacing w:before="80" w:after="80"/>
      </w:pPr>
      <w:r>
        <w:rPr>
          <w:color w:val="495057"/>
          <w:sz w:val="24"/>
          <w:szCs w:val="24"/>
        </w:rPr>
        <w:t>The 19-page pillar-cluster architecture in the strategy report was built around a pure Governance as a Service positioning. It now needs to integrate the adversarial methodology as a distinct but subordinate section. The revised structure is below. It collapses some of the original 19 pages (which were duplicative at this stage of the firm's development) and adds the Adversarial Methodology section as a clearly defined third pillar.</w:t>
      </w:r>
    </w:p>
    <w:p w14:paraId="5F2BDA38" w14:textId="77777777" w:rsidR="005E111D" w:rsidRDefault="005E111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3960"/>
        <w:gridCol w:w="2400"/>
      </w:tblGrid>
      <w:tr w:rsidR="005E111D" w14:paraId="7C3348F2" w14:textId="77777777">
        <w:tblPrEx>
          <w:tblCellMar>
            <w:top w:w="0" w:type="dxa"/>
            <w:bottom w:w="0" w:type="dxa"/>
          </w:tblCellMar>
        </w:tblPrEx>
        <w:tc>
          <w:tcPr>
            <w:tcW w:w="600" w:type="dxa"/>
            <w:tcBorders>
              <w:top w:val="single" w:sz="4" w:space="0" w:color="A98C5A"/>
              <w:left w:val="single" w:sz="4" w:space="0" w:color="A98C5A"/>
              <w:bottom w:val="single" w:sz="4" w:space="0" w:color="A98C5A"/>
              <w:right w:val="single" w:sz="4" w:space="0" w:color="A98C5A"/>
            </w:tcBorders>
            <w:shd w:val="clear" w:color="auto" w:fill="212529"/>
            <w:tcMar>
              <w:top w:w="80" w:type="dxa"/>
              <w:left w:w="100" w:type="dxa"/>
              <w:bottom w:w="80" w:type="dxa"/>
              <w:right w:w="80" w:type="dxa"/>
            </w:tcMar>
          </w:tcPr>
          <w:p w14:paraId="305F82D7" w14:textId="77777777" w:rsidR="005E111D" w:rsidRDefault="00000000">
            <w:r>
              <w:rPr>
                <w:b/>
                <w:bCs/>
                <w:caps/>
                <w:color w:val="FFFFFF"/>
                <w:sz w:val="19"/>
                <w:szCs w:val="19"/>
              </w:rPr>
              <w:t>#</w:t>
            </w:r>
          </w:p>
        </w:tc>
        <w:tc>
          <w:tcPr>
            <w:tcW w:w="2400" w:type="dxa"/>
            <w:tcBorders>
              <w:top w:val="single" w:sz="4" w:space="0" w:color="A98C5A"/>
              <w:left w:val="single" w:sz="4" w:space="0" w:color="A98C5A"/>
              <w:bottom w:val="single" w:sz="4" w:space="0" w:color="A98C5A"/>
              <w:right w:val="single" w:sz="4" w:space="0" w:color="A98C5A"/>
            </w:tcBorders>
            <w:shd w:val="clear" w:color="auto" w:fill="212529"/>
            <w:tcMar>
              <w:top w:w="80" w:type="dxa"/>
              <w:left w:w="100" w:type="dxa"/>
              <w:bottom w:w="80" w:type="dxa"/>
              <w:right w:w="80" w:type="dxa"/>
            </w:tcMar>
          </w:tcPr>
          <w:p w14:paraId="5B2B4C8B" w14:textId="77777777" w:rsidR="005E111D" w:rsidRDefault="00000000">
            <w:r>
              <w:rPr>
                <w:b/>
                <w:bCs/>
                <w:caps/>
                <w:color w:val="FFFFFF"/>
                <w:sz w:val="19"/>
                <w:szCs w:val="19"/>
              </w:rPr>
              <w:t>Page</w:t>
            </w:r>
          </w:p>
        </w:tc>
        <w:tc>
          <w:tcPr>
            <w:tcW w:w="3960" w:type="dxa"/>
            <w:tcBorders>
              <w:top w:val="single" w:sz="4" w:space="0" w:color="A98C5A"/>
              <w:left w:val="single" w:sz="4" w:space="0" w:color="A98C5A"/>
              <w:bottom w:val="single" w:sz="4" w:space="0" w:color="A98C5A"/>
              <w:right w:val="single" w:sz="4" w:space="0" w:color="A98C5A"/>
            </w:tcBorders>
            <w:shd w:val="clear" w:color="auto" w:fill="212529"/>
            <w:tcMar>
              <w:top w:w="80" w:type="dxa"/>
              <w:left w:w="100" w:type="dxa"/>
              <w:bottom w:w="80" w:type="dxa"/>
              <w:right w:w="80" w:type="dxa"/>
            </w:tcMar>
          </w:tcPr>
          <w:p w14:paraId="2724538E" w14:textId="77777777" w:rsidR="005E111D" w:rsidRDefault="00000000">
            <w:r>
              <w:rPr>
                <w:b/>
                <w:bCs/>
                <w:caps/>
                <w:color w:val="FFFFFF"/>
                <w:sz w:val="19"/>
                <w:szCs w:val="19"/>
              </w:rPr>
              <w:t>Primary Content</w:t>
            </w:r>
          </w:p>
        </w:tc>
        <w:tc>
          <w:tcPr>
            <w:tcW w:w="2400" w:type="dxa"/>
            <w:tcBorders>
              <w:top w:val="single" w:sz="4" w:space="0" w:color="A98C5A"/>
              <w:left w:val="single" w:sz="4" w:space="0" w:color="A98C5A"/>
              <w:bottom w:val="single" w:sz="4" w:space="0" w:color="A98C5A"/>
              <w:right w:val="single" w:sz="4" w:space="0" w:color="A98C5A"/>
            </w:tcBorders>
            <w:shd w:val="clear" w:color="auto" w:fill="212529"/>
            <w:tcMar>
              <w:top w:w="80" w:type="dxa"/>
              <w:left w:w="100" w:type="dxa"/>
              <w:bottom w:w="80" w:type="dxa"/>
              <w:right w:w="80" w:type="dxa"/>
            </w:tcMar>
          </w:tcPr>
          <w:p w14:paraId="37A62702" w14:textId="77777777" w:rsidR="005E111D" w:rsidRDefault="00000000">
            <w:r>
              <w:rPr>
                <w:b/>
                <w:bCs/>
                <w:caps/>
                <w:color w:val="FFFFFF"/>
                <w:sz w:val="19"/>
                <w:szCs w:val="19"/>
              </w:rPr>
              <w:t>Priority</w:t>
            </w:r>
          </w:p>
        </w:tc>
      </w:tr>
      <w:tr w:rsidR="005E111D" w14:paraId="47AF3634" w14:textId="77777777">
        <w:tblPrEx>
          <w:tblCellMar>
            <w:top w:w="0" w:type="dxa"/>
            <w:bottom w:w="0" w:type="dxa"/>
          </w:tblCellMar>
        </w:tblPrEx>
        <w:tc>
          <w:tcPr>
            <w:tcW w:w="6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56826838" w14:textId="77777777" w:rsidR="005E111D" w:rsidRDefault="00000000">
            <w:r>
              <w:rPr>
                <w:b/>
                <w:bCs/>
                <w:color w:val="A98C5A"/>
                <w:sz w:val="19"/>
                <w:szCs w:val="19"/>
              </w:rPr>
              <w:t>1</w:t>
            </w:r>
          </w:p>
        </w:tc>
        <w:tc>
          <w:tcPr>
            <w:tcW w:w="24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63E5135E" w14:textId="77777777" w:rsidR="005E111D" w:rsidRDefault="00000000">
            <w:r>
              <w:rPr>
                <w:b/>
                <w:bCs/>
                <w:color w:val="212529"/>
                <w:sz w:val="19"/>
                <w:szCs w:val="19"/>
              </w:rPr>
              <w:t>Homepage</w:t>
            </w:r>
          </w:p>
        </w:tc>
        <w:tc>
          <w:tcPr>
            <w:tcW w:w="396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6624F3FC" w14:textId="77777777" w:rsidR="005E111D" w:rsidRDefault="00000000">
            <w:r>
              <w:rPr>
                <w:color w:val="495057"/>
                <w:sz w:val="18"/>
                <w:szCs w:val="18"/>
              </w:rPr>
              <w:t xml:space="preserve">Hero: ethos line. Strategic </w:t>
            </w:r>
            <w:proofErr w:type="spellStart"/>
            <w:r>
              <w:rPr>
                <w:color w:val="495057"/>
                <w:sz w:val="18"/>
                <w:szCs w:val="18"/>
              </w:rPr>
              <w:t>GaaS</w:t>
            </w:r>
            <w:proofErr w:type="spellEnd"/>
            <w:r>
              <w:rPr>
                <w:color w:val="495057"/>
                <w:sz w:val="18"/>
                <w:szCs w:val="18"/>
              </w:rPr>
              <w:t xml:space="preserve"> positioning (2 sentences). Three pillars: Strategic </w:t>
            </w:r>
            <w:proofErr w:type="spellStart"/>
            <w:r>
              <w:rPr>
                <w:color w:val="495057"/>
                <w:sz w:val="18"/>
                <w:szCs w:val="18"/>
              </w:rPr>
              <w:t>GaaS</w:t>
            </w:r>
            <w:proofErr w:type="spellEnd"/>
            <w:r>
              <w:rPr>
                <w:color w:val="495057"/>
                <w:sz w:val="18"/>
                <w:szCs w:val="18"/>
              </w:rPr>
              <w:t xml:space="preserve"> model, Adversarial Methodology, Founder credentials. Social proof (2 case study snippets). CTA: Book assessment / Explore services.</w:t>
            </w:r>
          </w:p>
        </w:tc>
        <w:tc>
          <w:tcPr>
            <w:tcW w:w="24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32B0E789" w14:textId="77777777" w:rsidR="005E111D" w:rsidRDefault="00000000">
            <w:r>
              <w:rPr>
                <w:b/>
                <w:bCs/>
                <w:color w:val="C62828"/>
                <w:sz w:val="18"/>
                <w:szCs w:val="18"/>
              </w:rPr>
              <w:t>CRITICAL</w:t>
            </w:r>
          </w:p>
        </w:tc>
      </w:tr>
      <w:tr w:rsidR="005E111D" w14:paraId="15832C46" w14:textId="77777777">
        <w:tblPrEx>
          <w:tblCellMar>
            <w:top w:w="0" w:type="dxa"/>
            <w:bottom w:w="0" w:type="dxa"/>
          </w:tblCellMar>
        </w:tblPrEx>
        <w:tc>
          <w:tcPr>
            <w:tcW w:w="6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27BF5504" w14:textId="77777777" w:rsidR="005E111D" w:rsidRDefault="00000000">
            <w:r>
              <w:rPr>
                <w:b/>
                <w:bCs/>
                <w:color w:val="A98C5A"/>
                <w:sz w:val="19"/>
                <w:szCs w:val="19"/>
              </w:rPr>
              <w:t>2</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722D320C" w14:textId="77777777" w:rsidR="005E111D" w:rsidRDefault="00000000">
            <w:r>
              <w:rPr>
                <w:b/>
                <w:bCs/>
                <w:color w:val="212529"/>
                <w:sz w:val="19"/>
                <w:szCs w:val="19"/>
              </w:rPr>
              <w:t>About Owen</w:t>
            </w:r>
          </w:p>
        </w:tc>
        <w:tc>
          <w:tcPr>
            <w:tcW w:w="39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4AE5EE05" w14:textId="77777777" w:rsidR="005E111D" w:rsidRDefault="00000000">
            <w:r>
              <w:rPr>
                <w:color w:val="495057"/>
                <w:sz w:val="18"/>
                <w:szCs w:val="18"/>
              </w:rPr>
              <w:t>Full career narrative. Institutional credentials. Board experience. Cross-border regulatory scope. Why direct delivery matters. Professional headshot. THIS PAGE MUST BE LIVE.</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71E912CD" w14:textId="77777777" w:rsidR="005E111D" w:rsidRDefault="00000000">
            <w:r>
              <w:rPr>
                <w:b/>
                <w:bCs/>
                <w:color w:val="C62828"/>
                <w:sz w:val="18"/>
                <w:szCs w:val="18"/>
              </w:rPr>
              <w:t>CRITICAL</w:t>
            </w:r>
          </w:p>
        </w:tc>
      </w:tr>
      <w:tr w:rsidR="005E111D" w14:paraId="5C007602" w14:textId="77777777">
        <w:tblPrEx>
          <w:tblCellMar>
            <w:top w:w="0" w:type="dxa"/>
            <w:bottom w:w="0" w:type="dxa"/>
          </w:tblCellMar>
        </w:tblPrEx>
        <w:tc>
          <w:tcPr>
            <w:tcW w:w="6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64463F30" w14:textId="77777777" w:rsidR="005E111D" w:rsidRDefault="00000000">
            <w:r>
              <w:rPr>
                <w:b/>
                <w:bCs/>
                <w:color w:val="A98C5A"/>
                <w:sz w:val="19"/>
                <w:szCs w:val="19"/>
              </w:rPr>
              <w:t>3</w:t>
            </w:r>
          </w:p>
        </w:tc>
        <w:tc>
          <w:tcPr>
            <w:tcW w:w="24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75F2F265" w14:textId="77777777" w:rsidR="005E111D" w:rsidRDefault="00000000">
            <w:r>
              <w:rPr>
                <w:b/>
                <w:bCs/>
                <w:color w:val="212529"/>
                <w:sz w:val="19"/>
                <w:szCs w:val="19"/>
              </w:rPr>
              <w:t xml:space="preserve">Strategic </w:t>
            </w:r>
            <w:proofErr w:type="spellStart"/>
            <w:r>
              <w:rPr>
                <w:b/>
                <w:bCs/>
                <w:color w:val="212529"/>
                <w:sz w:val="19"/>
                <w:szCs w:val="19"/>
              </w:rPr>
              <w:t>GaaS</w:t>
            </w:r>
            <w:proofErr w:type="spellEnd"/>
            <w:r>
              <w:rPr>
                <w:b/>
                <w:bCs/>
                <w:color w:val="212529"/>
                <w:sz w:val="19"/>
                <w:szCs w:val="19"/>
              </w:rPr>
              <w:t xml:space="preserve"> Services Hub</w:t>
            </w:r>
          </w:p>
        </w:tc>
        <w:tc>
          <w:tcPr>
            <w:tcW w:w="396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044A045B" w14:textId="77777777" w:rsidR="005E111D" w:rsidRDefault="00000000">
            <w:r>
              <w:rPr>
                <w:color w:val="495057"/>
                <w:sz w:val="18"/>
                <w:szCs w:val="18"/>
              </w:rPr>
              <w:t>Overview of four-tier model. Comparison matrix. Progression pathway. CTA per tier.</w:t>
            </w:r>
          </w:p>
        </w:tc>
        <w:tc>
          <w:tcPr>
            <w:tcW w:w="24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2695CDAF" w14:textId="77777777" w:rsidR="005E111D" w:rsidRDefault="00000000">
            <w:r>
              <w:rPr>
                <w:b/>
                <w:bCs/>
                <w:color w:val="C62828"/>
                <w:sz w:val="18"/>
                <w:szCs w:val="18"/>
              </w:rPr>
              <w:t>CRITICAL</w:t>
            </w:r>
          </w:p>
        </w:tc>
      </w:tr>
      <w:tr w:rsidR="005E111D" w14:paraId="3B97BD1E" w14:textId="77777777">
        <w:tblPrEx>
          <w:tblCellMar>
            <w:top w:w="0" w:type="dxa"/>
            <w:bottom w:w="0" w:type="dxa"/>
          </w:tblCellMar>
        </w:tblPrEx>
        <w:tc>
          <w:tcPr>
            <w:tcW w:w="6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18BC16DA" w14:textId="77777777" w:rsidR="005E111D" w:rsidRDefault="00000000">
            <w:r>
              <w:rPr>
                <w:b/>
                <w:bCs/>
                <w:color w:val="A98C5A"/>
                <w:sz w:val="19"/>
                <w:szCs w:val="19"/>
              </w:rPr>
              <w:t>4</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02C560CC" w14:textId="77777777" w:rsidR="005E111D" w:rsidRDefault="00000000">
            <w:r>
              <w:rPr>
                <w:b/>
                <w:bCs/>
                <w:color w:val="212529"/>
                <w:sz w:val="19"/>
                <w:szCs w:val="19"/>
              </w:rPr>
              <w:t xml:space="preserve">Diagnostic </w:t>
            </w:r>
            <w:proofErr w:type="spellStart"/>
            <w:r>
              <w:rPr>
                <w:b/>
                <w:bCs/>
                <w:color w:val="212529"/>
                <w:sz w:val="19"/>
                <w:szCs w:val="19"/>
              </w:rPr>
              <w:t>GaaS</w:t>
            </w:r>
            <w:proofErr w:type="spellEnd"/>
          </w:p>
        </w:tc>
        <w:tc>
          <w:tcPr>
            <w:tcW w:w="39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691F1D0B" w14:textId="77777777" w:rsidR="005E111D" w:rsidRDefault="00000000">
            <w:r>
              <w:rPr>
                <w:color w:val="495057"/>
                <w:sz w:val="18"/>
                <w:szCs w:val="18"/>
              </w:rPr>
              <w:t>Scope, deliverables, pricing, adversarial tools deployed. Case study snippet.</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69AA0BE8" w14:textId="77777777" w:rsidR="005E111D" w:rsidRDefault="00000000">
            <w:r>
              <w:rPr>
                <w:b/>
                <w:bCs/>
                <w:color w:val="C8742A"/>
                <w:sz w:val="18"/>
                <w:szCs w:val="18"/>
              </w:rPr>
              <w:t>HIGH</w:t>
            </w:r>
          </w:p>
        </w:tc>
      </w:tr>
      <w:tr w:rsidR="005E111D" w14:paraId="4CBEC7C1" w14:textId="77777777">
        <w:tblPrEx>
          <w:tblCellMar>
            <w:top w:w="0" w:type="dxa"/>
            <w:bottom w:w="0" w:type="dxa"/>
          </w:tblCellMar>
        </w:tblPrEx>
        <w:tc>
          <w:tcPr>
            <w:tcW w:w="6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473EE8B6" w14:textId="77777777" w:rsidR="005E111D" w:rsidRDefault="00000000">
            <w:r>
              <w:rPr>
                <w:b/>
                <w:bCs/>
                <w:color w:val="A98C5A"/>
                <w:sz w:val="19"/>
                <w:szCs w:val="19"/>
              </w:rPr>
              <w:t>5</w:t>
            </w:r>
          </w:p>
        </w:tc>
        <w:tc>
          <w:tcPr>
            <w:tcW w:w="24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53726C87" w14:textId="77777777" w:rsidR="005E111D" w:rsidRDefault="00000000">
            <w:r>
              <w:rPr>
                <w:b/>
                <w:bCs/>
                <w:color w:val="212529"/>
                <w:sz w:val="19"/>
                <w:szCs w:val="19"/>
              </w:rPr>
              <w:t xml:space="preserve">Retained </w:t>
            </w:r>
            <w:proofErr w:type="spellStart"/>
            <w:r>
              <w:rPr>
                <w:b/>
                <w:bCs/>
                <w:color w:val="212529"/>
                <w:sz w:val="19"/>
                <w:szCs w:val="19"/>
              </w:rPr>
              <w:t>GaaS</w:t>
            </w:r>
            <w:proofErr w:type="spellEnd"/>
          </w:p>
        </w:tc>
        <w:tc>
          <w:tcPr>
            <w:tcW w:w="396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67BA4BC9" w14:textId="77777777" w:rsidR="005E111D" w:rsidRDefault="00000000">
            <w:r>
              <w:rPr>
                <w:color w:val="495057"/>
                <w:sz w:val="18"/>
                <w:szCs w:val="18"/>
              </w:rPr>
              <w:t>Monthly model, deliverables, pricing, adversarial tools. Core revenue page.</w:t>
            </w:r>
          </w:p>
        </w:tc>
        <w:tc>
          <w:tcPr>
            <w:tcW w:w="24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70FA4891" w14:textId="77777777" w:rsidR="005E111D" w:rsidRDefault="00000000">
            <w:r>
              <w:rPr>
                <w:b/>
                <w:bCs/>
                <w:color w:val="C62828"/>
                <w:sz w:val="18"/>
                <w:szCs w:val="18"/>
              </w:rPr>
              <w:t>CRITICAL</w:t>
            </w:r>
          </w:p>
        </w:tc>
      </w:tr>
      <w:tr w:rsidR="005E111D" w14:paraId="14A5768C" w14:textId="77777777">
        <w:tblPrEx>
          <w:tblCellMar>
            <w:top w:w="0" w:type="dxa"/>
            <w:bottom w:w="0" w:type="dxa"/>
          </w:tblCellMar>
        </w:tblPrEx>
        <w:tc>
          <w:tcPr>
            <w:tcW w:w="6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4E02124D" w14:textId="77777777" w:rsidR="005E111D" w:rsidRDefault="00000000">
            <w:r>
              <w:rPr>
                <w:b/>
                <w:bCs/>
                <w:color w:val="A98C5A"/>
                <w:sz w:val="19"/>
                <w:szCs w:val="19"/>
              </w:rPr>
              <w:t>6</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4084EFFC" w14:textId="77777777" w:rsidR="005E111D" w:rsidRDefault="00000000">
            <w:r>
              <w:rPr>
                <w:b/>
                <w:bCs/>
                <w:color w:val="212529"/>
                <w:sz w:val="19"/>
                <w:szCs w:val="19"/>
              </w:rPr>
              <w:t xml:space="preserve">Embedded </w:t>
            </w:r>
            <w:proofErr w:type="spellStart"/>
            <w:r>
              <w:rPr>
                <w:b/>
                <w:bCs/>
                <w:color w:val="212529"/>
                <w:sz w:val="19"/>
                <w:szCs w:val="19"/>
              </w:rPr>
              <w:t>GaaS</w:t>
            </w:r>
            <w:proofErr w:type="spellEnd"/>
          </w:p>
        </w:tc>
        <w:tc>
          <w:tcPr>
            <w:tcW w:w="39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46F7727C" w14:textId="77777777" w:rsidR="005E111D" w:rsidRDefault="00000000">
            <w:r>
              <w:rPr>
                <w:color w:val="495057"/>
                <w:sz w:val="18"/>
                <w:szCs w:val="18"/>
              </w:rPr>
              <w:t>Deep engagement model, board-seated governance, pricing, case study.</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1DEFD405" w14:textId="77777777" w:rsidR="005E111D" w:rsidRDefault="00000000">
            <w:r>
              <w:rPr>
                <w:b/>
                <w:bCs/>
                <w:color w:val="C8742A"/>
                <w:sz w:val="18"/>
                <w:szCs w:val="18"/>
              </w:rPr>
              <w:t>HIGH</w:t>
            </w:r>
          </w:p>
        </w:tc>
      </w:tr>
      <w:tr w:rsidR="005E111D" w14:paraId="4A21DC60" w14:textId="77777777">
        <w:tblPrEx>
          <w:tblCellMar>
            <w:top w:w="0" w:type="dxa"/>
            <w:bottom w:w="0" w:type="dxa"/>
          </w:tblCellMar>
        </w:tblPrEx>
        <w:tc>
          <w:tcPr>
            <w:tcW w:w="6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2AC18B36" w14:textId="77777777" w:rsidR="005E111D" w:rsidRDefault="00000000">
            <w:r>
              <w:rPr>
                <w:b/>
                <w:bCs/>
                <w:color w:val="A98C5A"/>
                <w:sz w:val="19"/>
                <w:szCs w:val="19"/>
              </w:rPr>
              <w:t>7</w:t>
            </w:r>
          </w:p>
        </w:tc>
        <w:tc>
          <w:tcPr>
            <w:tcW w:w="24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5E0672DA" w14:textId="77777777" w:rsidR="005E111D" w:rsidRDefault="00000000">
            <w:r>
              <w:rPr>
                <w:b/>
                <w:bCs/>
                <w:color w:val="212529"/>
                <w:sz w:val="19"/>
                <w:szCs w:val="19"/>
              </w:rPr>
              <w:t xml:space="preserve">Pre-Exit </w:t>
            </w:r>
            <w:proofErr w:type="spellStart"/>
            <w:r>
              <w:rPr>
                <w:b/>
                <w:bCs/>
                <w:color w:val="212529"/>
                <w:sz w:val="19"/>
                <w:szCs w:val="19"/>
              </w:rPr>
              <w:t>GaaS</w:t>
            </w:r>
            <w:proofErr w:type="spellEnd"/>
          </w:p>
        </w:tc>
        <w:tc>
          <w:tcPr>
            <w:tcW w:w="396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3871060A" w14:textId="77777777" w:rsidR="005E111D" w:rsidRDefault="00000000">
            <w:r>
              <w:rPr>
                <w:color w:val="495057"/>
                <w:sz w:val="18"/>
                <w:szCs w:val="18"/>
              </w:rPr>
              <w:t>4-phase model, gain-sharing structure, PE-specific case study, pricing.</w:t>
            </w:r>
          </w:p>
        </w:tc>
        <w:tc>
          <w:tcPr>
            <w:tcW w:w="24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6301763D" w14:textId="77777777" w:rsidR="005E111D" w:rsidRDefault="00000000">
            <w:r>
              <w:rPr>
                <w:b/>
                <w:bCs/>
                <w:color w:val="C8742A"/>
                <w:sz w:val="18"/>
                <w:szCs w:val="18"/>
              </w:rPr>
              <w:t>HIGH</w:t>
            </w:r>
          </w:p>
        </w:tc>
      </w:tr>
      <w:tr w:rsidR="005E111D" w14:paraId="4E43EF89" w14:textId="77777777">
        <w:tblPrEx>
          <w:tblCellMar>
            <w:top w:w="0" w:type="dxa"/>
            <w:bottom w:w="0" w:type="dxa"/>
          </w:tblCellMar>
        </w:tblPrEx>
        <w:tc>
          <w:tcPr>
            <w:tcW w:w="6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10101D07" w14:textId="77777777" w:rsidR="005E111D" w:rsidRDefault="00000000">
            <w:r>
              <w:rPr>
                <w:b/>
                <w:bCs/>
                <w:color w:val="A98C5A"/>
                <w:sz w:val="19"/>
                <w:szCs w:val="19"/>
              </w:rPr>
              <w:t>8</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55365A54" w14:textId="77777777" w:rsidR="005E111D" w:rsidRDefault="00000000">
            <w:r>
              <w:rPr>
                <w:b/>
                <w:bCs/>
                <w:color w:val="212529"/>
                <w:sz w:val="19"/>
                <w:szCs w:val="19"/>
              </w:rPr>
              <w:t>Adversarial Methodology</w:t>
            </w:r>
          </w:p>
        </w:tc>
        <w:tc>
          <w:tcPr>
            <w:tcW w:w="39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2134189E" w14:textId="77777777" w:rsidR="005E111D" w:rsidRDefault="00000000">
            <w:r>
              <w:rPr>
                <w:color w:val="495057"/>
                <w:sz w:val="18"/>
                <w:szCs w:val="18"/>
              </w:rPr>
              <w:t>Umbrella page: what it means, why governance advisory should be adversarial, three tools overview.</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66A11F8A" w14:textId="77777777" w:rsidR="005E111D" w:rsidRDefault="00000000">
            <w:r>
              <w:rPr>
                <w:b/>
                <w:bCs/>
                <w:color w:val="C8742A"/>
                <w:sz w:val="18"/>
                <w:szCs w:val="18"/>
              </w:rPr>
              <w:t>HIGH</w:t>
            </w:r>
          </w:p>
        </w:tc>
      </w:tr>
      <w:tr w:rsidR="005E111D" w14:paraId="4C5B43DE" w14:textId="77777777">
        <w:tblPrEx>
          <w:tblCellMar>
            <w:top w:w="0" w:type="dxa"/>
            <w:bottom w:w="0" w:type="dxa"/>
          </w:tblCellMar>
        </w:tblPrEx>
        <w:tc>
          <w:tcPr>
            <w:tcW w:w="6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1F494505" w14:textId="77777777" w:rsidR="005E111D" w:rsidRDefault="00000000">
            <w:r>
              <w:rPr>
                <w:b/>
                <w:bCs/>
                <w:color w:val="A98C5A"/>
                <w:sz w:val="19"/>
                <w:szCs w:val="19"/>
              </w:rPr>
              <w:t>9</w:t>
            </w:r>
          </w:p>
        </w:tc>
        <w:tc>
          <w:tcPr>
            <w:tcW w:w="24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58E99A05" w14:textId="77777777" w:rsidR="005E111D" w:rsidRDefault="00000000">
            <w:r>
              <w:rPr>
                <w:b/>
                <w:bCs/>
                <w:color w:val="212529"/>
                <w:sz w:val="19"/>
                <w:szCs w:val="19"/>
              </w:rPr>
              <w:t>Red Team Review</w:t>
            </w:r>
          </w:p>
        </w:tc>
        <w:tc>
          <w:tcPr>
            <w:tcW w:w="396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14C69D6B" w14:textId="77777777" w:rsidR="005E111D" w:rsidRDefault="00000000">
            <w:r>
              <w:rPr>
                <w:color w:val="495057"/>
                <w:sz w:val="18"/>
                <w:szCs w:val="18"/>
              </w:rPr>
              <w:t xml:space="preserve">Full methodology page. 4-week process. Use cases. Standalone pricing. Available within Strategic </w:t>
            </w:r>
            <w:proofErr w:type="spellStart"/>
            <w:r>
              <w:rPr>
                <w:color w:val="495057"/>
                <w:sz w:val="18"/>
                <w:szCs w:val="18"/>
              </w:rPr>
              <w:t>GaaS</w:t>
            </w:r>
            <w:proofErr w:type="spellEnd"/>
            <w:r>
              <w:rPr>
                <w:color w:val="495057"/>
                <w:sz w:val="18"/>
                <w:szCs w:val="18"/>
              </w:rPr>
              <w:t>.</w:t>
            </w:r>
          </w:p>
        </w:tc>
        <w:tc>
          <w:tcPr>
            <w:tcW w:w="24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2291BF0E" w14:textId="77777777" w:rsidR="005E111D" w:rsidRDefault="00000000">
            <w:r>
              <w:rPr>
                <w:b/>
                <w:bCs/>
                <w:color w:val="C8742A"/>
                <w:sz w:val="18"/>
                <w:szCs w:val="18"/>
              </w:rPr>
              <w:t>HIGH</w:t>
            </w:r>
          </w:p>
        </w:tc>
      </w:tr>
      <w:tr w:rsidR="005E111D" w14:paraId="0CD590F8" w14:textId="77777777">
        <w:tblPrEx>
          <w:tblCellMar>
            <w:top w:w="0" w:type="dxa"/>
            <w:bottom w:w="0" w:type="dxa"/>
          </w:tblCellMar>
        </w:tblPrEx>
        <w:tc>
          <w:tcPr>
            <w:tcW w:w="6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644775EF" w14:textId="77777777" w:rsidR="005E111D" w:rsidRDefault="00000000">
            <w:r>
              <w:rPr>
                <w:b/>
                <w:bCs/>
                <w:color w:val="A98C5A"/>
                <w:sz w:val="19"/>
                <w:szCs w:val="19"/>
              </w:rPr>
              <w:t>10</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24844D4F" w14:textId="77777777" w:rsidR="005E111D" w:rsidRDefault="00000000">
            <w:r>
              <w:rPr>
                <w:b/>
                <w:bCs/>
                <w:color w:val="212529"/>
                <w:sz w:val="19"/>
                <w:szCs w:val="19"/>
              </w:rPr>
              <w:t>Risk Simulation Lab</w:t>
            </w:r>
          </w:p>
        </w:tc>
        <w:tc>
          <w:tcPr>
            <w:tcW w:w="39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0296905E" w14:textId="77777777" w:rsidR="005E111D" w:rsidRDefault="00000000">
            <w:r>
              <w:rPr>
                <w:color w:val="495057"/>
                <w:sz w:val="18"/>
                <w:szCs w:val="18"/>
              </w:rPr>
              <w:t>Full methodology page. 90-day engagement. Use cases. Pricing. FIX SERVER ERROR FIRST.</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652D1042" w14:textId="77777777" w:rsidR="005E111D" w:rsidRDefault="00000000">
            <w:r>
              <w:rPr>
                <w:b/>
                <w:bCs/>
                <w:color w:val="C8742A"/>
                <w:sz w:val="18"/>
                <w:szCs w:val="18"/>
              </w:rPr>
              <w:t>HIGH</w:t>
            </w:r>
          </w:p>
        </w:tc>
      </w:tr>
      <w:tr w:rsidR="005E111D" w14:paraId="3879CFA1" w14:textId="77777777">
        <w:tblPrEx>
          <w:tblCellMar>
            <w:top w:w="0" w:type="dxa"/>
            <w:bottom w:w="0" w:type="dxa"/>
          </w:tblCellMar>
        </w:tblPrEx>
        <w:tc>
          <w:tcPr>
            <w:tcW w:w="6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78272E2A" w14:textId="77777777" w:rsidR="005E111D" w:rsidRDefault="00000000">
            <w:r>
              <w:rPr>
                <w:b/>
                <w:bCs/>
                <w:color w:val="A98C5A"/>
                <w:sz w:val="19"/>
                <w:szCs w:val="19"/>
              </w:rPr>
              <w:t>11</w:t>
            </w:r>
          </w:p>
        </w:tc>
        <w:tc>
          <w:tcPr>
            <w:tcW w:w="24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12230AAE" w14:textId="77777777" w:rsidR="005E111D" w:rsidRDefault="00000000">
            <w:r>
              <w:rPr>
                <w:b/>
                <w:bCs/>
                <w:color w:val="212529"/>
                <w:sz w:val="19"/>
                <w:szCs w:val="19"/>
              </w:rPr>
              <w:t>Pre-Mortem Diagnostic</w:t>
            </w:r>
          </w:p>
        </w:tc>
        <w:tc>
          <w:tcPr>
            <w:tcW w:w="396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655D6DC8" w14:textId="77777777" w:rsidR="005E111D" w:rsidRDefault="00000000">
            <w:r>
              <w:rPr>
                <w:color w:val="495057"/>
                <w:sz w:val="18"/>
                <w:szCs w:val="18"/>
              </w:rPr>
              <w:t>Workshop format. Use cases. Pricing. When to use vs Red Team.</w:t>
            </w:r>
          </w:p>
        </w:tc>
        <w:tc>
          <w:tcPr>
            <w:tcW w:w="24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4C4970D1" w14:textId="77777777" w:rsidR="005E111D" w:rsidRDefault="00000000">
            <w:r>
              <w:rPr>
                <w:b/>
                <w:bCs/>
                <w:color w:val="495057"/>
                <w:sz w:val="18"/>
                <w:szCs w:val="18"/>
              </w:rPr>
              <w:t>MEDIUM</w:t>
            </w:r>
          </w:p>
        </w:tc>
      </w:tr>
      <w:tr w:rsidR="005E111D" w14:paraId="7612029D" w14:textId="77777777">
        <w:tblPrEx>
          <w:tblCellMar>
            <w:top w:w="0" w:type="dxa"/>
            <w:bottom w:w="0" w:type="dxa"/>
          </w:tblCellMar>
        </w:tblPrEx>
        <w:tc>
          <w:tcPr>
            <w:tcW w:w="6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341F14D4" w14:textId="77777777" w:rsidR="005E111D" w:rsidRDefault="00000000">
            <w:r>
              <w:rPr>
                <w:b/>
                <w:bCs/>
                <w:color w:val="A98C5A"/>
                <w:sz w:val="19"/>
                <w:szCs w:val="19"/>
              </w:rPr>
              <w:t>12</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276ECB7B" w14:textId="77777777" w:rsidR="005E111D" w:rsidRDefault="00000000">
            <w:r>
              <w:rPr>
                <w:b/>
                <w:bCs/>
                <w:color w:val="212529"/>
                <w:sz w:val="19"/>
                <w:szCs w:val="19"/>
              </w:rPr>
              <w:t>Case Studies</w:t>
            </w:r>
          </w:p>
        </w:tc>
        <w:tc>
          <w:tcPr>
            <w:tcW w:w="39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6080E594" w14:textId="77777777" w:rsidR="005E111D" w:rsidRDefault="00000000">
            <w:r>
              <w:rPr>
                <w:color w:val="495057"/>
                <w:sz w:val="18"/>
                <w:szCs w:val="18"/>
              </w:rPr>
              <w:t>4–6 anonymised studies. One per tier. Filter by service, sector, size.</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4BF44BF0" w14:textId="77777777" w:rsidR="005E111D" w:rsidRDefault="00000000">
            <w:r>
              <w:rPr>
                <w:b/>
                <w:bCs/>
                <w:color w:val="C62828"/>
                <w:sz w:val="18"/>
                <w:szCs w:val="18"/>
              </w:rPr>
              <w:t>CRITICAL</w:t>
            </w:r>
          </w:p>
        </w:tc>
      </w:tr>
      <w:tr w:rsidR="005E111D" w14:paraId="7F677782" w14:textId="77777777">
        <w:tblPrEx>
          <w:tblCellMar>
            <w:top w:w="0" w:type="dxa"/>
            <w:bottom w:w="0" w:type="dxa"/>
          </w:tblCellMar>
        </w:tblPrEx>
        <w:tc>
          <w:tcPr>
            <w:tcW w:w="6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2BFB255E" w14:textId="77777777" w:rsidR="005E111D" w:rsidRDefault="00000000">
            <w:r>
              <w:rPr>
                <w:b/>
                <w:bCs/>
                <w:color w:val="A98C5A"/>
                <w:sz w:val="19"/>
                <w:szCs w:val="19"/>
              </w:rPr>
              <w:t>13</w:t>
            </w:r>
          </w:p>
        </w:tc>
        <w:tc>
          <w:tcPr>
            <w:tcW w:w="24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5CD54304" w14:textId="77777777" w:rsidR="005E111D" w:rsidRDefault="00000000">
            <w:r>
              <w:rPr>
                <w:b/>
                <w:bCs/>
                <w:color w:val="212529"/>
                <w:sz w:val="19"/>
                <w:szCs w:val="19"/>
              </w:rPr>
              <w:t>Insights / Blog</w:t>
            </w:r>
          </w:p>
        </w:tc>
        <w:tc>
          <w:tcPr>
            <w:tcW w:w="396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7C78CF4F" w14:textId="77777777" w:rsidR="005E111D" w:rsidRDefault="00000000">
            <w:r>
              <w:rPr>
                <w:color w:val="495057"/>
                <w:sz w:val="18"/>
                <w:szCs w:val="18"/>
              </w:rPr>
              <w:t>Consistent publishing cadence. Minimum one article per month. Governance, risk, regulatory topics.</w:t>
            </w:r>
          </w:p>
        </w:tc>
        <w:tc>
          <w:tcPr>
            <w:tcW w:w="24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41B60841" w14:textId="77777777" w:rsidR="005E111D" w:rsidRDefault="00000000">
            <w:r>
              <w:rPr>
                <w:b/>
                <w:bCs/>
                <w:color w:val="C8742A"/>
                <w:sz w:val="18"/>
                <w:szCs w:val="18"/>
              </w:rPr>
              <w:t>HIGH</w:t>
            </w:r>
          </w:p>
        </w:tc>
      </w:tr>
      <w:tr w:rsidR="005E111D" w14:paraId="6C4C2F0D" w14:textId="77777777">
        <w:tblPrEx>
          <w:tblCellMar>
            <w:top w:w="0" w:type="dxa"/>
            <w:bottom w:w="0" w:type="dxa"/>
          </w:tblCellMar>
        </w:tblPrEx>
        <w:tc>
          <w:tcPr>
            <w:tcW w:w="6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3F60A485" w14:textId="77777777" w:rsidR="005E111D" w:rsidRDefault="00000000">
            <w:r>
              <w:rPr>
                <w:b/>
                <w:bCs/>
                <w:color w:val="A98C5A"/>
                <w:sz w:val="19"/>
                <w:szCs w:val="19"/>
              </w:rPr>
              <w:t>14</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79946A8A" w14:textId="77777777" w:rsidR="005E111D" w:rsidRDefault="00000000">
            <w:r>
              <w:rPr>
                <w:b/>
                <w:bCs/>
                <w:color w:val="212529"/>
                <w:sz w:val="19"/>
                <w:szCs w:val="19"/>
              </w:rPr>
              <w:t>Board Risk Assessment</w:t>
            </w:r>
          </w:p>
        </w:tc>
        <w:tc>
          <w:tcPr>
            <w:tcW w:w="39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4DC8235F" w14:textId="77777777" w:rsidR="005E111D" w:rsidRDefault="00000000">
            <w:r>
              <w:rPr>
                <w:color w:val="495057"/>
                <w:sz w:val="18"/>
                <w:szCs w:val="18"/>
              </w:rPr>
              <w:t>Interactive self-assessment tool. Email gate. Instant benchmark report. Lead generation engine.</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1201DB71" w14:textId="77777777" w:rsidR="005E111D" w:rsidRDefault="00000000">
            <w:r>
              <w:rPr>
                <w:b/>
                <w:bCs/>
                <w:color w:val="495057"/>
                <w:sz w:val="18"/>
                <w:szCs w:val="18"/>
              </w:rPr>
              <w:t>MEDIUM</w:t>
            </w:r>
          </w:p>
        </w:tc>
      </w:tr>
      <w:tr w:rsidR="005E111D" w14:paraId="3324A347" w14:textId="77777777">
        <w:tblPrEx>
          <w:tblCellMar>
            <w:top w:w="0" w:type="dxa"/>
            <w:bottom w:w="0" w:type="dxa"/>
          </w:tblCellMar>
        </w:tblPrEx>
        <w:tc>
          <w:tcPr>
            <w:tcW w:w="6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41B5FDFC" w14:textId="77777777" w:rsidR="005E111D" w:rsidRDefault="00000000">
            <w:r>
              <w:rPr>
                <w:b/>
                <w:bCs/>
                <w:color w:val="A98C5A"/>
                <w:sz w:val="19"/>
                <w:szCs w:val="19"/>
              </w:rPr>
              <w:lastRenderedPageBreak/>
              <w:t>15</w:t>
            </w:r>
          </w:p>
        </w:tc>
        <w:tc>
          <w:tcPr>
            <w:tcW w:w="24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7DDD748D" w14:textId="77777777" w:rsidR="005E111D" w:rsidRDefault="00000000">
            <w:r>
              <w:rPr>
                <w:b/>
                <w:bCs/>
                <w:color w:val="212529"/>
                <w:sz w:val="19"/>
                <w:szCs w:val="19"/>
              </w:rPr>
              <w:t>Contact / Schedule</w:t>
            </w:r>
          </w:p>
        </w:tc>
        <w:tc>
          <w:tcPr>
            <w:tcW w:w="396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33CD346B" w14:textId="77777777" w:rsidR="005E111D" w:rsidRDefault="00000000">
            <w:r>
              <w:rPr>
                <w:color w:val="495057"/>
                <w:sz w:val="18"/>
                <w:szCs w:val="18"/>
              </w:rPr>
              <w:t>Calendly embed. What to expect. Retain current copy — it is strong.</w:t>
            </w:r>
          </w:p>
        </w:tc>
        <w:tc>
          <w:tcPr>
            <w:tcW w:w="24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6260B5A0" w14:textId="77777777" w:rsidR="005E111D" w:rsidRDefault="00000000">
            <w:r>
              <w:rPr>
                <w:b/>
                <w:bCs/>
                <w:color w:val="C62828"/>
                <w:sz w:val="18"/>
                <w:szCs w:val="18"/>
              </w:rPr>
              <w:t>CRITICAL</w:t>
            </w:r>
          </w:p>
        </w:tc>
      </w:tr>
      <w:tr w:rsidR="005E111D" w14:paraId="0ECD2CCE" w14:textId="77777777">
        <w:tblPrEx>
          <w:tblCellMar>
            <w:top w:w="0" w:type="dxa"/>
            <w:bottom w:w="0" w:type="dxa"/>
          </w:tblCellMar>
        </w:tblPrEx>
        <w:tc>
          <w:tcPr>
            <w:tcW w:w="6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1F98A0B4" w14:textId="77777777" w:rsidR="005E111D" w:rsidRDefault="00000000">
            <w:r>
              <w:rPr>
                <w:b/>
                <w:bCs/>
                <w:color w:val="A98C5A"/>
                <w:sz w:val="19"/>
                <w:szCs w:val="19"/>
              </w:rPr>
              <w:t>16</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3D59DEED" w14:textId="77777777" w:rsidR="005E111D" w:rsidRDefault="00000000">
            <w:r>
              <w:rPr>
                <w:b/>
                <w:bCs/>
                <w:color w:val="212529"/>
                <w:sz w:val="19"/>
                <w:szCs w:val="19"/>
              </w:rPr>
              <w:t>Pricing Overview</w:t>
            </w:r>
          </w:p>
        </w:tc>
        <w:tc>
          <w:tcPr>
            <w:tcW w:w="39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3BC9F327" w14:textId="77777777" w:rsidR="005E111D" w:rsidRDefault="00000000">
            <w:r>
              <w:rPr>
                <w:color w:val="495057"/>
                <w:sz w:val="18"/>
                <w:szCs w:val="18"/>
              </w:rPr>
              <w:t>Tier-by-tier ranges. Value proxy benchmarks. Not exact quotes.</w:t>
            </w:r>
          </w:p>
        </w:tc>
        <w:tc>
          <w:tcPr>
            <w:tcW w:w="24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4D81FCD4" w14:textId="77777777" w:rsidR="005E111D" w:rsidRDefault="00000000">
            <w:r>
              <w:rPr>
                <w:b/>
                <w:bCs/>
                <w:color w:val="495057"/>
                <w:sz w:val="18"/>
                <w:szCs w:val="18"/>
              </w:rPr>
              <w:t>MEDIUM</w:t>
            </w:r>
          </w:p>
        </w:tc>
      </w:tr>
    </w:tbl>
    <w:p w14:paraId="703CA1DE" w14:textId="77777777" w:rsidR="005E111D" w:rsidRDefault="005E111D">
      <w:pPr>
        <w:spacing w:before="200"/>
      </w:pPr>
    </w:p>
    <w:p w14:paraId="611AA2FB" w14:textId="77777777" w:rsidR="005E111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6"/>
        <w:gridCol w:w="8774"/>
      </w:tblGrid>
      <w:tr w:rsidR="005E111D" w14:paraId="4148AB36"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A98C5A"/>
            <w:tcMar>
              <w:top w:w="140" w:type="dxa"/>
              <w:left w:w="100" w:type="dxa"/>
              <w:bottom w:w="140" w:type="dxa"/>
              <w:right w:w="100" w:type="dxa"/>
            </w:tcMar>
            <w:vAlign w:val="center"/>
          </w:tcPr>
          <w:p w14:paraId="55EB4F39" w14:textId="77777777" w:rsidR="005E111D" w:rsidRDefault="00000000">
            <w:pPr>
              <w:jc w:val="center"/>
            </w:pPr>
            <w:r>
              <w:rPr>
                <w:rFonts w:ascii="Georgia" w:eastAsia="Georgia" w:hAnsi="Georgia" w:cs="Georgia"/>
                <w:b/>
                <w:bCs/>
                <w:color w:val="FFFFFF"/>
                <w:sz w:val="28"/>
                <w:szCs w:val="28"/>
              </w:rPr>
              <w:lastRenderedPageBreak/>
              <w:t>08</w:t>
            </w:r>
          </w:p>
        </w:tc>
        <w:tc>
          <w:tcPr>
            <w:tcW w:w="8800" w:type="dxa"/>
            <w:tcBorders>
              <w:top w:val="none" w:sz="0" w:space="0" w:color="FFFFFF"/>
              <w:left w:val="none" w:sz="0" w:space="0" w:color="FFFFFF"/>
              <w:bottom w:val="none" w:sz="0" w:space="0" w:color="FFFFFF"/>
              <w:right w:val="none" w:sz="0" w:space="0" w:color="FFFFFF"/>
            </w:tcBorders>
            <w:shd w:val="clear" w:color="auto" w:fill="212529"/>
            <w:tcMar>
              <w:top w:w="140" w:type="dxa"/>
              <w:left w:w="260" w:type="dxa"/>
              <w:bottom w:w="140" w:type="dxa"/>
              <w:right w:w="120" w:type="dxa"/>
            </w:tcMar>
            <w:vAlign w:val="center"/>
          </w:tcPr>
          <w:p w14:paraId="3F4B27F5" w14:textId="77777777" w:rsidR="005E111D" w:rsidRDefault="00000000">
            <w:r>
              <w:rPr>
                <w:rFonts w:ascii="Georgia" w:eastAsia="Georgia" w:hAnsi="Georgia" w:cs="Georgia"/>
                <w:b/>
                <w:bCs/>
                <w:caps/>
                <w:color w:val="FFFFFF"/>
                <w:sz w:val="28"/>
                <w:szCs w:val="28"/>
              </w:rPr>
              <w:t>Implementation Roadmap</w:t>
            </w:r>
          </w:p>
        </w:tc>
      </w:tr>
    </w:tbl>
    <w:p w14:paraId="1BDCFBDA" w14:textId="77777777" w:rsidR="005E111D" w:rsidRDefault="005E111D">
      <w:pPr>
        <w:spacing w:before="160"/>
      </w:pPr>
    </w:p>
    <w:p w14:paraId="07B6ADBE" w14:textId="77777777" w:rsidR="005E111D" w:rsidRDefault="00000000">
      <w:pPr>
        <w:spacing w:before="80" w:after="80"/>
      </w:pPr>
      <w:r>
        <w:rPr>
          <w:color w:val="495057"/>
          <w:sz w:val="24"/>
          <w:szCs w:val="24"/>
        </w:rPr>
        <w:t>The roadmap is structured in four phases, sequenced by dependency. Phase 0 addresses failures that damage credibility right now. Each subsequent phase builds on the one before. No phase should begin until its predecessor is complete.</w:t>
      </w:r>
    </w:p>
    <w:p w14:paraId="063419CF" w14:textId="77777777" w:rsidR="005E111D" w:rsidRDefault="005E111D">
      <w:pPr>
        <w:spacing w:before="160"/>
      </w:pPr>
    </w:p>
    <w:p w14:paraId="17CECE21" w14:textId="77777777" w:rsidR="005E111D" w:rsidRDefault="00000000">
      <w:pPr>
        <w:pStyle w:val="Heading2"/>
      </w:pPr>
      <w:r>
        <w:t>Phase 0: Fix Broken Infrastructure (Week 1 — No Excuses)</w:t>
      </w:r>
    </w:p>
    <w:p w14:paraId="73C676BE" w14:textId="77777777" w:rsidR="005E111D" w:rsidRDefault="005E111D">
      <w:pPr>
        <w:spacing w:before="80"/>
      </w:pPr>
    </w:p>
    <w:p w14:paraId="1FC63E0D" w14:textId="77777777" w:rsidR="005E111D" w:rsidRDefault="00000000">
      <w:pPr>
        <w:spacing w:before="80" w:after="80"/>
      </w:pPr>
      <w:r>
        <w:rPr>
          <w:color w:val="495057"/>
        </w:rPr>
        <w:t>These tasks cost hours, not days. There is no commercial or strategic justification for deferring them. Every day they remain unresolved is a day the brand is actively undermining itself.</w:t>
      </w:r>
    </w:p>
    <w:p w14:paraId="13474946" w14:textId="77777777" w:rsidR="005E111D" w:rsidRDefault="005E111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
        <w:gridCol w:w="2800"/>
        <w:gridCol w:w="1200"/>
        <w:gridCol w:w="1200"/>
        <w:gridCol w:w="1000"/>
        <w:gridCol w:w="2720"/>
      </w:tblGrid>
      <w:tr w:rsidR="005E111D" w14:paraId="6DB2607E" w14:textId="77777777">
        <w:tblPrEx>
          <w:tblCellMar>
            <w:top w:w="0" w:type="dxa"/>
            <w:bottom w:w="0" w:type="dxa"/>
          </w:tblCellMar>
        </w:tblPrEx>
        <w:tc>
          <w:tcPr>
            <w:tcW w:w="440" w:type="dxa"/>
            <w:tcBorders>
              <w:top w:val="single" w:sz="4" w:space="0" w:color="A98C5A"/>
              <w:left w:val="single" w:sz="4" w:space="0" w:color="A98C5A"/>
              <w:bottom w:val="single" w:sz="4" w:space="0" w:color="A98C5A"/>
              <w:right w:val="single" w:sz="4" w:space="0" w:color="A98C5A"/>
            </w:tcBorders>
            <w:shd w:val="clear" w:color="auto" w:fill="212529"/>
            <w:tcMar>
              <w:top w:w="80" w:type="dxa"/>
              <w:left w:w="100" w:type="dxa"/>
              <w:bottom w:w="80" w:type="dxa"/>
              <w:right w:w="80" w:type="dxa"/>
            </w:tcMar>
          </w:tcPr>
          <w:p w14:paraId="30D2C006" w14:textId="77777777" w:rsidR="005E111D" w:rsidRDefault="00000000">
            <w:r>
              <w:rPr>
                <w:b/>
                <w:bCs/>
                <w:caps/>
                <w:color w:val="FFFFFF"/>
                <w:sz w:val="19"/>
                <w:szCs w:val="19"/>
              </w:rPr>
              <w:t>#</w:t>
            </w:r>
          </w:p>
        </w:tc>
        <w:tc>
          <w:tcPr>
            <w:tcW w:w="2800" w:type="dxa"/>
            <w:tcBorders>
              <w:top w:val="single" w:sz="4" w:space="0" w:color="A98C5A"/>
              <w:left w:val="single" w:sz="4" w:space="0" w:color="A98C5A"/>
              <w:bottom w:val="single" w:sz="4" w:space="0" w:color="A98C5A"/>
              <w:right w:val="single" w:sz="4" w:space="0" w:color="A98C5A"/>
            </w:tcBorders>
            <w:shd w:val="clear" w:color="auto" w:fill="212529"/>
            <w:tcMar>
              <w:top w:w="80" w:type="dxa"/>
              <w:left w:w="100" w:type="dxa"/>
              <w:bottom w:w="80" w:type="dxa"/>
              <w:right w:w="80" w:type="dxa"/>
            </w:tcMar>
          </w:tcPr>
          <w:p w14:paraId="201D657F" w14:textId="77777777" w:rsidR="005E111D" w:rsidRDefault="00000000">
            <w:r>
              <w:rPr>
                <w:b/>
                <w:bCs/>
                <w:caps/>
                <w:color w:val="FFFFFF"/>
                <w:sz w:val="19"/>
                <w:szCs w:val="19"/>
              </w:rPr>
              <w:t>Action</w:t>
            </w:r>
          </w:p>
        </w:tc>
        <w:tc>
          <w:tcPr>
            <w:tcW w:w="1200" w:type="dxa"/>
            <w:tcBorders>
              <w:top w:val="single" w:sz="4" w:space="0" w:color="A98C5A"/>
              <w:left w:val="single" w:sz="4" w:space="0" w:color="A98C5A"/>
              <w:bottom w:val="single" w:sz="4" w:space="0" w:color="A98C5A"/>
              <w:right w:val="single" w:sz="4" w:space="0" w:color="A98C5A"/>
            </w:tcBorders>
            <w:shd w:val="clear" w:color="auto" w:fill="212529"/>
            <w:tcMar>
              <w:top w:w="80" w:type="dxa"/>
              <w:left w:w="100" w:type="dxa"/>
              <w:bottom w:w="80" w:type="dxa"/>
              <w:right w:w="80" w:type="dxa"/>
            </w:tcMar>
          </w:tcPr>
          <w:p w14:paraId="22CB7F46" w14:textId="77777777" w:rsidR="005E111D" w:rsidRDefault="00000000">
            <w:r>
              <w:rPr>
                <w:b/>
                <w:bCs/>
                <w:caps/>
                <w:color w:val="FFFFFF"/>
                <w:sz w:val="19"/>
                <w:szCs w:val="19"/>
              </w:rPr>
              <w:t>Owner</w:t>
            </w:r>
          </w:p>
        </w:tc>
        <w:tc>
          <w:tcPr>
            <w:tcW w:w="1200" w:type="dxa"/>
            <w:tcBorders>
              <w:top w:val="single" w:sz="4" w:space="0" w:color="A98C5A"/>
              <w:left w:val="single" w:sz="4" w:space="0" w:color="A98C5A"/>
              <w:bottom w:val="single" w:sz="4" w:space="0" w:color="A98C5A"/>
              <w:right w:val="single" w:sz="4" w:space="0" w:color="A98C5A"/>
            </w:tcBorders>
            <w:shd w:val="clear" w:color="auto" w:fill="212529"/>
            <w:tcMar>
              <w:top w:w="80" w:type="dxa"/>
              <w:left w:w="100" w:type="dxa"/>
              <w:bottom w:w="80" w:type="dxa"/>
              <w:right w:w="80" w:type="dxa"/>
            </w:tcMar>
          </w:tcPr>
          <w:p w14:paraId="73DE5481" w14:textId="77777777" w:rsidR="005E111D" w:rsidRDefault="00000000">
            <w:r>
              <w:rPr>
                <w:b/>
                <w:bCs/>
                <w:caps/>
                <w:color w:val="FFFFFF"/>
                <w:sz w:val="19"/>
                <w:szCs w:val="19"/>
              </w:rPr>
              <w:t>Timeline</w:t>
            </w:r>
          </w:p>
        </w:tc>
        <w:tc>
          <w:tcPr>
            <w:tcW w:w="1000" w:type="dxa"/>
            <w:tcBorders>
              <w:top w:val="single" w:sz="4" w:space="0" w:color="A98C5A"/>
              <w:left w:val="single" w:sz="4" w:space="0" w:color="A98C5A"/>
              <w:bottom w:val="single" w:sz="4" w:space="0" w:color="A98C5A"/>
              <w:right w:val="single" w:sz="4" w:space="0" w:color="A98C5A"/>
            </w:tcBorders>
            <w:shd w:val="clear" w:color="auto" w:fill="212529"/>
            <w:tcMar>
              <w:top w:w="80" w:type="dxa"/>
              <w:left w:w="100" w:type="dxa"/>
              <w:bottom w:w="80" w:type="dxa"/>
              <w:right w:w="80" w:type="dxa"/>
            </w:tcMar>
          </w:tcPr>
          <w:p w14:paraId="335CBBEB" w14:textId="77777777" w:rsidR="005E111D" w:rsidRDefault="00000000">
            <w:r>
              <w:rPr>
                <w:b/>
                <w:bCs/>
                <w:caps/>
                <w:color w:val="FFFFFF"/>
                <w:sz w:val="19"/>
                <w:szCs w:val="19"/>
              </w:rPr>
              <w:t>Effort</w:t>
            </w:r>
          </w:p>
        </w:tc>
        <w:tc>
          <w:tcPr>
            <w:tcW w:w="2720" w:type="dxa"/>
            <w:tcBorders>
              <w:top w:val="single" w:sz="4" w:space="0" w:color="A98C5A"/>
              <w:left w:val="single" w:sz="4" w:space="0" w:color="A98C5A"/>
              <w:bottom w:val="single" w:sz="4" w:space="0" w:color="A98C5A"/>
              <w:right w:val="single" w:sz="4" w:space="0" w:color="A98C5A"/>
            </w:tcBorders>
            <w:shd w:val="clear" w:color="auto" w:fill="212529"/>
            <w:tcMar>
              <w:top w:w="80" w:type="dxa"/>
              <w:left w:w="100" w:type="dxa"/>
              <w:bottom w:w="80" w:type="dxa"/>
              <w:right w:w="80" w:type="dxa"/>
            </w:tcMar>
          </w:tcPr>
          <w:p w14:paraId="07A2054F" w14:textId="77777777" w:rsidR="005E111D" w:rsidRDefault="00000000">
            <w:r>
              <w:rPr>
                <w:b/>
                <w:bCs/>
                <w:caps/>
                <w:color w:val="FFFFFF"/>
                <w:sz w:val="19"/>
                <w:szCs w:val="19"/>
              </w:rPr>
              <w:t>Why It Cannot Wait</w:t>
            </w:r>
          </w:p>
        </w:tc>
      </w:tr>
      <w:tr w:rsidR="005E111D" w14:paraId="4F949AEA" w14:textId="77777777">
        <w:tblPrEx>
          <w:tblCellMar>
            <w:top w:w="0" w:type="dxa"/>
            <w:bottom w:w="0" w:type="dxa"/>
          </w:tblCellMar>
        </w:tblPrEx>
        <w:tc>
          <w:tcPr>
            <w:tcW w:w="440" w:type="dxa"/>
            <w:tcBorders>
              <w:top w:val="single" w:sz="4" w:space="0" w:color="E8E8E8"/>
              <w:left w:val="single" w:sz="4" w:space="0" w:color="E8E8E8"/>
              <w:bottom w:val="single" w:sz="4" w:space="0" w:color="E8E8E8"/>
              <w:right w:val="single" w:sz="4" w:space="0" w:color="E8E8E8"/>
            </w:tcBorders>
            <w:shd w:val="clear" w:color="auto" w:fill="A98C5A"/>
            <w:tcMar>
              <w:top w:w="80" w:type="dxa"/>
              <w:left w:w="80" w:type="dxa"/>
              <w:bottom w:w="80" w:type="dxa"/>
              <w:right w:w="80" w:type="dxa"/>
            </w:tcMar>
            <w:vAlign w:val="center"/>
          </w:tcPr>
          <w:p w14:paraId="6F2CB5D6" w14:textId="77777777" w:rsidR="005E111D" w:rsidRDefault="00000000">
            <w:pPr>
              <w:jc w:val="center"/>
            </w:pPr>
            <w:r>
              <w:rPr>
                <w:rFonts w:ascii="Georgia" w:eastAsia="Georgia" w:hAnsi="Georgia" w:cs="Georgia"/>
                <w:b/>
                <w:bCs/>
                <w:color w:val="FFFFFF"/>
              </w:rPr>
              <w:t>1</w:t>
            </w:r>
          </w:p>
        </w:tc>
        <w:tc>
          <w:tcPr>
            <w:tcW w:w="28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20" w:type="dxa"/>
              <w:bottom w:w="80" w:type="dxa"/>
              <w:right w:w="80" w:type="dxa"/>
            </w:tcMar>
          </w:tcPr>
          <w:p w14:paraId="2148BA85" w14:textId="77777777" w:rsidR="005E111D" w:rsidRDefault="00000000">
            <w:r>
              <w:rPr>
                <w:b/>
                <w:bCs/>
                <w:color w:val="212529"/>
                <w:sz w:val="20"/>
                <w:szCs w:val="20"/>
              </w:rPr>
              <w:t>Fix About Us 404</w:t>
            </w:r>
          </w:p>
        </w:tc>
        <w:tc>
          <w:tcPr>
            <w:tcW w:w="12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7E2849D1" w14:textId="77777777" w:rsidR="005E111D" w:rsidRDefault="00000000">
            <w:r>
              <w:rPr>
                <w:color w:val="495057"/>
                <w:sz w:val="19"/>
                <w:szCs w:val="19"/>
              </w:rPr>
              <w:t>Owen</w:t>
            </w:r>
          </w:p>
        </w:tc>
        <w:tc>
          <w:tcPr>
            <w:tcW w:w="12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6AA4DE65" w14:textId="77777777" w:rsidR="005E111D" w:rsidRDefault="00000000">
            <w:r>
              <w:rPr>
                <w:color w:val="495057"/>
                <w:sz w:val="19"/>
                <w:szCs w:val="19"/>
              </w:rPr>
              <w:t>Day 1</w:t>
            </w:r>
          </w:p>
        </w:tc>
        <w:tc>
          <w:tcPr>
            <w:tcW w:w="10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51F4B21D" w14:textId="77777777" w:rsidR="005E111D" w:rsidRDefault="00000000">
            <w:r>
              <w:rPr>
                <w:color w:val="2E7D32"/>
                <w:sz w:val="19"/>
                <w:szCs w:val="19"/>
              </w:rPr>
              <w:t>Low</w:t>
            </w:r>
          </w:p>
        </w:tc>
        <w:tc>
          <w:tcPr>
            <w:tcW w:w="272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3361F22E" w14:textId="77777777" w:rsidR="005E111D" w:rsidRDefault="00000000">
            <w:r>
              <w:rPr>
                <w:color w:val="212529"/>
                <w:sz w:val="19"/>
                <w:szCs w:val="19"/>
              </w:rPr>
              <w:t>Credentials are the product. A broken credentials page is a broken product.</w:t>
            </w:r>
          </w:p>
        </w:tc>
      </w:tr>
      <w:tr w:rsidR="005E111D" w14:paraId="3F8093F8" w14:textId="77777777">
        <w:tblPrEx>
          <w:tblCellMar>
            <w:top w:w="0" w:type="dxa"/>
            <w:bottom w:w="0" w:type="dxa"/>
          </w:tblCellMar>
        </w:tblPrEx>
        <w:tc>
          <w:tcPr>
            <w:tcW w:w="440" w:type="dxa"/>
            <w:tcBorders>
              <w:top w:val="single" w:sz="4" w:space="0" w:color="E8E8E8"/>
              <w:left w:val="single" w:sz="4" w:space="0" w:color="E8E8E8"/>
              <w:bottom w:val="single" w:sz="4" w:space="0" w:color="E8E8E8"/>
              <w:right w:val="single" w:sz="4" w:space="0" w:color="E8E8E8"/>
            </w:tcBorders>
            <w:shd w:val="clear" w:color="auto" w:fill="A98C5A"/>
            <w:tcMar>
              <w:top w:w="80" w:type="dxa"/>
              <w:left w:w="80" w:type="dxa"/>
              <w:bottom w:w="80" w:type="dxa"/>
              <w:right w:w="80" w:type="dxa"/>
            </w:tcMar>
            <w:vAlign w:val="center"/>
          </w:tcPr>
          <w:p w14:paraId="1307D26F" w14:textId="77777777" w:rsidR="005E111D" w:rsidRDefault="00000000">
            <w:pPr>
              <w:jc w:val="center"/>
            </w:pPr>
            <w:r>
              <w:rPr>
                <w:rFonts w:ascii="Georgia" w:eastAsia="Georgia" w:hAnsi="Georgia" w:cs="Georgia"/>
                <w:b/>
                <w:bCs/>
                <w:color w:val="FFFFFF"/>
              </w:rPr>
              <w:t>2</w:t>
            </w:r>
          </w:p>
        </w:tc>
        <w:tc>
          <w:tcPr>
            <w:tcW w:w="28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2E20B47B" w14:textId="77777777" w:rsidR="005E111D" w:rsidRDefault="00000000">
            <w:r>
              <w:rPr>
                <w:b/>
                <w:bCs/>
                <w:color w:val="212529"/>
                <w:sz w:val="20"/>
                <w:szCs w:val="20"/>
              </w:rPr>
              <w:t>Fix Risk Simulation Lab error</w:t>
            </w:r>
          </w:p>
        </w:tc>
        <w:tc>
          <w:tcPr>
            <w:tcW w:w="12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37B8A974" w14:textId="77777777" w:rsidR="005E111D" w:rsidRDefault="00000000">
            <w:r>
              <w:rPr>
                <w:color w:val="495057"/>
                <w:sz w:val="19"/>
                <w:szCs w:val="19"/>
              </w:rPr>
              <w:t>Technical</w:t>
            </w:r>
          </w:p>
        </w:tc>
        <w:tc>
          <w:tcPr>
            <w:tcW w:w="12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424987A7" w14:textId="77777777" w:rsidR="005E111D" w:rsidRDefault="00000000">
            <w:r>
              <w:rPr>
                <w:color w:val="495057"/>
                <w:sz w:val="19"/>
                <w:szCs w:val="19"/>
              </w:rPr>
              <w:t>Day 1</w:t>
            </w:r>
          </w:p>
        </w:tc>
        <w:tc>
          <w:tcPr>
            <w:tcW w:w="10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19E5FA92" w14:textId="77777777" w:rsidR="005E111D" w:rsidRDefault="00000000">
            <w:r>
              <w:rPr>
                <w:color w:val="2E7D32"/>
                <w:sz w:val="19"/>
                <w:szCs w:val="19"/>
              </w:rPr>
              <w:t>Low</w:t>
            </w:r>
          </w:p>
        </w:tc>
        <w:tc>
          <w:tcPr>
            <w:tcW w:w="272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26CA71E8" w14:textId="77777777" w:rsidR="005E111D" w:rsidRDefault="00000000">
            <w:r>
              <w:rPr>
                <w:color w:val="212529"/>
                <w:sz w:val="19"/>
                <w:szCs w:val="19"/>
              </w:rPr>
              <w:t>Flagship service page must load for any prospect.</w:t>
            </w:r>
          </w:p>
        </w:tc>
      </w:tr>
      <w:tr w:rsidR="005E111D" w14:paraId="30E10EB6" w14:textId="77777777">
        <w:tblPrEx>
          <w:tblCellMar>
            <w:top w:w="0" w:type="dxa"/>
            <w:bottom w:w="0" w:type="dxa"/>
          </w:tblCellMar>
        </w:tblPrEx>
        <w:tc>
          <w:tcPr>
            <w:tcW w:w="440" w:type="dxa"/>
            <w:tcBorders>
              <w:top w:val="single" w:sz="4" w:space="0" w:color="E8E8E8"/>
              <w:left w:val="single" w:sz="4" w:space="0" w:color="E8E8E8"/>
              <w:bottom w:val="single" w:sz="4" w:space="0" w:color="E8E8E8"/>
              <w:right w:val="single" w:sz="4" w:space="0" w:color="E8E8E8"/>
            </w:tcBorders>
            <w:shd w:val="clear" w:color="auto" w:fill="A98C5A"/>
            <w:tcMar>
              <w:top w:w="80" w:type="dxa"/>
              <w:left w:w="80" w:type="dxa"/>
              <w:bottom w:w="80" w:type="dxa"/>
              <w:right w:w="80" w:type="dxa"/>
            </w:tcMar>
            <w:vAlign w:val="center"/>
          </w:tcPr>
          <w:p w14:paraId="42B95DE5" w14:textId="77777777" w:rsidR="005E111D" w:rsidRDefault="00000000">
            <w:pPr>
              <w:jc w:val="center"/>
            </w:pPr>
            <w:r>
              <w:rPr>
                <w:rFonts w:ascii="Georgia" w:eastAsia="Georgia" w:hAnsi="Georgia" w:cs="Georgia"/>
                <w:b/>
                <w:bCs/>
                <w:color w:val="FFFFFF"/>
              </w:rPr>
              <w:t>3</w:t>
            </w:r>
          </w:p>
        </w:tc>
        <w:tc>
          <w:tcPr>
            <w:tcW w:w="28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20" w:type="dxa"/>
              <w:bottom w:w="80" w:type="dxa"/>
              <w:right w:w="80" w:type="dxa"/>
            </w:tcMar>
          </w:tcPr>
          <w:p w14:paraId="5C53FAFF" w14:textId="77777777" w:rsidR="005E111D" w:rsidRDefault="00000000">
            <w:r>
              <w:rPr>
                <w:b/>
                <w:bCs/>
                <w:color w:val="212529"/>
                <w:sz w:val="20"/>
                <w:szCs w:val="20"/>
              </w:rPr>
              <w:t>Update footer copyright to 2026</w:t>
            </w:r>
          </w:p>
        </w:tc>
        <w:tc>
          <w:tcPr>
            <w:tcW w:w="12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1CD0FC8E" w14:textId="77777777" w:rsidR="005E111D" w:rsidRDefault="00000000">
            <w:r>
              <w:rPr>
                <w:color w:val="495057"/>
                <w:sz w:val="19"/>
                <w:szCs w:val="19"/>
              </w:rPr>
              <w:t>Technical</w:t>
            </w:r>
          </w:p>
        </w:tc>
        <w:tc>
          <w:tcPr>
            <w:tcW w:w="12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187586FD" w14:textId="77777777" w:rsidR="005E111D" w:rsidRDefault="00000000">
            <w:r>
              <w:rPr>
                <w:color w:val="495057"/>
                <w:sz w:val="19"/>
                <w:szCs w:val="19"/>
              </w:rPr>
              <w:t>Day 1</w:t>
            </w:r>
          </w:p>
        </w:tc>
        <w:tc>
          <w:tcPr>
            <w:tcW w:w="10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6FC8629C" w14:textId="77777777" w:rsidR="005E111D" w:rsidRDefault="00000000">
            <w:r>
              <w:rPr>
                <w:color w:val="2E7D32"/>
                <w:sz w:val="19"/>
                <w:szCs w:val="19"/>
              </w:rPr>
              <w:t>Low</w:t>
            </w:r>
          </w:p>
        </w:tc>
        <w:tc>
          <w:tcPr>
            <w:tcW w:w="272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757BFE8B" w14:textId="77777777" w:rsidR="005E111D" w:rsidRDefault="00000000">
            <w:r>
              <w:rPr>
                <w:color w:val="212529"/>
                <w:sz w:val="19"/>
                <w:szCs w:val="19"/>
              </w:rPr>
              <w:t>Signals active site maintenance. Current state signals abandonment.</w:t>
            </w:r>
          </w:p>
        </w:tc>
      </w:tr>
      <w:tr w:rsidR="005E111D" w14:paraId="6970276A" w14:textId="77777777">
        <w:tblPrEx>
          <w:tblCellMar>
            <w:top w:w="0" w:type="dxa"/>
            <w:bottom w:w="0" w:type="dxa"/>
          </w:tblCellMar>
        </w:tblPrEx>
        <w:tc>
          <w:tcPr>
            <w:tcW w:w="440" w:type="dxa"/>
            <w:tcBorders>
              <w:top w:val="single" w:sz="4" w:space="0" w:color="E8E8E8"/>
              <w:left w:val="single" w:sz="4" w:space="0" w:color="E8E8E8"/>
              <w:bottom w:val="single" w:sz="4" w:space="0" w:color="E8E8E8"/>
              <w:right w:val="single" w:sz="4" w:space="0" w:color="E8E8E8"/>
            </w:tcBorders>
            <w:shd w:val="clear" w:color="auto" w:fill="A98C5A"/>
            <w:tcMar>
              <w:top w:w="80" w:type="dxa"/>
              <w:left w:w="80" w:type="dxa"/>
              <w:bottom w:w="80" w:type="dxa"/>
              <w:right w:w="80" w:type="dxa"/>
            </w:tcMar>
            <w:vAlign w:val="center"/>
          </w:tcPr>
          <w:p w14:paraId="44FE2B77" w14:textId="77777777" w:rsidR="005E111D" w:rsidRDefault="00000000">
            <w:pPr>
              <w:jc w:val="center"/>
            </w:pPr>
            <w:r>
              <w:rPr>
                <w:rFonts w:ascii="Georgia" w:eastAsia="Georgia" w:hAnsi="Georgia" w:cs="Georgia"/>
                <w:b/>
                <w:bCs/>
                <w:color w:val="FFFFFF"/>
              </w:rPr>
              <w:t>4</w:t>
            </w:r>
          </w:p>
        </w:tc>
        <w:tc>
          <w:tcPr>
            <w:tcW w:w="28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5D65BC8" w14:textId="77777777" w:rsidR="005E111D" w:rsidRDefault="00000000">
            <w:r>
              <w:rPr>
                <w:b/>
                <w:bCs/>
                <w:color w:val="212529"/>
                <w:sz w:val="20"/>
                <w:szCs w:val="20"/>
              </w:rPr>
              <w:t>Unify Insights URL paths</w:t>
            </w:r>
          </w:p>
        </w:tc>
        <w:tc>
          <w:tcPr>
            <w:tcW w:w="12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6B8BE28B" w14:textId="77777777" w:rsidR="005E111D" w:rsidRDefault="00000000">
            <w:r>
              <w:rPr>
                <w:color w:val="495057"/>
                <w:sz w:val="19"/>
                <w:szCs w:val="19"/>
              </w:rPr>
              <w:t>Technical</w:t>
            </w:r>
          </w:p>
        </w:tc>
        <w:tc>
          <w:tcPr>
            <w:tcW w:w="12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707ED4FF" w14:textId="77777777" w:rsidR="005E111D" w:rsidRDefault="00000000">
            <w:r>
              <w:rPr>
                <w:color w:val="495057"/>
                <w:sz w:val="19"/>
                <w:szCs w:val="19"/>
              </w:rPr>
              <w:t>Day 2</w:t>
            </w:r>
          </w:p>
        </w:tc>
        <w:tc>
          <w:tcPr>
            <w:tcW w:w="10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4CBE270F" w14:textId="77777777" w:rsidR="005E111D" w:rsidRDefault="00000000">
            <w:r>
              <w:rPr>
                <w:color w:val="2E7D32"/>
                <w:sz w:val="19"/>
                <w:szCs w:val="19"/>
              </w:rPr>
              <w:t>Low</w:t>
            </w:r>
          </w:p>
        </w:tc>
        <w:tc>
          <w:tcPr>
            <w:tcW w:w="272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35ED3DFF" w14:textId="77777777" w:rsidR="005E111D" w:rsidRDefault="00000000">
            <w:r>
              <w:rPr>
                <w:color w:val="212529"/>
                <w:sz w:val="19"/>
                <w:szCs w:val="19"/>
              </w:rPr>
              <w:t>Broken internal links prevent search indexing.</w:t>
            </w:r>
          </w:p>
        </w:tc>
      </w:tr>
      <w:tr w:rsidR="005E111D" w14:paraId="4271CFE4" w14:textId="77777777">
        <w:tblPrEx>
          <w:tblCellMar>
            <w:top w:w="0" w:type="dxa"/>
            <w:bottom w:w="0" w:type="dxa"/>
          </w:tblCellMar>
        </w:tblPrEx>
        <w:tc>
          <w:tcPr>
            <w:tcW w:w="440" w:type="dxa"/>
            <w:tcBorders>
              <w:top w:val="single" w:sz="4" w:space="0" w:color="E8E8E8"/>
              <w:left w:val="single" w:sz="4" w:space="0" w:color="E8E8E8"/>
              <w:bottom w:val="single" w:sz="4" w:space="0" w:color="E8E8E8"/>
              <w:right w:val="single" w:sz="4" w:space="0" w:color="E8E8E8"/>
            </w:tcBorders>
            <w:shd w:val="clear" w:color="auto" w:fill="A98C5A"/>
            <w:tcMar>
              <w:top w:w="80" w:type="dxa"/>
              <w:left w:w="80" w:type="dxa"/>
              <w:bottom w:w="80" w:type="dxa"/>
              <w:right w:w="80" w:type="dxa"/>
            </w:tcMar>
            <w:vAlign w:val="center"/>
          </w:tcPr>
          <w:p w14:paraId="0EA50E2A" w14:textId="77777777" w:rsidR="005E111D" w:rsidRDefault="00000000">
            <w:pPr>
              <w:jc w:val="center"/>
            </w:pPr>
            <w:r>
              <w:rPr>
                <w:rFonts w:ascii="Georgia" w:eastAsia="Georgia" w:hAnsi="Georgia" w:cs="Georgia"/>
                <w:b/>
                <w:bCs/>
                <w:color w:val="FFFFFF"/>
              </w:rPr>
              <w:t>5</w:t>
            </w:r>
          </w:p>
        </w:tc>
        <w:tc>
          <w:tcPr>
            <w:tcW w:w="28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20" w:type="dxa"/>
              <w:bottom w:w="80" w:type="dxa"/>
              <w:right w:w="80" w:type="dxa"/>
            </w:tcMar>
          </w:tcPr>
          <w:p w14:paraId="6D1D1003" w14:textId="77777777" w:rsidR="005E111D" w:rsidRDefault="00000000">
            <w:r>
              <w:rPr>
                <w:b/>
                <w:bCs/>
                <w:color w:val="212529"/>
                <w:sz w:val="20"/>
                <w:szCs w:val="20"/>
              </w:rPr>
              <w:t>Unify footer template across all pages</w:t>
            </w:r>
          </w:p>
        </w:tc>
        <w:tc>
          <w:tcPr>
            <w:tcW w:w="12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0EFC2A1F" w14:textId="77777777" w:rsidR="005E111D" w:rsidRDefault="00000000">
            <w:r>
              <w:rPr>
                <w:color w:val="495057"/>
                <w:sz w:val="19"/>
                <w:szCs w:val="19"/>
              </w:rPr>
              <w:t>Technical</w:t>
            </w:r>
          </w:p>
        </w:tc>
        <w:tc>
          <w:tcPr>
            <w:tcW w:w="12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7AE89171" w14:textId="77777777" w:rsidR="005E111D" w:rsidRDefault="00000000">
            <w:r>
              <w:rPr>
                <w:color w:val="495057"/>
                <w:sz w:val="19"/>
                <w:szCs w:val="19"/>
              </w:rPr>
              <w:t>Day 2</w:t>
            </w:r>
          </w:p>
        </w:tc>
        <w:tc>
          <w:tcPr>
            <w:tcW w:w="10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4720A65E" w14:textId="77777777" w:rsidR="005E111D" w:rsidRDefault="00000000">
            <w:r>
              <w:rPr>
                <w:color w:val="2E7D32"/>
                <w:sz w:val="19"/>
                <w:szCs w:val="19"/>
              </w:rPr>
              <w:t>Low</w:t>
            </w:r>
          </w:p>
        </w:tc>
        <w:tc>
          <w:tcPr>
            <w:tcW w:w="272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4A9B49FA" w14:textId="77777777" w:rsidR="005E111D" w:rsidRDefault="00000000">
            <w:proofErr w:type="gramStart"/>
            <w:r>
              <w:rPr>
                <w:color w:val="212529"/>
                <w:sz w:val="19"/>
                <w:szCs w:val="19"/>
              </w:rPr>
              <w:t>Two footer</w:t>
            </w:r>
            <w:proofErr w:type="gramEnd"/>
            <w:r>
              <w:rPr>
                <w:color w:val="212529"/>
                <w:sz w:val="19"/>
                <w:szCs w:val="19"/>
              </w:rPr>
              <w:t xml:space="preserve"> designs on one site signals inconsistency.</w:t>
            </w:r>
          </w:p>
        </w:tc>
      </w:tr>
    </w:tbl>
    <w:p w14:paraId="23413007" w14:textId="77777777" w:rsidR="005E111D" w:rsidRDefault="005E111D">
      <w:pPr>
        <w:spacing w:before="120"/>
      </w:pPr>
    </w:p>
    <w:p w14:paraId="16DC39FD" w14:textId="77777777" w:rsidR="005E111D" w:rsidRDefault="00000000">
      <w:pPr>
        <w:pStyle w:val="Heading2"/>
      </w:pPr>
      <w:r>
        <w:t>Phase 1: Build the Minimum Credible Foundation (Weeks 1–4)</w:t>
      </w:r>
    </w:p>
    <w:p w14:paraId="19A9504A" w14:textId="77777777" w:rsidR="005E111D" w:rsidRDefault="005E111D">
      <w:pPr>
        <w:spacing w:before="80"/>
      </w:pPr>
    </w:p>
    <w:p w14:paraId="0F79F543" w14:textId="77777777" w:rsidR="005E111D" w:rsidRDefault="00000000">
      <w:pPr>
        <w:spacing w:before="80" w:after="80"/>
      </w:pPr>
      <w:r>
        <w:rPr>
          <w:color w:val="495057"/>
        </w:rPr>
        <w:t>These actions establish the baseline brand infrastructure. None are optional. A firm without them is not ready to pursue retained clients at premium pricing.</w:t>
      </w:r>
    </w:p>
    <w:p w14:paraId="54C2BEAA" w14:textId="77777777" w:rsidR="005E111D" w:rsidRDefault="005E111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
        <w:gridCol w:w="2800"/>
        <w:gridCol w:w="1200"/>
        <w:gridCol w:w="1200"/>
        <w:gridCol w:w="1000"/>
        <w:gridCol w:w="2720"/>
      </w:tblGrid>
      <w:tr w:rsidR="005E111D" w14:paraId="322CF9B5" w14:textId="77777777">
        <w:tblPrEx>
          <w:tblCellMar>
            <w:top w:w="0" w:type="dxa"/>
            <w:bottom w:w="0" w:type="dxa"/>
          </w:tblCellMar>
        </w:tblPrEx>
        <w:tc>
          <w:tcPr>
            <w:tcW w:w="440" w:type="dxa"/>
            <w:tcBorders>
              <w:top w:val="single" w:sz="4" w:space="0" w:color="A98C5A"/>
              <w:left w:val="single" w:sz="4" w:space="0" w:color="A98C5A"/>
              <w:bottom w:val="single" w:sz="4" w:space="0" w:color="A98C5A"/>
              <w:right w:val="single" w:sz="4" w:space="0" w:color="A98C5A"/>
            </w:tcBorders>
            <w:shd w:val="clear" w:color="auto" w:fill="212529"/>
            <w:tcMar>
              <w:top w:w="80" w:type="dxa"/>
              <w:left w:w="100" w:type="dxa"/>
              <w:bottom w:w="80" w:type="dxa"/>
              <w:right w:w="80" w:type="dxa"/>
            </w:tcMar>
          </w:tcPr>
          <w:p w14:paraId="4E1969DB" w14:textId="77777777" w:rsidR="005E111D" w:rsidRDefault="00000000">
            <w:r>
              <w:rPr>
                <w:b/>
                <w:bCs/>
                <w:caps/>
                <w:color w:val="FFFFFF"/>
                <w:sz w:val="19"/>
                <w:szCs w:val="19"/>
              </w:rPr>
              <w:t>#</w:t>
            </w:r>
          </w:p>
        </w:tc>
        <w:tc>
          <w:tcPr>
            <w:tcW w:w="2800" w:type="dxa"/>
            <w:tcBorders>
              <w:top w:val="single" w:sz="4" w:space="0" w:color="A98C5A"/>
              <w:left w:val="single" w:sz="4" w:space="0" w:color="A98C5A"/>
              <w:bottom w:val="single" w:sz="4" w:space="0" w:color="A98C5A"/>
              <w:right w:val="single" w:sz="4" w:space="0" w:color="A98C5A"/>
            </w:tcBorders>
            <w:shd w:val="clear" w:color="auto" w:fill="212529"/>
            <w:tcMar>
              <w:top w:w="80" w:type="dxa"/>
              <w:left w:w="100" w:type="dxa"/>
              <w:bottom w:w="80" w:type="dxa"/>
              <w:right w:w="80" w:type="dxa"/>
            </w:tcMar>
          </w:tcPr>
          <w:p w14:paraId="3FFED831" w14:textId="77777777" w:rsidR="005E111D" w:rsidRDefault="00000000">
            <w:r>
              <w:rPr>
                <w:b/>
                <w:bCs/>
                <w:caps/>
                <w:color w:val="FFFFFF"/>
                <w:sz w:val="19"/>
                <w:szCs w:val="19"/>
              </w:rPr>
              <w:t>Action</w:t>
            </w:r>
          </w:p>
        </w:tc>
        <w:tc>
          <w:tcPr>
            <w:tcW w:w="1200" w:type="dxa"/>
            <w:tcBorders>
              <w:top w:val="single" w:sz="4" w:space="0" w:color="A98C5A"/>
              <w:left w:val="single" w:sz="4" w:space="0" w:color="A98C5A"/>
              <w:bottom w:val="single" w:sz="4" w:space="0" w:color="A98C5A"/>
              <w:right w:val="single" w:sz="4" w:space="0" w:color="A98C5A"/>
            </w:tcBorders>
            <w:shd w:val="clear" w:color="auto" w:fill="212529"/>
            <w:tcMar>
              <w:top w:w="80" w:type="dxa"/>
              <w:left w:w="100" w:type="dxa"/>
              <w:bottom w:w="80" w:type="dxa"/>
              <w:right w:w="80" w:type="dxa"/>
            </w:tcMar>
          </w:tcPr>
          <w:p w14:paraId="2EB89D47" w14:textId="77777777" w:rsidR="005E111D" w:rsidRDefault="00000000">
            <w:r>
              <w:rPr>
                <w:b/>
                <w:bCs/>
                <w:caps/>
                <w:color w:val="FFFFFF"/>
                <w:sz w:val="19"/>
                <w:szCs w:val="19"/>
              </w:rPr>
              <w:t>Owner</w:t>
            </w:r>
          </w:p>
        </w:tc>
        <w:tc>
          <w:tcPr>
            <w:tcW w:w="1200" w:type="dxa"/>
            <w:tcBorders>
              <w:top w:val="single" w:sz="4" w:space="0" w:color="A98C5A"/>
              <w:left w:val="single" w:sz="4" w:space="0" w:color="A98C5A"/>
              <w:bottom w:val="single" w:sz="4" w:space="0" w:color="A98C5A"/>
              <w:right w:val="single" w:sz="4" w:space="0" w:color="A98C5A"/>
            </w:tcBorders>
            <w:shd w:val="clear" w:color="auto" w:fill="212529"/>
            <w:tcMar>
              <w:top w:w="80" w:type="dxa"/>
              <w:left w:w="100" w:type="dxa"/>
              <w:bottom w:w="80" w:type="dxa"/>
              <w:right w:w="80" w:type="dxa"/>
            </w:tcMar>
          </w:tcPr>
          <w:p w14:paraId="7B767F96" w14:textId="77777777" w:rsidR="005E111D" w:rsidRDefault="00000000">
            <w:r>
              <w:rPr>
                <w:b/>
                <w:bCs/>
                <w:caps/>
                <w:color w:val="FFFFFF"/>
                <w:sz w:val="19"/>
                <w:szCs w:val="19"/>
              </w:rPr>
              <w:t>Timeline</w:t>
            </w:r>
          </w:p>
        </w:tc>
        <w:tc>
          <w:tcPr>
            <w:tcW w:w="1000" w:type="dxa"/>
            <w:tcBorders>
              <w:top w:val="single" w:sz="4" w:space="0" w:color="A98C5A"/>
              <w:left w:val="single" w:sz="4" w:space="0" w:color="A98C5A"/>
              <w:bottom w:val="single" w:sz="4" w:space="0" w:color="A98C5A"/>
              <w:right w:val="single" w:sz="4" w:space="0" w:color="A98C5A"/>
            </w:tcBorders>
            <w:shd w:val="clear" w:color="auto" w:fill="212529"/>
            <w:tcMar>
              <w:top w:w="80" w:type="dxa"/>
              <w:left w:w="100" w:type="dxa"/>
              <w:bottom w:w="80" w:type="dxa"/>
              <w:right w:w="80" w:type="dxa"/>
            </w:tcMar>
          </w:tcPr>
          <w:p w14:paraId="0C0992AF" w14:textId="77777777" w:rsidR="005E111D" w:rsidRDefault="00000000">
            <w:r>
              <w:rPr>
                <w:b/>
                <w:bCs/>
                <w:caps/>
                <w:color w:val="FFFFFF"/>
                <w:sz w:val="19"/>
                <w:szCs w:val="19"/>
              </w:rPr>
              <w:t>Effort</w:t>
            </w:r>
          </w:p>
        </w:tc>
        <w:tc>
          <w:tcPr>
            <w:tcW w:w="2720" w:type="dxa"/>
            <w:tcBorders>
              <w:top w:val="single" w:sz="4" w:space="0" w:color="A98C5A"/>
              <w:left w:val="single" w:sz="4" w:space="0" w:color="A98C5A"/>
              <w:bottom w:val="single" w:sz="4" w:space="0" w:color="A98C5A"/>
              <w:right w:val="single" w:sz="4" w:space="0" w:color="A98C5A"/>
            </w:tcBorders>
            <w:shd w:val="clear" w:color="auto" w:fill="212529"/>
            <w:tcMar>
              <w:top w:w="80" w:type="dxa"/>
              <w:left w:w="100" w:type="dxa"/>
              <w:bottom w:w="80" w:type="dxa"/>
              <w:right w:w="80" w:type="dxa"/>
            </w:tcMar>
          </w:tcPr>
          <w:p w14:paraId="664CFA58" w14:textId="77777777" w:rsidR="005E111D" w:rsidRDefault="00000000">
            <w:r>
              <w:rPr>
                <w:b/>
                <w:bCs/>
                <w:caps/>
                <w:color w:val="FFFFFF"/>
                <w:sz w:val="19"/>
                <w:szCs w:val="19"/>
              </w:rPr>
              <w:t>Impact</w:t>
            </w:r>
          </w:p>
        </w:tc>
      </w:tr>
      <w:tr w:rsidR="005E111D" w14:paraId="4FE5C8F4" w14:textId="77777777">
        <w:tblPrEx>
          <w:tblCellMar>
            <w:top w:w="0" w:type="dxa"/>
            <w:bottom w:w="0" w:type="dxa"/>
          </w:tblCellMar>
        </w:tblPrEx>
        <w:tc>
          <w:tcPr>
            <w:tcW w:w="440" w:type="dxa"/>
            <w:tcBorders>
              <w:top w:val="single" w:sz="4" w:space="0" w:color="E8E8E8"/>
              <w:left w:val="single" w:sz="4" w:space="0" w:color="E8E8E8"/>
              <w:bottom w:val="single" w:sz="4" w:space="0" w:color="E8E8E8"/>
              <w:right w:val="single" w:sz="4" w:space="0" w:color="E8E8E8"/>
            </w:tcBorders>
            <w:shd w:val="clear" w:color="auto" w:fill="A98C5A"/>
            <w:tcMar>
              <w:top w:w="80" w:type="dxa"/>
              <w:left w:w="80" w:type="dxa"/>
              <w:bottom w:w="80" w:type="dxa"/>
              <w:right w:w="80" w:type="dxa"/>
            </w:tcMar>
            <w:vAlign w:val="center"/>
          </w:tcPr>
          <w:p w14:paraId="02745246" w14:textId="77777777" w:rsidR="005E111D" w:rsidRDefault="00000000">
            <w:pPr>
              <w:jc w:val="center"/>
            </w:pPr>
            <w:r>
              <w:rPr>
                <w:rFonts w:ascii="Georgia" w:eastAsia="Georgia" w:hAnsi="Georgia" w:cs="Georgia"/>
                <w:b/>
                <w:bCs/>
                <w:color w:val="FFFFFF"/>
              </w:rPr>
              <w:t>6</w:t>
            </w:r>
          </w:p>
        </w:tc>
        <w:tc>
          <w:tcPr>
            <w:tcW w:w="28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4384FFC7" w14:textId="77777777" w:rsidR="005E111D" w:rsidRDefault="00000000">
            <w:r>
              <w:rPr>
                <w:b/>
                <w:bCs/>
                <w:color w:val="212529"/>
                <w:sz w:val="20"/>
                <w:szCs w:val="20"/>
              </w:rPr>
              <w:t>Write and publish About Owen page</w:t>
            </w:r>
          </w:p>
        </w:tc>
        <w:tc>
          <w:tcPr>
            <w:tcW w:w="12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60553F8C" w14:textId="77777777" w:rsidR="005E111D" w:rsidRDefault="00000000">
            <w:r>
              <w:rPr>
                <w:color w:val="495057"/>
                <w:sz w:val="19"/>
                <w:szCs w:val="19"/>
              </w:rPr>
              <w:t>Owen</w:t>
            </w:r>
          </w:p>
        </w:tc>
        <w:tc>
          <w:tcPr>
            <w:tcW w:w="12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4173CEED" w14:textId="77777777" w:rsidR="005E111D" w:rsidRDefault="00000000">
            <w:r>
              <w:rPr>
                <w:color w:val="495057"/>
                <w:sz w:val="19"/>
                <w:szCs w:val="19"/>
              </w:rPr>
              <w:t>Week 1</w:t>
            </w:r>
          </w:p>
        </w:tc>
        <w:tc>
          <w:tcPr>
            <w:tcW w:w="10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12D6379C" w14:textId="77777777" w:rsidR="005E111D" w:rsidRDefault="00000000">
            <w:r>
              <w:rPr>
                <w:color w:val="C8742A"/>
                <w:sz w:val="19"/>
                <w:szCs w:val="19"/>
              </w:rPr>
              <w:t>Medium</w:t>
            </w:r>
          </w:p>
        </w:tc>
        <w:tc>
          <w:tcPr>
            <w:tcW w:w="272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3F202986" w14:textId="77777777" w:rsidR="005E111D" w:rsidRDefault="00000000">
            <w:r>
              <w:rPr>
                <w:color w:val="212529"/>
                <w:sz w:val="19"/>
                <w:szCs w:val="19"/>
              </w:rPr>
              <w:t>Highest-ROI single action. Transforms credentials from invisible to verifiable.</w:t>
            </w:r>
          </w:p>
        </w:tc>
      </w:tr>
      <w:tr w:rsidR="005E111D" w14:paraId="0F3AA45D" w14:textId="77777777">
        <w:tblPrEx>
          <w:tblCellMar>
            <w:top w:w="0" w:type="dxa"/>
            <w:bottom w:w="0" w:type="dxa"/>
          </w:tblCellMar>
        </w:tblPrEx>
        <w:tc>
          <w:tcPr>
            <w:tcW w:w="440" w:type="dxa"/>
            <w:tcBorders>
              <w:top w:val="single" w:sz="4" w:space="0" w:color="E8E8E8"/>
              <w:left w:val="single" w:sz="4" w:space="0" w:color="E8E8E8"/>
              <w:bottom w:val="single" w:sz="4" w:space="0" w:color="E8E8E8"/>
              <w:right w:val="single" w:sz="4" w:space="0" w:color="E8E8E8"/>
            </w:tcBorders>
            <w:shd w:val="clear" w:color="auto" w:fill="A98C5A"/>
            <w:tcMar>
              <w:top w:w="80" w:type="dxa"/>
              <w:left w:w="80" w:type="dxa"/>
              <w:bottom w:w="80" w:type="dxa"/>
              <w:right w:w="80" w:type="dxa"/>
            </w:tcMar>
            <w:vAlign w:val="center"/>
          </w:tcPr>
          <w:p w14:paraId="3D5B1939" w14:textId="77777777" w:rsidR="005E111D" w:rsidRDefault="00000000">
            <w:pPr>
              <w:jc w:val="center"/>
            </w:pPr>
            <w:r>
              <w:rPr>
                <w:rFonts w:ascii="Georgia" w:eastAsia="Georgia" w:hAnsi="Georgia" w:cs="Georgia"/>
                <w:b/>
                <w:bCs/>
                <w:color w:val="FFFFFF"/>
              </w:rPr>
              <w:t>7</w:t>
            </w:r>
          </w:p>
        </w:tc>
        <w:tc>
          <w:tcPr>
            <w:tcW w:w="28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20" w:type="dxa"/>
              <w:bottom w:w="80" w:type="dxa"/>
              <w:right w:w="80" w:type="dxa"/>
            </w:tcMar>
          </w:tcPr>
          <w:p w14:paraId="6AE37EB7" w14:textId="77777777" w:rsidR="005E111D" w:rsidRDefault="00000000">
            <w:r>
              <w:rPr>
                <w:b/>
                <w:bCs/>
                <w:color w:val="212529"/>
                <w:sz w:val="20"/>
                <w:szCs w:val="20"/>
              </w:rPr>
              <w:t>Add professional headshot to homepage and About page</w:t>
            </w:r>
          </w:p>
        </w:tc>
        <w:tc>
          <w:tcPr>
            <w:tcW w:w="12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3481189C" w14:textId="77777777" w:rsidR="005E111D" w:rsidRDefault="00000000">
            <w:r>
              <w:rPr>
                <w:color w:val="495057"/>
                <w:sz w:val="19"/>
                <w:szCs w:val="19"/>
              </w:rPr>
              <w:t>Owen</w:t>
            </w:r>
          </w:p>
        </w:tc>
        <w:tc>
          <w:tcPr>
            <w:tcW w:w="12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5799E253" w14:textId="77777777" w:rsidR="005E111D" w:rsidRDefault="00000000">
            <w:r>
              <w:rPr>
                <w:color w:val="495057"/>
                <w:sz w:val="19"/>
                <w:szCs w:val="19"/>
              </w:rPr>
              <w:t>Week 1</w:t>
            </w:r>
          </w:p>
        </w:tc>
        <w:tc>
          <w:tcPr>
            <w:tcW w:w="10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458C7932" w14:textId="77777777" w:rsidR="005E111D" w:rsidRDefault="00000000">
            <w:r>
              <w:rPr>
                <w:color w:val="2E7D32"/>
                <w:sz w:val="19"/>
                <w:szCs w:val="19"/>
              </w:rPr>
              <w:t>Low</w:t>
            </w:r>
          </w:p>
        </w:tc>
        <w:tc>
          <w:tcPr>
            <w:tcW w:w="272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39125459" w14:textId="77777777" w:rsidR="005E111D" w:rsidRDefault="00000000">
            <w:r>
              <w:rPr>
                <w:color w:val="212529"/>
                <w:sz w:val="19"/>
                <w:szCs w:val="19"/>
              </w:rPr>
              <w:t>A principal-led firm without a visible principal has no brand.</w:t>
            </w:r>
          </w:p>
        </w:tc>
      </w:tr>
      <w:tr w:rsidR="005E111D" w14:paraId="7B71E21C" w14:textId="77777777">
        <w:tblPrEx>
          <w:tblCellMar>
            <w:top w:w="0" w:type="dxa"/>
            <w:bottom w:w="0" w:type="dxa"/>
          </w:tblCellMar>
        </w:tblPrEx>
        <w:tc>
          <w:tcPr>
            <w:tcW w:w="440" w:type="dxa"/>
            <w:tcBorders>
              <w:top w:val="single" w:sz="4" w:space="0" w:color="E8E8E8"/>
              <w:left w:val="single" w:sz="4" w:space="0" w:color="E8E8E8"/>
              <w:bottom w:val="single" w:sz="4" w:space="0" w:color="E8E8E8"/>
              <w:right w:val="single" w:sz="4" w:space="0" w:color="E8E8E8"/>
            </w:tcBorders>
            <w:shd w:val="clear" w:color="auto" w:fill="A98C5A"/>
            <w:tcMar>
              <w:top w:w="80" w:type="dxa"/>
              <w:left w:w="80" w:type="dxa"/>
              <w:bottom w:w="80" w:type="dxa"/>
              <w:right w:w="80" w:type="dxa"/>
            </w:tcMar>
            <w:vAlign w:val="center"/>
          </w:tcPr>
          <w:p w14:paraId="57C048F1" w14:textId="77777777" w:rsidR="005E111D" w:rsidRDefault="00000000">
            <w:pPr>
              <w:jc w:val="center"/>
            </w:pPr>
            <w:r>
              <w:rPr>
                <w:rFonts w:ascii="Georgia" w:eastAsia="Georgia" w:hAnsi="Georgia" w:cs="Georgia"/>
                <w:b/>
                <w:bCs/>
                <w:color w:val="FFFFFF"/>
              </w:rPr>
              <w:lastRenderedPageBreak/>
              <w:t>8</w:t>
            </w:r>
          </w:p>
        </w:tc>
        <w:tc>
          <w:tcPr>
            <w:tcW w:w="28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06BB387F" w14:textId="77777777" w:rsidR="005E111D" w:rsidRDefault="00000000">
            <w:r>
              <w:rPr>
                <w:b/>
                <w:bCs/>
                <w:color w:val="212529"/>
                <w:sz w:val="20"/>
                <w:szCs w:val="20"/>
              </w:rPr>
              <w:t xml:space="preserve">Rewrite homepage service description </w:t>
            </w:r>
            <w:proofErr w:type="gramStart"/>
            <w:r>
              <w:rPr>
                <w:b/>
                <w:bCs/>
                <w:color w:val="212529"/>
                <w:sz w:val="20"/>
                <w:szCs w:val="20"/>
              </w:rPr>
              <w:t>copy</w:t>
            </w:r>
            <w:proofErr w:type="gramEnd"/>
          </w:p>
        </w:tc>
        <w:tc>
          <w:tcPr>
            <w:tcW w:w="12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577305AD" w14:textId="77777777" w:rsidR="005E111D" w:rsidRDefault="00000000">
            <w:r>
              <w:rPr>
                <w:color w:val="495057"/>
                <w:sz w:val="19"/>
                <w:szCs w:val="19"/>
              </w:rPr>
              <w:t>Owen</w:t>
            </w:r>
          </w:p>
        </w:tc>
        <w:tc>
          <w:tcPr>
            <w:tcW w:w="12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72AD97C2" w14:textId="77777777" w:rsidR="005E111D" w:rsidRDefault="00000000">
            <w:r>
              <w:rPr>
                <w:color w:val="495057"/>
                <w:sz w:val="19"/>
                <w:szCs w:val="19"/>
              </w:rPr>
              <w:t>Week 2</w:t>
            </w:r>
          </w:p>
        </w:tc>
        <w:tc>
          <w:tcPr>
            <w:tcW w:w="10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08A3EC7C" w14:textId="77777777" w:rsidR="005E111D" w:rsidRDefault="00000000">
            <w:r>
              <w:rPr>
                <w:color w:val="2E7D32"/>
                <w:sz w:val="19"/>
                <w:szCs w:val="19"/>
              </w:rPr>
              <w:t>Low</w:t>
            </w:r>
          </w:p>
        </w:tc>
        <w:tc>
          <w:tcPr>
            <w:tcW w:w="272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13B40008" w14:textId="77777777" w:rsidR="005E111D" w:rsidRDefault="00000000">
            <w:r>
              <w:rPr>
                <w:color w:val="212529"/>
                <w:sz w:val="19"/>
                <w:szCs w:val="19"/>
              </w:rPr>
              <w:t>Current copy violates the tone guidelines the firm wrote for itself.</w:t>
            </w:r>
          </w:p>
        </w:tc>
      </w:tr>
      <w:tr w:rsidR="005E111D" w14:paraId="038F7DA1" w14:textId="77777777">
        <w:tblPrEx>
          <w:tblCellMar>
            <w:top w:w="0" w:type="dxa"/>
            <w:bottom w:w="0" w:type="dxa"/>
          </w:tblCellMar>
        </w:tblPrEx>
        <w:tc>
          <w:tcPr>
            <w:tcW w:w="440" w:type="dxa"/>
            <w:tcBorders>
              <w:top w:val="single" w:sz="4" w:space="0" w:color="E8E8E8"/>
              <w:left w:val="single" w:sz="4" w:space="0" w:color="E8E8E8"/>
              <w:bottom w:val="single" w:sz="4" w:space="0" w:color="E8E8E8"/>
              <w:right w:val="single" w:sz="4" w:space="0" w:color="E8E8E8"/>
            </w:tcBorders>
            <w:shd w:val="clear" w:color="auto" w:fill="A98C5A"/>
            <w:tcMar>
              <w:top w:w="80" w:type="dxa"/>
              <w:left w:w="80" w:type="dxa"/>
              <w:bottom w:w="80" w:type="dxa"/>
              <w:right w:w="80" w:type="dxa"/>
            </w:tcMar>
            <w:vAlign w:val="center"/>
          </w:tcPr>
          <w:p w14:paraId="5AFC36A5" w14:textId="77777777" w:rsidR="005E111D" w:rsidRDefault="00000000">
            <w:pPr>
              <w:jc w:val="center"/>
            </w:pPr>
            <w:r>
              <w:rPr>
                <w:rFonts w:ascii="Georgia" w:eastAsia="Georgia" w:hAnsi="Georgia" w:cs="Georgia"/>
                <w:b/>
                <w:bCs/>
                <w:color w:val="FFFFFF"/>
              </w:rPr>
              <w:t>9</w:t>
            </w:r>
          </w:p>
        </w:tc>
        <w:tc>
          <w:tcPr>
            <w:tcW w:w="28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20" w:type="dxa"/>
              <w:bottom w:w="80" w:type="dxa"/>
              <w:right w:w="80" w:type="dxa"/>
            </w:tcMar>
          </w:tcPr>
          <w:p w14:paraId="18C93621" w14:textId="77777777" w:rsidR="005E111D" w:rsidRDefault="00000000">
            <w:r>
              <w:rPr>
                <w:b/>
                <w:bCs/>
                <w:color w:val="212529"/>
                <w:sz w:val="20"/>
                <w:szCs w:val="20"/>
              </w:rPr>
              <w:t xml:space="preserve">Update site to reflect Strategic </w:t>
            </w:r>
            <w:proofErr w:type="spellStart"/>
            <w:r>
              <w:rPr>
                <w:b/>
                <w:bCs/>
                <w:color w:val="212529"/>
                <w:sz w:val="20"/>
                <w:szCs w:val="20"/>
              </w:rPr>
              <w:t>GaaS</w:t>
            </w:r>
            <w:proofErr w:type="spellEnd"/>
            <w:r>
              <w:rPr>
                <w:b/>
                <w:bCs/>
                <w:color w:val="212529"/>
                <w:sz w:val="20"/>
                <w:szCs w:val="20"/>
              </w:rPr>
              <w:t xml:space="preserve"> positioning</w:t>
            </w:r>
          </w:p>
        </w:tc>
        <w:tc>
          <w:tcPr>
            <w:tcW w:w="12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7A2E4FD3" w14:textId="77777777" w:rsidR="005E111D" w:rsidRDefault="00000000">
            <w:r>
              <w:rPr>
                <w:color w:val="495057"/>
                <w:sz w:val="19"/>
                <w:szCs w:val="19"/>
              </w:rPr>
              <w:t>Technical</w:t>
            </w:r>
          </w:p>
        </w:tc>
        <w:tc>
          <w:tcPr>
            <w:tcW w:w="12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5DB94890" w14:textId="77777777" w:rsidR="005E111D" w:rsidRDefault="00000000">
            <w:r>
              <w:rPr>
                <w:color w:val="495057"/>
                <w:sz w:val="19"/>
                <w:szCs w:val="19"/>
              </w:rPr>
              <w:t>Week 2–3</w:t>
            </w:r>
          </w:p>
        </w:tc>
        <w:tc>
          <w:tcPr>
            <w:tcW w:w="10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2821A058" w14:textId="77777777" w:rsidR="005E111D" w:rsidRDefault="00000000">
            <w:r>
              <w:rPr>
                <w:color w:val="C8742A"/>
                <w:sz w:val="19"/>
                <w:szCs w:val="19"/>
              </w:rPr>
              <w:t>Medium</w:t>
            </w:r>
          </w:p>
        </w:tc>
        <w:tc>
          <w:tcPr>
            <w:tcW w:w="272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2D111641" w14:textId="77777777" w:rsidR="005E111D" w:rsidRDefault="00000000">
            <w:r>
              <w:rPr>
                <w:color w:val="212529"/>
                <w:sz w:val="19"/>
                <w:szCs w:val="19"/>
              </w:rPr>
              <w:t>Aligns live site with confirmed strategy.</w:t>
            </w:r>
          </w:p>
        </w:tc>
      </w:tr>
      <w:tr w:rsidR="005E111D" w14:paraId="0AF60EC9" w14:textId="77777777">
        <w:tblPrEx>
          <w:tblCellMar>
            <w:top w:w="0" w:type="dxa"/>
            <w:bottom w:w="0" w:type="dxa"/>
          </w:tblCellMar>
        </w:tblPrEx>
        <w:tc>
          <w:tcPr>
            <w:tcW w:w="440" w:type="dxa"/>
            <w:tcBorders>
              <w:top w:val="single" w:sz="4" w:space="0" w:color="E8E8E8"/>
              <w:left w:val="single" w:sz="4" w:space="0" w:color="E8E8E8"/>
              <w:bottom w:val="single" w:sz="4" w:space="0" w:color="E8E8E8"/>
              <w:right w:val="single" w:sz="4" w:space="0" w:color="E8E8E8"/>
            </w:tcBorders>
            <w:shd w:val="clear" w:color="auto" w:fill="A98C5A"/>
            <w:tcMar>
              <w:top w:w="80" w:type="dxa"/>
              <w:left w:w="80" w:type="dxa"/>
              <w:bottom w:w="80" w:type="dxa"/>
              <w:right w:w="80" w:type="dxa"/>
            </w:tcMar>
            <w:vAlign w:val="center"/>
          </w:tcPr>
          <w:p w14:paraId="32D33DF0" w14:textId="77777777" w:rsidR="005E111D" w:rsidRDefault="00000000">
            <w:pPr>
              <w:jc w:val="center"/>
            </w:pPr>
            <w:r>
              <w:rPr>
                <w:rFonts w:ascii="Georgia" w:eastAsia="Georgia" w:hAnsi="Georgia" w:cs="Georgia"/>
                <w:b/>
                <w:bCs/>
                <w:color w:val="FFFFFF"/>
              </w:rPr>
              <w:t>10</w:t>
            </w:r>
          </w:p>
        </w:tc>
        <w:tc>
          <w:tcPr>
            <w:tcW w:w="28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CFBFFB8" w14:textId="77777777" w:rsidR="005E111D" w:rsidRDefault="00000000">
            <w:r>
              <w:rPr>
                <w:b/>
                <w:bCs/>
                <w:color w:val="212529"/>
                <w:sz w:val="20"/>
                <w:szCs w:val="20"/>
              </w:rPr>
              <w:t>Create branded email signature</w:t>
            </w:r>
          </w:p>
        </w:tc>
        <w:tc>
          <w:tcPr>
            <w:tcW w:w="12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1A8E2663" w14:textId="77777777" w:rsidR="005E111D" w:rsidRDefault="00000000">
            <w:r>
              <w:rPr>
                <w:color w:val="495057"/>
                <w:sz w:val="19"/>
                <w:szCs w:val="19"/>
              </w:rPr>
              <w:t>Owen</w:t>
            </w:r>
          </w:p>
        </w:tc>
        <w:tc>
          <w:tcPr>
            <w:tcW w:w="12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5A637735" w14:textId="77777777" w:rsidR="005E111D" w:rsidRDefault="00000000">
            <w:r>
              <w:rPr>
                <w:color w:val="495057"/>
                <w:sz w:val="19"/>
                <w:szCs w:val="19"/>
              </w:rPr>
              <w:t>Week 1</w:t>
            </w:r>
          </w:p>
        </w:tc>
        <w:tc>
          <w:tcPr>
            <w:tcW w:w="10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34E124E4" w14:textId="77777777" w:rsidR="005E111D" w:rsidRDefault="00000000">
            <w:r>
              <w:rPr>
                <w:color w:val="2E7D32"/>
                <w:sz w:val="19"/>
                <w:szCs w:val="19"/>
              </w:rPr>
              <w:t>Low</w:t>
            </w:r>
          </w:p>
        </w:tc>
        <w:tc>
          <w:tcPr>
            <w:tcW w:w="272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3C51033D" w14:textId="77777777" w:rsidR="005E111D" w:rsidRDefault="00000000">
            <w:r>
              <w:rPr>
                <w:color w:val="212529"/>
                <w:sz w:val="19"/>
                <w:szCs w:val="19"/>
              </w:rPr>
              <w:t>Every email is a brand touchpoint. Currently none carry the brand.</w:t>
            </w:r>
          </w:p>
        </w:tc>
      </w:tr>
      <w:tr w:rsidR="005E111D" w14:paraId="5A85D5C9" w14:textId="77777777">
        <w:tblPrEx>
          <w:tblCellMar>
            <w:top w:w="0" w:type="dxa"/>
            <w:bottom w:w="0" w:type="dxa"/>
          </w:tblCellMar>
        </w:tblPrEx>
        <w:tc>
          <w:tcPr>
            <w:tcW w:w="440" w:type="dxa"/>
            <w:tcBorders>
              <w:top w:val="single" w:sz="4" w:space="0" w:color="E8E8E8"/>
              <w:left w:val="single" w:sz="4" w:space="0" w:color="E8E8E8"/>
              <w:bottom w:val="single" w:sz="4" w:space="0" w:color="E8E8E8"/>
              <w:right w:val="single" w:sz="4" w:space="0" w:color="E8E8E8"/>
            </w:tcBorders>
            <w:shd w:val="clear" w:color="auto" w:fill="A98C5A"/>
            <w:tcMar>
              <w:top w:w="80" w:type="dxa"/>
              <w:left w:w="80" w:type="dxa"/>
              <w:bottom w:w="80" w:type="dxa"/>
              <w:right w:w="80" w:type="dxa"/>
            </w:tcMar>
            <w:vAlign w:val="center"/>
          </w:tcPr>
          <w:p w14:paraId="1CA1DD69" w14:textId="77777777" w:rsidR="005E111D" w:rsidRDefault="00000000">
            <w:pPr>
              <w:jc w:val="center"/>
            </w:pPr>
            <w:r>
              <w:rPr>
                <w:rFonts w:ascii="Georgia" w:eastAsia="Georgia" w:hAnsi="Georgia" w:cs="Georgia"/>
                <w:b/>
                <w:bCs/>
                <w:color w:val="FFFFFF"/>
              </w:rPr>
              <w:t>11</w:t>
            </w:r>
          </w:p>
        </w:tc>
        <w:tc>
          <w:tcPr>
            <w:tcW w:w="28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20" w:type="dxa"/>
              <w:bottom w:w="80" w:type="dxa"/>
              <w:right w:w="80" w:type="dxa"/>
            </w:tcMar>
          </w:tcPr>
          <w:p w14:paraId="08B7B4F4" w14:textId="77777777" w:rsidR="005E111D" w:rsidRDefault="00000000">
            <w:r>
              <w:rPr>
                <w:b/>
                <w:bCs/>
                <w:color w:val="212529"/>
                <w:sz w:val="20"/>
                <w:szCs w:val="20"/>
              </w:rPr>
              <w:t>Create proposal and report document templates</w:t>
            </w:r>
          </w:p>
        </w:tc>
        <w:tc>
          <w:tcPr>
            <w:tcW w:w="12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0AA5A3C6" w14:textId="77777777" w:rsidR="005E111D" w:rsidRDefault="00000000">
            <w:r>
              <w:rPr>
                <w:color w:val="495057"/>
                <w:sz w:val="19"/>
                <w:szCs w:val="19"/>
              </w:rPr>
              <w:t>Owen</w:t>
            </w:r>
          </w:p>
        </w:tc>
        <w:tc>
          <w:tcPr>
            <w:tcW w:w="12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0F88A013" w14:textId="77777777" w:rsidR="005E111D" w:rsidRDefault="00000000">
            <w:r>
              <w:rPr>
                <w:color w:val="495057"/>
                <w:sz w:val="19"/>
                <w:szCs w:val="19"/>
              </w:rPr>
              <w:t>Week 3–4</w:t>
            </w:r>
          </w:p>
        </w:tc>
        <w:tc>
          <w:tcPr>
            <w:tcW w:w="10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0771B4C6" w14:textId="77777777" w:rsidR="005E111D" w:rsidRDefault="00000000">
            <w:r>
              <w:rPr>
                <w:color w:val="C8742A"/>
                <w:sz w:val="19"/>
                <w:szCs w:val="19"/>
              </w:rPr>
              <w:t>Medium</w:t>
            </w:r>
          </w:p>
        </w:tc>
        <w:tc>
          <w:tcPr>
            <w:tcW w:w="272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3030C86D" w14:textId="77777777" w:rsidR="005E111D" w:rsidRDefault="00000000">
            <w:r>
              <w:rPr>
                <w:color w:val="212529"/>
                <w:sz w:val="19"/>
                <w:szCs w:val="19"/>
              </w:rPr>
              <w:t>Every client deliverable reflects on the brand. Generic Word docs undermine premium pricing.</w:t>
            </w:r>
          </w:p>
        </w:tc>
      </w:tr>
      <w:tr w:rsidR="005E111D" w14:paraId="490D8D49" w14:textId="77777777">
        <w:tblPrEx>
          <w:tblCellMar>
            <w:top w:w="0" w:type="dxa"/>
            <w:bottom w:w="0" w:type="dxa"/>
          </w:tblCellMar>
        </w:tblPrEx>
        <w:tc>
          <w:tcPr>
            <w:tcW w:w="440" w:type="dxa"/>
            <w:tcBorders>
              <w:top w:val="single" w:sz="4" w:space="0" w:color="E8E8E8"/>
              <w:left w:val="single" w:sz="4" w:space="0" w:color="E8E8E8"/>
              <w:bottom w:val="single" w:sz="4" w:space="0" w:color="E8E8E8"/>
              <w:right w:val="single" w:sz="4" w:space="0" w:color="E8E8E8"/>
            </w:tcBorders>
            <w:shd w:val="clear" w:color="auto" w:fill="A98C5A"/>
            <w:tcMar>
              <w:top w:w="80" w:type="dxa"/>
              <w:left w:w="80" w:type="dxa"/>
              <w:bottom w:w="80" w:type="dxa"/>
              <w:right w:w="80" w:type="dxa"/>
            </w:tcMar>
            <w:vAlign w:val="center"/>
          </w:tcPr>
          <w:p w14:paraId="5B677834" w14:textId="77777777" w:rsidR="005E111D" w:rsidRDefault="00000000">
            <w:pPr>
              <w:jc w:val="center"/>
            </w:pPr>
            <w:r>
              <w:rPr>
                <w:rFonts w:ascii="Georgia" w:eastAsia="Georgia" w:hAnsi="Georgia" w:cs="Georgia"/>
                <w:b/>
                <w:bCs/>
                <w:color w:val="FFFFFF"/>
              </w:rPr>
              <w:t>12</w:t>
            </w:r>
          </w:p>
        </w:tc>
        <w:tc>
          <w:tcPr>
            <w:tcW w:w="28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2B7B4A38" w14:textId="77777777" w:rsidR="005E111D" w:rsidRDefault="00000000">
            <w:r>
              <w:rPr>
                <w:b/>
                <w:bCs/>
                <w:color w:val="212529"/>
                <w:sz w:val="20"/>
                <w:szCs w:val="20"/>
              </w:rPr>
              <w:t>Publish third Insights article</w:t>
            </w:r>
          </w:p>
        </w:tc>
        <w:tc>
          <w:tcPr>
            <w:tcW w:w="12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33DB0C54" w14:textId="77777777" w:rsidR="005E111D" w:rsidRDefault="00000000">
            <w:r>
              <w:rPr>
                <w:color w:val="495057"/>
                <w:sz w:val="19"/>
                <w:szCs w:val="19"/>
              </w:rPr>
              <w:t>Owen</w:t>
            </w:r>
          </w:p>
        </w:tc>
        <w:tc>
          <w:tcPr>
            <w:tcW w:w="12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7574BF04" w14:textId="77777777" w:rsidR="005E111D" w:rsidRDefault="00000000">
            <w:r>
              <w:rPr>
                <w:color w:val="495057"/>
                <w:sz w:val="19"/>
                <w:szCs w:val="19"/>
              </w:rPr>
              <w:t>Week 4</w:t>
            </w:r>
          </w:p>
        </w:tc>
        <w:tc>
          <w:tcPr>
            <w:tcW w:w="10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1AD0E7C1" w14:textId="77777777" w:rsidR="005E111D" w:rsidRDefault="00000000">
            <w:r>
              <w:rPr>
                <w:color w:val="C8742A"/>
                <w:sz w:val="19"/>
                <w:szCs w:val="19"/>
              </w:rPr>
              <w:t>Medium</w:t>
            </w:r>
          </w:p>
        </w:tc>
        <w:tc>
          <w:tcPr>
            <w:tcW w:w="272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5B578EC9" w14:textId="77777777" w:rsidR="005E111D" w:rsidRDefault="00000000">
            <w:r>
              <w:rPr>
                <w:color w:val="212529"/>
                <w:sz w:val="19"/>
                <w:szCs w:val="19"/>
              </w:rPr>
              <w:t>Restores active publishing signal. Six-month gap signals inactivity.</w:t>
            </w:r>
          </w:p>
        </w:tc>
      </w:tr>
    </w:tbl>
    <w:p w14:paraId="27F20250" w14:textId="77777777" w:rsidR="005E111D" w:rsidRDefault="005E111D">
      <w:pPr>
        <w:spacing w:before="120"/>
      </w:pPr>
    </w:p>
    <w:p w14:paraId="0A4F73E8" w14:textId="77777777" w:rsidR="005E111D" w:rsidRDefault="00000000">
      <w:pPr>
        <w:pStyle w:val="Heading2"/>
      </w:pPr>
      <w:r>
        <w:t>Phase 2: Establish Competitive Credibility (Months 2–4)</w:t>
      </w:r>
    </w:p>
    <w:p w14:paraId="251E51A4" w14:textId="77777777" w:rsidR="005E111D" w:rsidRDefault="005E111D">
      <w:pPr>
        <w:spacing w:before="80"/>
      </w:pPr>
    </w:p>
    <w:p w14:paraId="172EC990" w14:textId="77777777" w:rsidR="005E111D" w:rsidRDefault="00000000">
      <w:pPr>
        <w:spacing w:before="80" w:after="80"/>
      </w:pPr>
      <w:r>
        <w:rPr>
          <w:color w:val="495057"/>
        </w:rPr>
        <w:t>These actions build the evidence base that converts referred prospects into paying clients. They require time and founder involvement, but most can be completed with existing material.</w:t>
      </w:r>
    </w:p>
    <w:p w14:paraId="78F749A3" w14:textId="77777777" w:rsidR="005E111D" w:rsidRDefault="005E111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
        <w:gridCol w:w="2800"/>
        <w:gridCol w:w="1200"/>
        <w:gridCol w:w="1200"/>
        <w:gridCol w:w="1000"/>
        <w:gridCol w:w="2720"/>
      </w:tblGrid>
      <w:tr w:rsidR="005E111D" w14:paraId="05597136" w14:textId="77777777">
        <w:tblPrEx>
          <w:tblCellMar>
            <w:top w:w="0" w:type="dxa"/>
            <w:bottom w:w="0" w:type="dxa"/>
          </w:tblCellMar>
        </w:tblPrEx>
        <w:tc>
          <w:tcPr>
            <w:tcW w:w="440" w:type="dxa"/>
            <w:tcBorders>
              <w:top w:val="single" w:sz="4" w:space="0" w:color="A98C5A"/>
              <w:left w:val="single" w:sz="4" w:space="0" w:color="A98C5A"/>
              <w:bottom w:val="single" w:sz="4" w:space="0" w:color="A98C5A"/>
              <w:right w:val="single" w:sz="4" w:space="0" w:color="A98C5A"/>
            </w:tcBorders>
            <w:shd w:val="clear" w:color="auto" w:fill="212529"/>
            <w:tcMar>
              <w:top w:w="80" w:type="dxa"/>
              <w:left w:w="100" w:type="dxa"/>
              <w:bottom w:w="80" w:type="dxa"/>
              <w:right w:w="80" w:type="dxa"/>
            </w:tcMar>
          </w:tcPr>
          <w:p w14:paraId="41D0F87D" w14:textId="77777777" w:rsidR="005E111D" w:rsidRDefault="00000000">
            <w:r>
              <w:rPr>
                <w:b/>
                <w:bCs/>
                <w:caps/>
                <w:color w:val="FFFFFF"/>
                <w:sz w:val="19"/>
                <w:szCs w:val="19"/>
              </w:rPr>
              <w:t>#</w:t>
            </w:r>
          </w:p>
        </w:tc>
        <w:tc>
          <w:tcPr>
            <w:tcW w:w="2800" w:type="dxa"/>
            <w:tcBorders>
              <w:top w:val="single" w:sz="4" w:space="0" w:color="A98C5A"/>
              <w:left w:val="single" w:sz="4" w:space="0" w:color="A98C5A"/>
              <w:bottom w:val="single" w:sz="4" w:space="0" w:color="A98C5A"/>
              <w:right w:val="single" w:sz="4" w:space="0" w:color="A98C5A"/>
            </w:tcBorders>
            <w:shd w:val="clear" w:color="auto" w:fill="212529"/>
            <w:tcMar>
              <w:top w:w="80" w:type="dxa"/>
              <w:left w:w="100" w:type="dxa"/>
              <w:bottom w:w="80" w:type="dxa"/>
              <w:right w:w="80" w:type="dxa"/>
            </w:tcMar>
          </w:tcPr>
          <w:p w14:paraId="08D99A12" w14:textId="77777777" w:rsidR="005E111D" w:rsidRDefault="00000000">
            <w:r>
              <w:rPr>
                <w:b/>
                <w:bCs/>
                <w:caps/>
                <w:color w:val="FFFFFF"/>
                <w:sz w:val="19"/>
                <w:szCs w:val="19"/>
              </w:rPr>
              <w:t>Action</w:t>
            </w:r>
          </w:p>
        </w:tc>
        <w:tc>
          <w:tcPr>
            <w:tcW w:w="1200" w:type="dxa"/>
            <w:tcBorders>
              <w:top w:val="single" w:sz="4" w:space="0" w:color="A98C5A"/>
              <w:left w:val="single" w:sz="4" w:space="0" w:color="A98C5A"/>
              <w:bottom w:val="single" w:sz="4" w:space="0" w:color="A98C5A"/>
              <w:right w:val="single" w:sz="4" w:space="0" w:color="A98C5A"/>
            </w:tcBorders>
            <w:shd w:val="clear" w:color="auto" w:fill="212529"/>
            <w:tcMar>
              <w:top w:w="80" w:type="dxa"/>
              <w:left w:w="100" w:type="dxa"/>
              <w:bottom w:w="80" w:type="dxa"/>
              <w:right w:w="80" w:type="dxa"/>
            </w:tcMar>
          </w:tcPr>
          <w:p w14:paraId="1EF86308" w14:textId="77777777" w:rsidR="005E111D" w:rsidRDefault="00000000">
            <w:r>
              <w:rPr>
                <w:b/>
                <w:bCs/>
                <w:caps/>
                <w:color w:val="FFFFFF"/>
                <w:sz w:val="19"/>
                <w:szCs w:val="19"/>
              </w:rPr>
              <w:t>Owner</w:t>
            </w:r>
          </w:p>
        </w:tc>
        <w:tc>
          <w:tcPr>
            <w:tcW w:w="1200" w:type="dxa"/>
            <w:tcBorders>
              <w:top w:val="single" w:sz="4" w:space="0" w:color="A98C5A"/>
              <w:left w:val="single" w:sz="4" w:space="0" w:color="A98C5A"/>
              <w:bottom w:val="single" w:sz="4" w:space="0" w:color="A98C5A"/>
              <w:right w:val="single" w:sz="4" w:space="0" w:color="A98C5A"/>
            </w:tcBorders>
            <w:shd w:val="clear" w:color="auto" w:fill="212529"/>
            <w:tcMar>
              <w:top w:w="80" w:type="dxa"/>
              <w:left w:w="100" w:type="dxa"/>
              <w:bottom w:w="80" w:type="dxa"/>
              <w:right w:w="80" w:type="dxa"/>
            </w:tcMar>
          </w:tcPr>
          <w:p w14:paraId="39FBF01D" w14:textId="77777777" w:rsidR="005E111D" w:rsidRDefault="00000000">
            <w:r>
              <w:rPr>
                <w:b/>
                <w:bCs/>
                <w:caps/>
                <w:color w:val="FFFFFF"/>
                <w:sz w:val="19"/>
                <w:szCs w:val="19"/>
              </w:rPr>
              <w:t>Timeline</w:t>
            </w:r>
          </w:p>
        </w:tc>
        <w:tc>
          <w:tcPr>
            <w:tcW w:w="1000" w:type="dxa"/>
            <w:tcBorders>
              <w:top w:val="single" w:sz="4" w:space="0" w:color="A98C5A"/>
              <w:left w:val="single" w:sz="4" w:space="0" w:color="A98C5A"/>
              <w:bottom w:val="single" w:sz="4" w:space="0" w:color="A98C5A"/>
              <w:right w:val="single" w:sz="4" w:space="0" w:color="A98C5A"/>
            </w:tcBorders>
            <w:shd w:val="clear" w:color="auto" w:fill="212529"/>
            <w:tcMar>
              <w:top w:w="80" w:type="dxa"/>
              <w:left w:w="100" w:type="dxa"/>
              <w:bottom w:w="80" w:type="dxa"/>
              <w:right w:w="80" w:type="dxa"/>
            </w:tcMar>
          </w:tcPr>
          <w:p w14:paraId="113769F2" w14:textId="77777777" w:rsidR="005E111D" w:rsidRDefault="00000000">
            <w:r>
              <w:rPr>
                <w:b/>
                <w:bCs/>
                <w:caps/>
                <w:color w:val="FFFFFF"/>
                <w:sz w:val="19"/>
                <w:szCs w:val="19"/>
              </w:rPr>
              <w:t>Effort</w:t>
            </w:r>
          </w:p>
        </w:tc>
        <w:tc>
          <w:tcPr>
            <w:tcW w:w="2720" w:type="dxa"/>
            <w:tcBorders>
              <w:top w:val="single" w:sz="4" w:space="0" w:color="A98C5A"/>
              <w:left w:val="single" w:sz="4" w:space="0" w:color="A98C5A"/>
              <w:bottom w:val="single" w:sz="4" w:space="0" w:color="A98C5A"/>
              <w:right w:val="single" w:sz="4" w:space="0" w:color="A98C5A"/>
            </w:tcBorders>
            <w:shd w:val="clear" w:color="auto" w:fill="212529"/>
            <w:tcMar>
              <w:top w:w="80" w:type="dxa"/>
              <w:left w:w="100" w:type="dxa"/>
              <w:bottom w:w="80" w:type="dxa"/>
              <w:right w:w="80" w:type="dxa"/>
            </w:tcMar>
          </w:tcPr>
          <w:p w14:paraId="15E8217D" w14:textId="77777777" w:rsidR="005E111D" w:rsidRDefault="00000000">
            <w:r>
              <w:rPr>
                <w:b/>
                <w:bCs/>
                <w:caps/>
                <w:color w:val="FFFFFF"/>
                <w:sz w:val="19"/>
                <w:szCs w:val="19"/>
              </w:rPr>
              <w:t>Impact</w:t>
            </w:r>
          </w:p>
        </w:tc>
      </w:tr>
      <w:tr w:rsidR="005E111D" w14:paraId="006A0992" w14:textId="77777777">
        <w:tblPrEx>
          <w:tblCellMar>
            <w:top w:w="0" w:type="dxa"/>
            <w:bottom w:w="0" w:type="dxa"/>
          </w:tblCellMar>
        </w:tblPrEx>
        <w:tc>
          <w:tcPr>
            <w:tcW w:w="440" w:type="dxa"/>
            <w:tcBorders>
              <w:top w:val="single" w:sz="4" w:space="0" w:color="E8E8E8"/>
              <w:left w:val="single" w:sz="4" w:space="0" w:color="E8E8E8"/>
              <w:bottom w:val="single" w:sz="4" w:space="0" w:color="E8E8E8"/>
              <w:right w:val="single" w:sz="4" w:space="0" w:color="E8E8E8"/>
            </w:tcBorders>
            <w:shd w:val="clear" w:color="auto" w:fill="A98C5A"/>
            <w:tcMar>
              <w:top w:w="80" w:type="dxa"/>
              <w:left w:w="80" w:type="dxa"/>
              <w:bottom w:w="80" w:type="dxa"/>
              <w:right w:w="80" w:type="dxa"/>
            </w:tcMar>
            <w:vAlign w:val="center"/>
          </w:tcPr>
          <w:p w14:paraId="5358CBF4" w14:textId="77777777" w:rsidR="005E111D" w:rsidRDefault="00000000">
            <w:pPr>
              <w:jc w:val="center"/>
            </w:pPr>
            <w:r>
              <w:rPr>
                <w:rFonts w:ascii="Georgia" w:eastAsia="Georgia" w:hAnsi="Georgia" w:cs="Georgia"/>
                <w:b/>
                <w:bCs/>
                <w:color w:val="FFFFFF"/>
              </w:rPr>
              <w:t>13</w:t>
            </w:r>
          </w:p>
        </w:tc>
        <w:tc>
          <w:tcPr>
            <w:tcW w:w="28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20" w:type="dxa"/>
              <w:bottom w:w="80" w:type="dxa"/>
              <w:right w:w="80" w:type="dxa"/>
            </w:tcMar>
          </w:tcPr>
          <w:p w14:paraId="10953758" w14:textId="77777777" w:rsidR="005E111D" w:rsidRDefault="00000000">
            <w:r>
              <w:rPr>
                <w:b/>
                <w:bCs/>
                <w:color w:val="212529"/>
                <w:sz w:val="20"/>
                <w:szCs w:val="20"/>
              </w:rPr>
              <w:t>Produce 2–3 anonymised case studies</w:t>
            </w:r>
          </w:p>
        </w:tc>
        <w:tc>
          <w:tcPr>
            <w:tcW w:w="12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4778ED6E" w14:textId="77777777" w:rsidR="005E111D" w:rsidRDefault="00000000">
            <w:r>
              <w:rPr>
                <w:color w:val="495057"/>
                <w:sz w:val="19"/>
                <w:szCs w:val="19"/>
              </w:rPr>
              <w:t>Owen</w:t>
            </w:r>
          </w:p>
        </w:tc>
        <w:tc>
          <w:tcPr>
            <w:tcW w:w="12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0539733A" w14:textId="77777777" w:rsidR="005E111D" w:rsidRDefault="00000000">
            <w:r>
              <w:rPr>
                <w:color w:val="495057"/>
                <w:sz w:val="19"/>
                <w:szCs w:val="19"/>
              </w:rPr>
              <w:t>Month 2</w:t>
            </w:r>
          </w:p>
        </w:tc>
        <w:tc>
          <w:tcPr>
            <w:tcW w:w="10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08061885" w14:textId="77777777" w:rsidR="005E111D" w:rsidRDefault="00000000">
            <w:r>
              <w:rPr>
                <w:color w:val="C62828"/>
                <w:sz w:val="19"/>
                <w:szCs w:val="19"/>
              </w:rPr>
              <w:t>High</w:t>
            </w:r>
          </w:p>
        </w:tc>
        <w:tc>
          <w:tcPr>
            <w:tcW w:w="272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6CE74C61" w14:textId="77777777" w:rsidR="005E111D" w:rsidRDefault="00000000">
            <w:r>
              <w:rPr>
                <w:color w:val="212529"/>
                <w:sz w:val="19"/>
                <w:szCs w:val="19"/>
              </w:rPr>
              <w:t>Zero social proof is a disqualifier for premium engagements.</w:t>
            </w:r>
          </w:p>
        </w:tc>
      </w:tr>
      <w:tr w:rsidR="005E111D" w14:paraId="59EE6E7C" w14:textId="77777777">
        <w:tblPrEx>
          <w:tblCellMar>
            <w:top w:w="0" w:type="dxa"/>
            <w:bottom w:w="0" w:type="dxa"/>
          </w:tblCellMar>
        </w:tblPrEx>
        <w:tc>
          <w:tcPr>
            <w:tcW w:w="440" w:type="dxa"/>
            <w:tcBorders>
              <w:top w:val="single" w:sz="4" w:space="0" w:color="E8E8E8"/>
              <w:left w:val="single" w:sz="4" w:space="0" w:color="E8E8E8"/>
              <w:bottom w:val="single" w:sz="4" w:space="0" w:color="E8E8E8"/>
              <w:right w:val="single" w:sz="4" w:space="0" w:color="E8E8E8"/>
            </w:tcBorders>
            <w:shd w:val="clear" w:color="auto" w:fill="A98C5A"/>
            <w:tcMar>
              <w:top w:w="80" w:type="dxa"/>
              <w:left w:w="80" w:type="dxa"/>
              <w:bottom w:w="80" w:type="dxa"/>
              <w:right w:w="80" w:type="dxa"/>
            </w:tcMar>
            <w:vAlign w:val="center"/>
          </w:tcPr>
          <w:p w14:paraId="7EFDE1E7" w14:textId="77777777" w:rsidR="005E111D" w:rsidRDefault="00000000">
            <w:pPr>
              <w:jc w:val="center"/>
            </w:pPr>
            <w:r>
              <w:rPr>
                <w:rFonts w:ascii="Georgia" w:eastAsia="Georgia" w:hAnsi="Georgia" w:cs="Georgia"/>
                <w:b/>
                <w:bCs/>
                <w:color w:val="FFFFFF"/>
              </w:rPr>
              <w:t>14</w:t>
            </w:r>
          </w:p>
        </w:tc>
        <w:tc>
          <w:tcPr>
            <w:tcW w:w="28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6CD06024" w14:textId="77777777" w:rsidR="005E111D" w:rsidRDefault="00000000">
            <w:r>
              <w:rPr>
                <w:b/>
                <w:bCs/>
                <w:color w:val="212529"/>
                <w:sz w:val="20"/>
                <w:szCs w:val="20"/>
              </w:rPr>
              <w:t>Build first gated PDF: Pre-Exit Governance Checklist</w:t>
            </w:r>
          </w:p>
        </w:tc>
        <w:tc>
          <w:tcPr>
            <w:tcW w:w="12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11052BA8" w14:textId="77777777" w:rsidR="005E111D" w:rsidRDefault="00000000">
            <w:r>
              <w:rPr>
                <w:color w:val="495057"/>
                <w:sz w:val="19"/>
                <w:szCs w:val="19"/>
              </w:rPr>
              <w:t>Owen</w:t>
            </w:r>
          </w:p>
        </w:tc>
        <w:tc>
          <w:tcPr>
            <w:tcW w:w="12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0E689923" w14:textId="77777777" w:rsidR="005E111D" w:rsidRDefault="00000000">
            <w:r>
              <w:rPr>
                <w:color w:val="495057"/>
                <w:sz w:val="19"/>
                <w:szCs w:val="19"/>
              </w:rPr>
              <w:t>Month 2</w:t>
            </w:r>
          </w:p>
        </w:tc>
        <w:tc>
          <w:tcPr>
            <w:tcW w:w="10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5DC783AB" w14:textId="77777777" w:rsidR="005E111D" w:rsidRDefault="00000000">
            <w:r>
              <w:rPr>
                <w:color w:val="C8742A"/>
                <w:sz w:val="19"/>
                <w:szCs w:val="19"/>
              </w:rPr>
              <w:t>Medium</w:t>
            </w:r>
          </w:p>
        </w:tc>
        <w:tc>
          <w:tcPr>
            <w:tcW w:w="272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4A131A8D" w14:textId="77777777" w:rsidR="005E111D" w:rsidRDefault="00000000">
            <w:r>
              <w:rPr>
                <w:color w:val="212529"/>
                <w:sz w:val="19"/>
                <w:szCs w:val="19"/>
              </w:rPr>
              <w:t>First inbound lead capture mechanism. Targets highest-value buyer.</w:t>
            </w:r>
          </w:p>
        </w:tc>
      </w:tr>
      <w:tr w:rsidR="005E111D" w14:paraId="7850E541" w14:textId="77777777">
        <w:tblPrEx>
          <w:tblCellMar>
            <w:top w:w="0" w:type="dxa"/>
            <w:bottom w:w="0" w:type="dxa"/>
          </w:tblCellMar>
        </w:tblPrEx>
        <w:tc>
          <w:tcPr>
            <w:tcW w:w="440" w:type="dxa"/>
            <w:tcBorders>
              <w:top w:val="single" w:sz="4" w:space="0" w:color="E8E8E8"/>
              <w:left w:val="single" w:sz="4" w:space="0" w:color="E8E8E8"/>
              <w:bottom w:val="single" w:sz="4" w:space="0" w:color="E8E8E8"/>
              <w:right w:val="single" w:sz="4" w:space="0" w:color="E8E8E8"/>
            </w:tcBorders>
            <w:shd w:val="clear" w:color="auto" w:fill="A98C5A"/>
            <w:tcMar>
              <w:top w:w="80" w:type="dxa"/>
              <w:left w:w="80" w:type="dxa"/>
              <w:bottom w:w="80" w:type="dxa"/>
              <w:right w:w="80" w:type="dxa"/>
            </w:tcMar>
            <w:vAlign w:val="center"/>
          </w:tcPr>
          <w:p w14:paraId="2B116E07" w14:textId="77777777" w:rsidR="005E111D" w:rsidRDefault="00000000">
            <w:pPr>
              <w:jc w:val="center"/>
            </w:pPr>
            <w:r>
              <w:rPr>
                <w:rFonts w:ascii="Georgia" w:eastAsia="Georgia" w:hAnsi="Georgia" w:cs="Georgia"/>
                <w:b/>
                <w:bCs/>
                <w:color w:val="FFFFFF"/>
              </w:rPr>
              <w:t>15</w:t>
            </w:r>
          </w:p>
        </w:tc>
        <w:tc>
          <w:tcPr>
            <w:tcW w:w="28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20" w:type="dxa"/>
              <w:bottom w:w="80" w:type="dxa"/>
              <w:right w:w="80" w:type="dxa"/>
            </w:tcMar>
          </w:tcPr>
          <w:p w14:paraId="56B6DA5C" w14:textId="77777777" w:rsidR="005E111D" w:rsidRDefault="00000000">
            <w:r>
              <w:rPr>
                <w:b/>
                <w:bCs/>
                <w:color w:val="212529"/>
                <w:sz w:val="20"/>
                <w:szCs w:val="20"/>
              </w:rPr>
              <w:t>Optimise Owen's LinkedIn profile</w:t>
            </w:r>
          </w:p>
        </w:tc>
        <w:tc>
          <w:tcPr>
            <w:tcW w:w="12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3FE3D0C4" w14:textId="77777777" w:rsidR="005E111D" w:rsidRDefault="00000000">
            <w:r>
              <w:rPr>
                <w:color w:val="495057"/>
                <w:sz w:val="19"/>
                <w:szCs w:val="19"/>
              </w:rPr>
              <w:t>Owen</w:t>
            </w:r>
          </w:p>
        </w:tc>
        <w:tc>
          <w:tcPr>
            <w:tcW w:w="12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21CCC4C6" w14:textId="77777777" w:rsidR="005E111D" w:rsidRDefault="00000000">
            <w:r>
              <w:rPr>
                <w:color w:val="495057"/>
                <w:sz w:val="19"/>
                <w:szCs w:val="19"/>
              </w:rPr>
              <w:t>Month 1</w:t>
            </w:r>
          </w:p>
        </w:tc>
        <w:tc>
          <w:tcPr>
            <w:tcW w:w="10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47A5A40A" w14:textId="77777777" w:rsidR="005E111D" w:rsidRDefault="00000000">
            <w:r>
              <w:rPr>
                <w:color w:val="2E7D32"/>
                <w:sz w:val="19"/>
                <w:szCs w:val="19"/>
              </w:rPr>
              <w:t>Low</w:t>
            </w:r>
          </w:p>
        </w:tc>
        <w:tc>
          <w:tcPr>
            <w:tcW w:w="272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3892F1BE" w14:textId="77777777" w:rsidR="005E111D" w:rsidRDefault="00000000">
            <w:r>
              <w:rPr>
                <w:color w:val="212529"/>
                <w:sz w:val="19"/>
                <w:szCs w:val="19"/>
              </w:rPr>
              <w:t>Primary discovery channel for FTSE 350 and PE buyers.</w:t>
            </w:r>
          </w:p>
        </w:tc>
      </w:tr>
      <w:tr w:rsidR="005E111D" w14:paraId="2E5CE5D0" w14:textId="77777777">
        <w:tblPrEx>
          <w:tblCellMar>
            <w:top w:w="0" w:type="dxa"/>
            <w:bottom w:w="0" w:type="dxa"/>
          </w:tblCellMar>
        </w:tblPrEx>
        <w:tc>
          <w:tcPr>
            <w:tcW w:w="440" w:type="dxa"/>
            <w:tcBorders>
              <w:top w:val="single" w:sz="4" w:space="0" w:color="E8E8E8"/>
              <w:left w:val="single" w:sz="4" w:space="0" w:color="E8E8E8"/>
              <w:bottom w:val="single" w:sz="4" w:space="0" w:color="E8E8E8"/>
              <w:right w:val="single" w:sz="4" w:space="0" w:color="E8E8E8"/>
            </w:tcBorders>
            <w:shd w:val="clear" w:color="auto" w:fill="A98C5A"/>
            <w:tcMar>
              <w:top w:w="80" w:type="dxa"/>
              <w:left w:w="80" w:type="dxa"/>
              <w:bottom w:w="80" w:type="dxa"/>
              <w:right w:w="80" w:type="dxa"/>
            </w:tcMar>
            <w:vAlign w:val="center"/>
          </w:tcPr>
          <w:p w14:paraId="5277E9A5" w14:textId="77777777" w:rsidR="005E111D" w:rsidRDefault="00000000">
            <w:pPr>
              <w:jc w:val="center"/>
            </w:pPr>
            <w:r>
              <w:rPr>
                <w:rFonts w:ascii="Georgia" w:eastAsia="Georgia" w:hAnsi="Georgia" w:cs="Georgia"/>
                <w:b/>
                <w:bCs/>
                <w:color w:val="FFFFFF"/>
              </w:rPr>
              <w:t>16</w:t>
            </w:r>
          </w:p>
        </w:tc>
        <w:tc>
          <w:tcPr>
            <w:tcW w:w="28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5D4B42AB" w14:textId="77777777" w:rsidR="005E111D" w:rsidRDefault="00000000">
            <w:r>
              <w:rPr>
                <w:b/>
                <w:bCs/>
                <w:color w:val="212529"/>
                <w:sz w:val="20"/>
                <w:szCs w:val="20"/>
              </w:rPr>
              <w:t>Establish 2x/week LinkedIn posting cadence</w:t>
            </w:r>
          </w:p>
        </w:tc>
        <w:tc>
          <w:tcPr>
            <w:tcW w:w="12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2B499142" w14:textId="77777777" w:rsidR="005E111D" w:rsidRDefault="00000000">
            <w:r>
              <w:rPr>
                <w:color w:val="495057"/>
                <w:sz w:val="19"/>
                <w:szCs w:val="19"/>
              </w:rPr>
              <w:t>Owen</w:t>
            </w:r>
          </w:p>
        </w:tc>
        <w:tc>
          <w:tcPr>
            <w:tcW w:w="12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40566379" w14:textId="77777777" w:rsidR="005E111D" w:rsidRDefault="00000000">
            <w:r>
              <w:rPr>
                <w:color w:val="495057"/>
                <w:sz w:val="19"/>
                <w:szCs w:val="19"/>
              </w:rPr>
              <w:t>Month 2</w:t>
            </w:r>
          </w:p>
        </w:tc>
        <w:tc>
          <w:tcPr>
            <w:tcW w:w="10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4D32F245" w14:textId="77777777" w:rsidR="005E111D" w:rsidRDefault="00000000">
            <w:r>
              <w:rPr>
                <w:color w:val="C8742A"/>
                <w:sz w:val="19"/>
                <w:szCs w:val="19"/>
              </w:rPr>
              <w:t>Medium</w:t>
            </w:r>
          </w:p>
        </w:tc>
        <w:tc>
          <w:tcPr>
            <w:tcW w:w="272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36852EB0" w14:textId="77777777" w:rsidR="005E111D" w:rsidRDefault="00000000">
            <w:r>
              <w:rPr>
                <w:color w:val="212529"/>
                <w:sz w:val="19"/>
                <w:szCs w:val="19"/>
              </w:rPr>
              <w:t>Thought leadership compounds. Two months of consistent posting &gt; one article.</w:t>
            </w:r>
          </w:p>
        </w:tc>
      </w:tr>
      <w:tr w:rsidR="005E111D" w14:paraId="18EC4AE8" w14:textId="77777777">
        <w:tblPrEx>
          <w:tblCellMar>
            <w:top w:w="0" w:type="dxa"/>
            <w:bottom w:w="0" w:type="dxa"/>
          </w:tblCellMar>
        </w:tblPrEx>
        <w:tc>
          <w:tcPr>
            <w:tcW w:w="440" w:type="dxa"/>
            <w:tcBorders>
              <w:top w:val="single" w:sz="4" w:space="0" w:color="E8E8E8"/>
              <w:left w:val="single" w:sz="4" w:space="0" w:color="E8E8E8"/>
              <w:bottom w:val="single" w:sz="4" w:space="0" w:color="E8E8E8"/>
              <w:right w:val="single" w:sz="4" w:space="0" w:color="E8E8E8"/>
            </w:tcBorders>
            <w:shd w:val="clear" w:color="auto" w:fill="A98C5A"/>
            <w:tcMar>
              <w:top w:w="80" w:type="dxa"/>
              <w:left w:w="80" w:type="dxa"/>
              <w:bottom w:w="80" w:type="dxa"/>
              <w:right w:w="80" w:type="dxa"/>
            </w:tcMar>
            <w:vAlign w:val="center"/>
          </w:tcPr>
          <w:p w14:paraId="3CE9282A" w14:textId="77777777" w:rsidR="005E111D" w:rsidRDefault="00000000">
            <w:pPr>
              <w:jc w:val="center"/>
            </w:pPr>
            <w:r>
              <w:rPr>
                <w:rFonts w:ascii="Georgia" w:eastAsia="Georgia" w:hAnsi="Georgia" w:cs="Georgia"/>
                <w:b/>
                <w:bCs/>
                <w:color w:val="FFFFFF"/>
              </w:rPr>
              <w:t>17</w:t>
            </w:r>
          </w:p>
        </w:tc>
        <w:tc>
          <w:tcPr>
            <w:tcW w:w="28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20" w:type="dxa"/>
              <w:bottom w:w="80" w:type="dxa"/>
              <w:right w:w="80" w:type="dxa"/>
            </w:tcMar>
          </w:tcPr>
          <w:p w14:paraId="57B6B7A9" w14:textId="77777777" w:rsidR="005E111D" w:rsidRDefault="00000000">
            <w:r>
              <w:rPr>
                <w:b/>
                <w:bCs/>
                <w:color w:val="212529"/>
                <w:sz w:val="20"/>
                <w:szCs w:val="20"/>
              </w:rPr>
              <w:t>Build Adversarial Methodology page on website</w:t>
            </w:r>
          </w:p>
        </w:tc>
        <w:tc>
          <w:tcPr>
            <w:tcW w:w="12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17B0B786" w14:textId="77777777" w:rsidR="005E111D" w:rsidRDefault="00000000">
            <w:r>
              <w:rPr>
                <w:color w:val="495057"/>
                <w:sz w:val="19"/>
                <w:szCs w:val="19"/>
              </w:rPr>
              <w:t>Technical</w:t>
            </w:r>
          </w:p>
        </w:tc>
        <w:tc>
          <w:tcPr>
            <w:tcW w:w="12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717D3D15" w14:textId="77777777" w:rsidR="005E111D" w:rsidRDefault="00000000">
            <w:r>
              <w:rPr>
                <w:color w:val="495057"/>
                <w:sz w:val="19"/>
                <w:szCs w:val="19"/>
              </w:rPr>
              <w:t>Month 3</w:t>
            </w:r>
          </w:p>
        </w:tc>
        <w:tc>
          <w:tcPr>
            <w:tcW w:w="10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6C9D51AD" w14:textId="77777777" w:rsidR="005E111D" w:rsidRDefault="00000000">
            <w:r>
              <w:rPr>
                <w:color w:val="C8742A"/>
                <w:sz w:val="19"/>
                <w:szCs w:val="19"/>
              </w:rPr>
              <w:t>Medium</w:t>
            </w:r>
          </w:p>
        </w:tc>
        <w:tc>
          <w:tcPr>
            <w:tcW w:w="272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6A534E36" w14:textId="77777777" w:rsidR="005E111D" w:rsidRDefault="00000000">
            <w:r>
              <w:rPr>
                <w:color w:val="212529"/>
                <w:sz w:val="19"/>
                <w:szCs w:val="19"/>
              </w:rPr>
              <w:t>Makes the methodology a visible differentiator, not a hidden feature.</w:t>
            </w:r>
          </w:p>
        </w:tc>
      </w:tr>
      <w:tr w:rsidR="005E111D" w14:paraId="43B03777" w14:textId="77777777">
        <w:tblPrEx>
          <w:tblCellMar>
            <w:top w:w="0" w:type="dxa"/>
            <w:bottom w:w="0" w:type="dxa"/>
          </w:tblCellMar>
        </w:tblPrEx>
        <w:tc>
          <w:tcPr>
            <w:tcW w:w="440" w:type="dxa"/>
            <w:tcBorders>
              <w:top w:val="single" w:sz="4" w:space="0" w:color="E8E8E8"/>
              <w:left w:val="single" w:sz="4" w:space="0" w:color="E8E8E8"/>
              <w:bottom w:val="single" w:sz="4" w:space="0" w:color="E8E8E8"/>
              <w:right w:val="single" w:sz="4" w:space="0" w:color="E8E8E8"/>
            </w:tcBorders>
            <w:shd w:val="clear" w:color="auto" w:fill="A98C5A"/>
            <w:tcMar>
              <w:top w:w="80" w:type="dxa"/>
              <w:left w:w="80" w:type="dxa"/>
              <w:bottom w:w="80" w:type="dxa"/>
              <w:right w:w="80" w:type="dxa"/>
            </w:tcMar>
            <w:vAlign w:val="center"/>
          </w:tcPr>
          <w:p w14:paraId="3C025F3A" w14:textId="77777777" w:rsidR="005E111D" w:rsidRDefault="00000000">
            <w:pPr>
              <w:jc w:val="center"/>
            </w:pPr>
            <w:r>
              <w:rPr>
                <w:rFonts w:ascii="Georgia" w:eastAsia="Georgia" w:hAnsi="Georgia" w:cs="Georgia"/>
                <w:b/>
                <w:bCs/>
                <w:color w:val="FFFFFF"/>
              </w:rPr>
              <w:t>18</w:t>
            </w:r>
          </w:p>
        </w:tc>
        <w:tc>
          <w:tcPr>
            <w:tcW w:w="28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420C0FB5" w14:textId="77777777" w:rsidR="005E111D" w:rsidRDefault="00000000">
            <w:r>
              <w:rPr>
                <w:b/>
                <w:bCs/>
                <w:color w:val="212529"/>
                <w:sz w:val="20"/>
                <w:szCs w:val="20"/>
              </w:rPr>
              <w:t>Extend brand guidelines: icons, image style, secondary palette rules</w:t>
            </w:r>
          </w:p>
        </w:tc>
        <w:tc>
          <w:tcPr>
            <w:tcW w:w="12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63C37236" w14:textId="77777777" w:rsidR="005E111D" w:rsidRDefault="00000000">
            <w:r>
              <w:rPr>
                <w:color w:val="495057"/>
                <w:sz w:val="19"/>
                <w:szCs w:val="19"/>
              </w:rPr>
              <w:t>Design</w:t>
            </w:r>
          </w:p>
        </w:tc>
        <w:tc>
          <w:tcPr>
            <w:tcW w:w="12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5C016B31" w14:textId="77777777" w:rsidR="005E111D" w:rsidRDefault="00000000">
            <w:r>
              <w:rPr>
                <w:color w:val="495057"/>
                <w:sz w:val="19"/>
                <w:szCs w:val="19"/>
              </w:rPr>
              <w:t>Month 3</w:t>
            </w:r>
          </w:p>
        </w:tc>
        <w:tc>
          <w:tcPr>
            <w:tcW w:w="10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3D7A0E05" w14:textId="77777777" w:rsidR="005E111D" w:rsidRDefault="00000000">
            <w:r>
              <w:rPr>
                <w:color w:val="C8742A"/>
                <w:sz w:val="19"/>
                <w:szCs w:val="19"/>
              </w:rPr>
              <w:t>Medium</w:t>
            </w:r>
          </w:p>
        </w:tc>
        <w:tc>
          <w:tcPr>
            <w:tcW w:w="272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0E7899C8" w14:textId="77777777" w:rsidR="005E111D" w:rsidRDefault="00000000">
            <w:r>
              <w:rPr>
                <w:color w:val="212529"/>
                <w:sz w:val="19"/>
                <w:szCs w:val="19"/>
              </w:rPr>
              <w:t>Prevents inconsistency as content production scales.</w:t>
            </w:r>
          </w:p>
        </w:tc>
      </w:tr>
    </w:tbl>
    <w:p w14:paraId="5A4CB7B5" w14:textId="77777777" w:rsidR="005E111D" w:rsidRDefault="005E111D">
      <w:pPr>
        <w:spacing w:before="120"/>
      </w:pPr>
    </w:p>
    <w:p w14:paraId="4C306EAC" w14:textId="77777777" w:rsidR="005E111D" w:rsidRDefault="00000000">
      <w:pPr>
        <w:pStyle w:val="Heading2"/>
      </w:pPr>
      <w:r>
        <w:t>Phase 3: Build the Authority Brand (Months 4–12)</w:t>
      </w:r>
    </w:p>
    <w:p w14:paraId="7912A71B" w14:textId="77777777" w:rsidR="005E111D" w:rsidRDefault="005E111D">
      <w:pPr>
        <w:spacing w:before="80"/>
      </w:pPr>
    </w:p>
    <w:p w14:paraId="5BA1A2DB" w14:textId="77777777" w:rsidR="005E111D" w:rsidRDefault="00000000">
      <w:pPr>
        <w:spacing w:before="80" w:after="80"/>
      </w:pPr>
      <w:r>
        <w:rPr>
          <w:color w:val="495057"/>
        </w:rPr>
        <w:lastRenderedPageBreak/>
        <w:t>These actions create competitive moats that accumulate over time. They require Phases 0–2 to be complete before they will work at their full potential.</w:t>
      </w:r>
    </w:p>
    <w:p w14:paraId="62F182B3" w14:textId="77777777" w:rsidR="005E111D" w:rsidRDefault="005E111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
        <w:gridCol w:w="2795"/>
        <w:gridCol w:w="1199"/>
        <w:gridCol w:w="1199"/>
        <w:gridCol w:w="999"/>
        <w:gridCol w:w="2715"/>
      </w:tblGrid>
      <w:tr w:rsidR="005E111D" w14:paraId="7AB6478A" w14:textId="77777777">
        <w:tblPrEx>
          <w:tblCellMar>
            <w:top w:w="0" w:type="dxa"/>
            <w:bottom w:w="0" w:type="dxa"/>
          </w:tblCellMar>
        </w:tblPrEx>
        <w:tc>
          <w:tcPr>
            <w:tcW w:w="440" w:type="dxa"/>
            <w:tcBorders>
              <w:top w:val="single" w:sz="4" w:space="0" w:color="A98C5A"/>
              <w:left w:val="single" w:sz="4" w:space="0" w:color="A98C5A"/>
              <w:bottom w:val="single" w:sz="4" w:space="0" w:color="A98C5A"/>
              <w:right w:val="single" w:sz="4" w:space="0" w:color="A98C5A"/>
            </w:tcBorders>
            <w:shd w:val="clear" w:color="auto" w:fill="212529"/>
            <w:tcMar>
              <w:top w:w="80" w:type="dxa"/>
              <w:left w:w="100" w:type="dxa"/>
              <w:bottom w:w="80" w:type="dxa"/>
              <w:right w:w="80" w:type="dxa"/>
            </w:tcMar>
          </w:tcPr>
          <w:p w14:paraId="662FF061" w14:textId="77777777" w:rsidR="005E111D" w:rsidRDefault="00000000">
            <w:r>
              <w:rPr>
                <w:b/>
                <w:bCs/>
                <w:caps/>
                <w:color w:val="FFFFFF"/>
                <w:sz w:val="19"/>
                <w:szCs w:val="19"/>
              </w:rPr>
              <w:t>#</w:t>
            </w:r>
          </w:p>
        </w:tc>
        <w:tc>
          <w:tcPr>
            <w:tcW w:w="2800" w:type="dxa"/>
            <w:tcBorders>
              <w:top w:val="single" w:sz="4" w:space="0" w:color="A98C5A"/>
              <w:left w:val="single" w:sz="4" w:space="0" w:color="A98C5A"/>
              <w:bottom w:val="single" w:sz="4" w:space="0" w:color="A98C5A"/>
              <w:right w:val="single" w:sz="4" w:space="0" w:color="A98C5A"/>
            </w:tcBorders>
            <w:shd w:val="clear" w:color="auto" w:fill="212529"/>
            <w:tcMar>
              <w:top w:w="80" w:type="dxa"/>
              <w:left w:w="100" w:type="dxa"/>
              <w:bottom w:w="80" w:type="dxa"/>
              <w:right w:w="80" w:type="dxa"/>
            </w:tcMar>
          </w:tcPr>
          <w:p w14:paraId="5825B3E5" w14:textId="77777777" w:rsidR="005E111D" w:rsidRDefault="00000000">
            <w:r>
              <w:rPr>
                <w:b/>
                <w:bCs/>
                <w:caps/>
                <w:color w:val="FFFFFF"/>
                <w:sz w:val="19"/>
                <w:szCs w:val="19"/>
              </w:rPr>
              <w:t>Action</w:t>
            </w:r>
          </w:p>
        </w:tc>
        <w:tc>
          <w:tcPr>
            <w:tcW w:w="1200" w:type="dxa"/>
            <w:tcBorders>
              <w:top w:val="single" w:sz="4" w:space="0" w:color="A98C5A"/>
              <w:left w:val="single" w:sz="4" w:space="0" w:color="A98C5A"/>
              <w:bottom w:val="single" w:sz="4" w:space="0" w:color="A98C5A"/>
              <w:right w:val="single" w:sz="4" w:space="0" w:color="A98C5A"/>
            </w:tcBorders>
            <w:shd w:val="clear" w:color="auto" w:fill="212529"/>
            <w:tcMar>
              <w:top w:w="80" w:type="dxa"/>
              <w:left w:w="100" w:type="dxa"/>
              <w:bottom w:w="80" w:type="dxa"/>
              <w:right w:w="80" w:type="dxa"/>
            </w:tcMar>
          </w:tcPr>
          <w:p w14:paraId="39733F4B" w14:textId="77777777" w:rsidR="005E111D" w:rsidRDefault="00000000">
            <w:r>
              <w:rPr>
                <w:b/>
                <w:bCs/>
                <w:caps/>
                <w:color w:val="FFFFFF"/>
                <w:sz w:val="19"/>
                <w:szCs w:val="19"/>
              </w:rPr>
              <w:t>Owner</w:t>
            </w:r>
          </w:p>
        </w:tc>
        <w:tc>
          <w:tcPr>
            <w:tcW w:w="1200" w:type="dxa"/>
            <w:tcBorders>
              <w:top w:val="single" w:sz="4" w:space="0" w:color="A98C5A"/>
              <w:left w:val="single" w:sz="4" w:space="0" w:color="A98C5A"/>
              <w:bottom w:val="single" w:sz="4" w:space="0" w:color="A98C5A"/>
              <w:right w:val="single" w:sz="4" w:space="0" w:color="A98C5A"/>
            </w:tcBorders>
            <w:shd w:val="clear" w:color="auto" w:fill="212529"/>
            <w:tcMar>
              <w:top w:w="80" w:type="dxa"/>
              <w:left w:w="100" w:type="dxa"/>
              <w:bottom w:w="80" w:type="dxa"/>
              <w:right w:w="80" w:type="dxa"/>
            </w:tcMar>
          </w:tcPr>
          <w:p w14:paraId="154FF7B1" w14:textId="77777777" w:rsidR="005E111D" w:rsidRDefault="00000000">
            <w:r>
              <w:rPr>
                <w:b/>
                <w:bCs/>
                <w:caps/>
                <w:color w:val="FFFFFF"/>
                <w:sz w:val="19"/>
                <w:szCs w:val="19"/>
              </w:rPr>
              <w:t>Timeline</w:t>
            </w:r>
          </w:p>
        </w:tc>
        <w:tc>
          <w:tcPr>
            <w:tcW w:w="1000" w:type="dxa"/>
            <w:tcBorders>
              <w:top w:val="single" w:sz="4" w:space="0" w:color="A98C5A"/>
              <w:left w:val="single" w:sz="4" w:space="0" w:color="A98C5A"/>
              <w:bottom w:val="single" w:sz="4" w:space="0" w:color="A98C5A"/>
              <w:right w:val="single" w:sz="4" w:space="0" w:color="A98C5A"/>
            </w:tcBorders>
            <w:shd w:val="clear" w:color="auto" w:fill="212529"/>
            <w:tcMar>
              <w:top w:w="80" w:type="dxa"/>
              <w:left w:w="100" w:type="dxa"/>
              <w:bottom w:w="80" w:type="dxa"/>
              <w:right w:w="80" w:type="dxa"/>
            </w:tcMar>
          </w:tcPr>
          <w:p w14:paraId="37DDF3CE" w14:textId="77777777" w:rsidR="005E111D" w:rsidRDefault="00000000">
            <w:r>
              <w:rPr>
                <w:b/>
                <w:bCs/>
                <w:caps/>
                <w:color w:val="FFFFFF"/>
                <w:sz w:val="19"/>
                <w:szCs w:val="19"/>
              </w:rPr>
              <w:t>Effort</w:t>
            </w:r>
          </w:p>
        </w:tc>
        <w:tc>
          <w:tcPr>
            <w:tcW w:w="2720" w:type="dxa"/>
            <w:tcBorders>
              <w:top w:val="single" w:sz="4" w:space="0" w:color="A98C5A"/>
              <w:left w:val="single" w:sz="4" w:space="0" w:color="A98C5A"/>
              <w:bottom w:val="single" w:sz="4" w:space="0" w:color="A98C5A"/>
              <w:right w:val="single" w:sz="4" w:space="0" w:color="A98C5A"/>
            </w:tcBorders>
            <w:shd w:val="clear" w:color="auto" w:fill="212529"/>
            <w:tcMar>
              <w:top w:w="80" w:type="dxa"/>
              <w:left w:w="100" w:type="dxa"/>
              <w:bottom w:w="80" w:type="dxa"/>
              <w:right w:w="80" w:type="dxa"/>
            </w:tcMar>
          </w:tcPr>
          <w:p w14:paraId="58DEE9A5" w14:textId="77777777" w:rsidR="005E111D" w:rsidRDefault="00000000">
            <w:r>
              <w:rPr>
                <w:b/>
                <w:bCs/>
                <w:caps/>
                <w:color w:val="FFFFFF"/>
                <w:sz w:val="19"/>
                <w:szCs w:val="19"/>
              </w:rPr>
              <w:t>Impact</w:t>
            </w:r>
          </w:p>
        </w:tc>
      </w:tr>
      <w:tr w:rsidR="005E111D" w14:paraId="1DDEE293" w14:textId="77777777">
        <w:tblPrEx>
          <w:tblCellMar>
            <w:top w:w="0" w:type="dxa"/>
            <w:bottom w:w="0" w:type="dxa"/>
          </w:tblCellMar>
        </w:tblPrEx>
        <w:tc>
          <w:tcPr>
            <w:tcW w:w="440" w:type="dxa"/>
            <w:tcBorders>
              <w:top w:val="single" w:sz="4" w:space="0" w:color="E8E8E8"/>
              <w:left w:val="single" w:sz="4" w:space="0" w:color="E8E8E8"/>
              <w:bottom w:val="single" w:sz="4" w:space="0" w:color="E8E8E8"/>
              <w:right w:val="single" w:sz="4" w:space="0" w:color="E8E8E8"/>
            </w:tcBorders>
            <w:shd w:val="clear" w:color="auto" w:fill="A98C5A"/>
            <w:tcMar>
              <w:top w:w="80" w:type="dxa"/>
              <w:left w:w="80" w:type="dxa"/>
              <w:bottom w:w="80" w:type="dxa"/>
              <w:right w:w="80" w:type="dxa"/>
            </w:tcMar>
            <w:vAlign w:val="center"/>
          </w:tcPr>
          <w:p w14:paraId="3DE368DA" w14:textId="77777777" w:rsidR="005E111D" w:rsidRDefault="00000000">
            <w:pPr>
              <w:jc w:val="center"/>
            </w:pPr>
            <w:r>
              <w:rPr>
                <w:rFonts w:ascii="Georgia" w:eastAsia="Georgia" w:hAnsi="Georgia" w:cs="Georgia"/>
                <w:b/>
                <w:bCs/>
                <w:color w:val="FFFFFF"/>
              </w:rPr>
              <w:t>19</w:t>
            </w:r>
          </w:p>
        </w:tc>
        <w:tc>
          <w:tcPr>
            <w:tcW w:w="28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20" w:type="dxa"/>
              <w:bottom w:w="80" w:type="dxa"/>
              <w:right w:w="80" w:type="dxa"/>
            </w:tcMar>
          </w:tcPr>
          <w:p w14:paraId="583A4671" w14:textId="77777777" w:rsidR="005E111D" w:rsidRDefault="00000000">
            <w:r>
              <w:rPr>
                <w:b/>
                <w:bCs/>
                <w:color w:val="212529"/>
                <w:sz w:val="20"/>
                <w:szCs w:val="20"/>
              </w:rPr>
              <w:t xml:space="preserve">Full </w:t>
            </w:r>
            <w:proofErr w:type="gramStart"/>
            <w:r>
              <w:rPr>
                <w:b/>
                <w:bCs/>
                <w:color w:val="212529"/>
                <w:sz w:val="20"/>
                <w:szCs w:val="20"/>
              </w:rPr>
              <w:t>website</w:t>
            </w:r>
            <w:proofErr w:type="gramEnd"/>
            <w:r>
              <w:rPr>
                <w:b/>
                <w:bCs/>
                <w:color w:val="212529"/>
                <w:sz w:val="20"/>
                <w:szCs w:val="20"/>
              </w:rPr>
              <w:t xml:space="preserve"> rebuild to 16-page revised architecture</w:t>
            </w:r>
          </w:p>
        </w:tc>
        <w:tc>
          <w:tcPr>
            <w:tcW w:w="12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4EAD2F52" w14:textId="77777777" w:rsidR="005E111D" w:rsidRDefault="00000000">
            <w:r>
              <w:rPr>
                <w:color w:val="495057"/>
                <w:sz w:val="19"/>
                <w:szCs w:val="19"/>
              </w:rPr>
              <w:t>Technical</w:t>
            </w:r>
          </w:p>
        </w:tc>
        <w:tc>
          <w:tcPr>
            <w:tcW w:w="12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64FD478F" w14:textId="77777777" w:rsidR="005E111D" w:rsidRDefault="00000000">
            <w:r>
              <w:rPr>
                <w:color w:val="495057"/>
                <w:sz w:val="19"/>
                <w:szCs w:val="19"/>
              </w:rPr>
              <w:t>Month 4–6</w:t>
            </w:r>
          </w:p>
        </w:tc>
        <w:tc>
          <w:tcPr>
            <w:tcW w:w="10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63AF32EE" w14:textId="77777777" w:rsidR="005E111D" w:rsidRDefault="00000000">
            <w:r>
              <w:rPr>
                <w:color w:val="C62828"/>
                <w:sz w:val="19"/>
                <w:szCs w:val="19"/>
              </w:rPr>
              <w:t>High</w:t>
            </w:r>
          </w:p>
        </w:tc>
        <w:tc>
          <w:tcPr>
            <w:tcW w:w="272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5341C993" w14:textId="77777777" w:rsidR="005E111D" w:rsidRDefault="00000000">
            <w:r>
              <w:rPr>
                <w:color w:val="212529"/>
                <w:sz w:val="19"/>
                <w:szCs w:val="19"/>
              </w:rPr>
              <w:t>A complete rebuild is appropriate only after positioning is confirmed and stable — which it now is.</w:t>
            </w:r>
          </w:p>
        </w:tc>
      </w:tr>
      <w:tr w:rsidR="005E111D" w14:paraId="45461942" w14:textId="77777777">
        <w:tblPrEx>
          <w:tblCellMar>
            <w:top w:w="0" w:type="dxa"/>
            <w:bottom w:w="0" w:type="dxa"/>
          </w:tblCellMar>
        </w:tblPrEx>
        <w:tc>
          <w:tcPr>
            <w:tcW w:w="440" w:type="dxa"/>
            <w:tcBorders>
              <w:top w:val="single" w:sz="4" w:space="0" w:color="E8E8E8"/>
              <w:left w:val="single" w:sz="4" w:space="0" w:color="E8E8E8"/>
              <w:bottom w:val="single" w:sz="4" w:space="0" w:color="E8E8E8"/>
              <w:right w:val="single" w:sz="4" w:space="0" w:color="E8E8E8"/>
            </w:tcBorders>
            <w:shd w:val="clear" w:color="auto" w:fill="A98C5A"/>
            <w:tcMar>
              <w:top w:w="80" w:type="dxa"/>
              <w:left w:w="80" w:type="dxa"/>
              <w:bottom w:w="80" w:type="dxa"/>
              <w:right w:w="80" w:type="dxa"/>
            </w:tcMar>
            <w:vAlign w:val="center"/>
          </w:tcPr>
          <w:p w14:paraId="0AA6D089" w14:textId="77777777" w:rsidR="005E111D" w:rsidRDefault="00000000">
            <w:pPr>
              <w:jc w:val="center"/>
            </w:pPr>
            <w:r>
              <w:rPr>
                <w:rFonts w:ascii="Georgia" w:eastAsia="Georgia" w:hAnsi="Georgia" w:cs="Georgia"/>
                <w:b/>
                <w:bCs/>
                <w:color w:val="FFFFFF"/>
              </w:rPr>
              <w:t>20</w:t>
            </w:r>
          </w:p>
        </w:tc>
        <w:tc>
          <w:tcPr>
            <w:tcW w:w="28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3C9AD4E9" w14:textId="77777777" w:rsidR="005E111D" w:rsidRDefault="00000000">
            <w:r>
              <w:rPr>
                <w:b/>
                <w:bCs/>
                <w:color w:val="212529"/>
                <w:sz w:val="20"/>
                <w:szCs w:val="20"/>
              </w:rPr>
              <w:t>Develop founder voice guide</w:t>
            </w:r>
          </w:p>
        </w:tc>
        <w:tc>
          <w:tcPr>
            <w:tcW w:w="12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1AE6D0E1" w14:textId="77777777" w:rsidR="005E111D" w:rsidRDefault="00000000">
            <w:r>
              <w:rPr>
                <w:color w:val="495057"/>
                <w:sz w:val="19"/>
                <w:szCs w:val="19"/>
              </w:rPr>
              <w:t>Owen</w:t>
            </w:r>
          </w:p>
        </w:tc>
        <w:tc>
          <w:tcPr>
            <w:tcW w:w="12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23E8003C" w14:textId="77777777" w:rsidR="005E111D" w:rsidRDefault="00000000">
            <w:r>
              <w:rPr>
                <w:color w:val="495057"/>
                <w:sz w:val="19"/>
                <w:szCs w:val="19"/>
              </w:rPr>
              <w:t>Month 4</w:t>
            </w:r>
          </w:p>
        </w:tc>
        <w:tc>
          <w:tcPr>
            <w:tcW w:w="10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165DD5FE" w14:textId="77777777" w:rsidR="005E111D" w:rsidRDefault="00000000">
            <w:r>
              <w:rPr>
                <w:color w:val="C8742A"/>
                <w:sz w:val="19"/>
                <w:szCs w:val="19"/>
              </w:rPr>
              <w:t>Medium</w:t>
            </w:r>
          </w:p>
        </w:tc>
        <w:tc>
          <w:tcPr>
            <w:tcW w:w="272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28E71CBC" w14:textId="77777777" w:rsidR="005E111D" w:rsidRDefault="00000000">
            <w:r>
              <w:rPr>
                <w:color w:val="212529"/>
                <w:sz w:val="19"/>
                <w:szCs w:val="19"/>
              </w:rPr>
              <w:t>Critical before AI-assisted content creation scales.</w:t>
            </w:r>
          </w:p>
        </w:tc>
      </w:tr>
      <w:tr w:rsidR="005E111D" w14:paraId="065C948D" w14:textId="77777777">
        <w:tblPrEx>
          <w:tblCellMar>
            <w:top w:w="0" w:type="dxa"/>
            <w:bottom w:w="0" w:type="dxa"/>
          </w:tblCellMar>
        </w:tblPrEx>
        <w:tc>
          <w:tcPr>
            <w:tcW w:w="440" w:type="dxa"/>
            <w:tcBorders>
              <w:top w:val="single" w:sz="4" w:space="0" w:color="E8E8E8"/>
              <w:left w:val="single" w:sz="4" w:space="0" w:color="E8E8E8"/>
              <w:bottom w:val="single" w:sz="4" w:space="0" w:color="E8E8E8"/>
              <w:right w:val="single" w:sz="4" w:space="0" w:color="E8E8E8"/>
            </w:tcBorders>
            <w:shd w:val="clear" w:color="auto" w:fill="A98C5A"/>
            <w:tcMar>
              <w:top w:w="80" w:type="dxa"/>
              <w:left w:w="80" w:type="dxa"/>
              <w:bottom w:w="80" w:type="dxa"/>
              <w:right w:w="80" w:type="dxa"/>
            </w:tcMar>
            <w:vAlign w:val="center"/>
          </w:tcPr>
          <w:p w14:paraId="2D43E553" w14:textId="77777777" w:rsidR="005E111D" w:rsidRDefault="00000000">
            <w:pPr>
              <w:jc w:val="center"/>
            </w:pPr>
            <w:r>
              <w:rPr>
                <w:rFonts w:ascii="Georgia" w:eastAsia="Georgia" w:hAnsi="Georgia" w:cs="Georgia"/>
                <w:b/>
                <w:bCs/>
                <w:color w:val="FFFFFF"/>
              </w:rPr>
              <w:t>21</w:t>
            </w:r>
          </w:p>
        </w:tc>
        <w:tc>
          <w:tcPr>
            <w:tcW w:w="28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20" w:type="dxa"/>
              <w:bottom w:w="80" w:type="dxa"/>
              <w:right w:w="80" w:type="dxa"/>
            </w:tcMar>
          </w:tcPr>
          <w:p w14:paraId="20C16DA8" w14:textId="77777777" w:rsidR="005E111D" w:rsidRDefault="00000000">
            <w:r>
              <w:rPr>
                <w:b/>
                <w:bCs/>
                <w:color w:val="212529"/>
                <w:sz w:val="20"/>
                <w:szCs w:val="20"/>
              </w:rPr>
              <w:t>3–6 media placements per year</w:t>
            </w:r>
          </w:p>
        </w:tc>
        <w:tc>
          <w:tcPr>
            <w:tcW w:w="12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37988AF7" w14:textId="77777777" w:rsidR="005E111D" w:rsidRDefault="00000000">
            <w:r>
              <w:rPr>
                <w:color w:val="495057"/>
                <w:sz w:val="19"/>
                <w:szCs w:val="19"/>
              </w:rPr>
              <w:t>Owen</w:t>
            </w:r>
          </w:p>
        </w:tc>
        <w:tc>
          <w:tcPr>
            <w:tcW w:w="12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721803C3" w14:textId="77777777" w:rsidR="005E111D" w:rsidRDefault="00000000">
            <w:r>
              <w:rPr>
                <w:color w:val="495057"/>
                <w:sz w:val="19"/>
                <w:szCs w:val="19"/>
              </w:rPr>
              <w:t>Month 5+</w:t>
            </w:r>
          </w:p>
        </w:tc>
        <w:tc>
          <w:tcPr>
            <w:tcW w:w="10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1E554E79" w14:textId="77777777" w:rsidR="005E111D" w:rsidRDefault="00000000">
            <w:r>
              <w:rPr>
                <w:color w:val="C62828"/>
                <w:sz w:val="19"/>
                <w:szCs w:val="19"/>
              </w:rPr>
              <w:t>High</w:t>
            </w:r>
          </w:p>
        </w:tc>
        <w:tc>
          <w:tcPr>
            <w:tcW w:w="272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49B02A89" w14:textId="77777777" w:rsidR="005E111D" w:rsidRDefault="00000000">
            <w:r>
              <w:rPr>
                <w:color w:val="212529"/>
                <w:sz w:val="19"/>
                <w:szCs w:val="19"/>
              </w:rPr>
              <w:t>Credibility multiplier for a firm with a strong published content base.</w:t>
            </w:r>
          </w:p>
        </w:tc>
      </w:tr>
      <w:tr w:rsidR="005E111D" w14:paraId="50B7F7A9" w14:textId="77777777">
        <w:tblPrEx>
          <w:tblCellMar>
            <w:top w:w="0" w:type="dxa"/>
            <w:bottom w:w="0" w:type="dxa"/>
          </w:tblCellMar>
        </w:tblPrEx>
        <w:tc>
          <w:tcPr>
            <w:tcW w:w="440" w:type="dxa"/>
            <w:tcBorders>
              <w:top w:val="single" w:sz="4" w:space="0" w:color="E8E8E8"/>
              <w:left w:val="single" w:sz="4" w:space="0" w:color="E8E8E8"/>
              <w:bottom w:val="single" w:sz="4" w:space="0" w:color="E8E8E8"/>
              <w:right w:val="single" w:sz="4" w:space="0" w:color="E8E8E8"/>
            </w:tcBorders>
            <w:shd w:val="clear" w:color="auto" w:fill="A98C5A"/>
            <w:tcMar>
              <w:top w:w="80" w:type="dxa"/>
              <w:left w:w="80" w:type="dxa"/>
              <w:bottom w:w="80" w:type="dxa"/>
              <w:right w:w="80" w:type="dxa"/>
            </w:tcMar>
            <w:vAlign w:val="center"/>
          </w:tcPr>
          <w:p w14:paraId="28BBA357" w14:textId="77777777" w:rsidR="005E111D" w:rsidRDefault="00000000">
            <w:pPr>
              <w:jc w:val="center"/>
            </w:pPr>
            <w:r>
              <w:rPr>
                <w:rFonts w:ascii="Georgia" w:eastAsia="Georgia" w:hAnsi="Georgia" w:cs="Georgia"/>
                <w:b/>
                <w:bCs/>
                <w:color w:val="FFFFFF"/>
              </w:rPr>
              <w:t>22</w:t>
            </w:r>
          </w:p>
        </w:tc>
        <w:tc>
          <w:tcPr>
            <w:tcW w:w="28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41760A56" w14:textId="77777777" w:rsidR="005E111D" w:rsidRDefault="00000000">
            <w:r>
              <w:rPr>
                <w:b/>
                <w:bCs/>
                <w:color w:val="212529"/>
                <w:sz w:val="20"/>
                <w:szCs w:val="20"/>
              </w:rPr>
              <w:t>2–4 speaking engagements per year</w:t>
            </w:r>
          </w:p>
        </w:tc>
        <w:tc>
          <w:tcPr>
            <w:tcW w:w="12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687754E4" w14:textId="77777777" w:rsidR="005E111D" w:rsidRDefault="00000000">
            <w:r>
              <w:rPr>
                <w:color w:val="495057"/>
                <w:sz w:val="19"/>
                <w:szCs w:val="19"/>
              </w:rPr>
              <w:t>Owen</w:t>
            </w:r>
          </w:p>
        </w:tc>
        <w:tc>
          <w:tcPr>
            <w:tcW w:w="12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45008BE4" w14:textId="77777777" w:rsidR="005E111D" w:rsidRDefault="00000000">
            <w:r>
              <w:rPr>
                <w:color w:val="495057"/>
                <w:sz w:val="19"/>
                <w:szCs w:val="19"/>
              </w:rPr>
              <w:t>Month 5+</w:t>
            </w:r>
          </w:p>
        </w:tc>
        <w:tc>
          <w:tcPr>
            <w:tcW w:w="10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4103743B" w14:textId="77777777" w:rsidR="005E111D" w:rsidRDefault="00000000">
            <w:r>
              <w:rPr>
                <w:color w:val="C62828"/>
                <w:sz w:val="19"/>
                <w:szCs w:val="19"/>
              </w:rPr>
              <w:t>High</w:t>
            </w:r>
          </w:p>
        </w:tc>
        <w:tc>
          <w:tcPr>
            <w:tcW w:w="272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3C8EE36F" w14:textId="77777777" w:rsidR="005E111D" w:rsidRDefault="00000000">
            <w:r>
              <w:rPr>
                <w:color w:val="212529"/>
                <w:sz w:val="19"/>
                <w:szCs w:val="19"/>
              </w:rPr>
              <w:t>Authority signals that persist. ICSA, BVCA, governance forums.</w:t>
            </w:r>
          </w:p>
        </w:tc>
      </w:tr>
      <w:tr w:rsidR="005E111D" w14:paraId="23BDA8BE" w14:textId="77777777">
        <w:tblPrEx>
          <w:tblCellMar>
            <w:top w:w="0" w:type="dxa"/>
            <w:bottom w:w="0" w:type="dxa"/>
          </w:tblCellMar>
        </w:tblPrEx>
        <w:tc>
          <w:tcPr>
            <w:tcW w:w="440" w:type="dxa"/>
            <w:tcBorders>
              <w:top w:val="single" w:sz="4" w:space="0" w:color="E8E8E8"/>
              <w:left w:val="single" w:sz="4" w:space="0" w:color="E8E8E8"/>
              <w:bottom w:val="single" w:sz="4" w:space="0" w:color="E8E8E8"/>
              <w:right w:val="single" w:sz="4" w:space="0" w:color="E8E8E8"/>
            </w:tcBorders>
            <w:shd w:val="clear" w:color="auto" w:fill="A98C5A"/>
            <w:tcMar>
              <w:top w:w="80" w:type="dxa"/>
              <w:left w:w="80" w:type="dxa"/>
              <w:bottom w:w="80" w:type="dxa"/>
              <w:right w:w="80" w:type="dxa"/>
            </w:tcMar>
            <w:vAlign w:val="center"/>
          </w:tcPr>
          <w:p w14:paraId="3CA4DC2C" w14:textId="77777777" w:rsidR="005E111D" w:rsidRDefault="00000000">
            <w:pPr>
              <w:jc w:val="center"/>
            </w:pPr>
            <w:r>
              <w:rPr>
                <w:rFonts w:ascii="Georgia" w:eastAsia="Georgia" w:hAnsi="Georgia" w:cs="Georgia"/>
                <w:b/>
                <w:bCs/>
                <w:color w:val="FFFFFF"/>
              </w:rPr>
              <w:t>23</w:t>
            </w:r>
          </w:p>
        </w:tc>
        <w:tc>
          <w:tcPr>
            <w:tcW w:w="28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20" w:type="dxa"/>
              <w:bottom w:w="80" w:type="dxa"/>
              <w:right w:w="80" w:type="dxa"/>
            </w:tcMar>
          </w:tcPr>
          <w:p w14:paraId="1B9F4C4B" w14:textId="77777777" w:rsidR="005E111D" w:rsidRDefault="00000000">
            <w:r>
              <w:rPr>
                <w:b/>
                <w:bCs/>
                <w:color w:val="212529"/>
                <w:sz w:val="20"/>
                <w:szCs w:val="20"/>
              </w:rPr>
              <w:t>Build Board Risk Readiness Assessment tool</w:t>
            </w:r>
          </w:p>
        </w:tc>
        <w:tc>
          <w:tcPr>
            <w:tcW w:w="12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493E9796" w14:textId="77777777" w:rsidR="005E111D" w:rsidRDefault="00000000">
            <w:r>
              <w:rPr>
                <w:color w:val="495057"/>
                <w:sz w:val="19"/>
                <w:szCs w:val="19"/>
              </w:rPr>
              <w:t>Technical</w:t>
            </w:r>
          </w:p>
        </w:tc>
        <w:tc>
          <w:tcPr>
            <w:tcW w:w="12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014A3421" w14:textId="77777777" w:rsidR="005E111D" w:rsidRDefault="00000000">
            <w:r>
              <w:rPr>
                <w:color w:val="495057"/>
                <w:sz w:val="19"/>
                <w:szCs w:val="19"/>
              </w:rPr>
              <w:t>Month 6+</w:t>
            </w:r>
          </w:p>
        </w:tc>
        <w:tc>
          <w:tcPr>
            <w:tcW w:w="10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16BE9947" w14:textId="77777777" w:rsidR="005E111D" w:rsidRDefault="00000000">
            <w:r>
              <w:rPr>
                <w:color w:val="C62828"/>
                <w:sz w:val="19"/>
                <w:szCs w:val="19"/>
              </w:rPr>
              <w:t>High</w:t>
            </w:r>
          </w:p>
        </w:tc>
        <w:tc>
          <w:tcPr>
            <w:tcW w:w="272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290AF09E" w14:textId="77777777" w:rsidR="005E111D" w:rsidRDefault="00000000">
            <w:r>
              <w:rPr>
                <w:color w:val="212529"/>
                <w:sz w:val="19"/>
                <w:szCs w:val="19"/>
              </w:rPr>
              <w:t>Inbound lead engine — but only once the methodology it reflects is documented.</w:t>
            </w:r>
          </w:p>
        </w:tc>
      </w:tr>
      <w:tr w:rsidR="005E111D" w14:paraId="37E2681B" w14:textId="77777777">
        <w:tblPrEx>
          <w:tblCellMar>
            <w:top w:w="0" w:type="dxa"/>
            <w:bottom w:w="0" w:type="dxa"/>
          </w:tblCellMar>
        </w:tblPrEx>
        <w:tc>
          <w:tcPr>
            <w:tcW w:w="440" w:type="dxa"/>
            <w:tcBorders>
              <w:top w:val="single" w:sz="4" w:space="0" w:color="E8E8E8"/>
              <w:left w:val="single" w:sz="4" w:space="0" w:color="E8E8E8"/>
              <w:bottom w:val="single" w:sz="4" w:space="0" w:color="E8E8E8"/>
              <w:right w:val="single" w:sz="4" w:space="0" w:color="E8E8E8"/>
            </w:tcBorders>
            <w:shd w:val="clear" w:color="auto" w:fill="A98C5A"/>
            <w:tcMar>
              <w:top w:w="80" w:type="dxa"/>
              <w:left w:w="80" w:type="dxa"/>
              <w:bottom w:w="80" w:type="dxa"/>
              <w:right w:w="80" w:type="dxa"/>
            </w:tcMar>
            <w:vAlign w:val="center"/>
          </w:tcPr>
          <w:p w14:paraId="3DFF39DB" w14:textId="77777777" w:rsidR="005E111D" w:rsidRDefault="00000000">
            <w:pPr>
              <w:jc w:val="center"/>
            </w:pPr>
            <w:r>
              <w:rPr>
                <w:rFonts w:ascii="Georgia" w:eastAsia="Georgia" w:hAnsi="Georgia" w:cs="Georgia"/>
                <w:b/>
                <w:bCs/>
                <w:color w:val="FFFFFF"/>
              </w:rPr>
              <w:t>24</w:t>
            </w:r>
          </w:p>
        </w:tc>
        <w:tc>
          <w:tcPr>
            <w:tcW w:w="28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20" w:type="dxa"/>
              <w:bottom w:w="80" w:type="dxa"/>
              <w:right w:w="80" w:type="dxa"/>
            </w:tcMar>
          </w:tcPr>
          <w:p w14:paraId="035B6AEE" w14:textId="77777777" w:rsidR="005E111D" w:rsidRDefault="00000000">
            <w:r>
              <w:rPr>
                <w:b/>
                <w:bCs/>
                <w:color w:val="212529"/>
                <w:sz w:val="20"/>
                <w:szCs w:val="20"/>
              </w:rPr>
              <w:t>Launch Governance Insights newsletter</w:t>
            </w:r>
          </w:p>
        </w:tc>
        <w:tc>
          <w:tcPr>
            <w:tcW w:w="12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6521D884" w14:textId="77777777" w:rsidR="005E111D" w:rsidRDefault="00000000">
            <w:r>
              <w:rPr>
                <w:color w:val="495057"/>
                <w:sz w:val="19"/>
                <w:szCs w:val="19"/>
              </w:rPr>
              <w:t>Owen</w:t>
            </w:r>
          </w:p>
        </w:tc>
        <w:tc>
          <w:tcPr>
            <w:tcW w:w="12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5E7C38A9" w14:textId="77777777" w:rsidR="005E111D" w:rsidRDefault="00000000">
            <w:r>
              <w:rPr>
                <w:color w:val="495057"/>
                <w:sz w:val="19"/>
                <w:szCs w:val="19"/>
              </w:rPr>
              <w:t>Month 6+</w:t>
            </w:r>
          </w:p>
        </w:tc>
        <w:tc>
          <w:tcPr>
            <w:tcW w:w="10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5E969D22" w14:textId="77777777" w:rsidR="005E111D" w:rsidRDefault="00000000">
            <w:r>
              <w:rPr>
                <w:color w:val="C8742A"/>
                <w:sz w:val="19"/>
                <w:szCs w:val="19"/>
              </w:rPr>
              <w:t>Medium</w:t>
            </w:r>
          </w:p>
        </w:tc>
        <w:tc>
          <w:tcPr>
            <w:tcW w:w="272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00" w:type="dxa"/>
              <w:bottom w:w="80" w:type="dxa"/>
              <w:right w:w="80" w:type="dxa"/>
            </w:tcMar>
          </w:tcPr>
          <w:p w14:paraId="53171737" w14:textId="77777777" w:rsidR="005E111D" w:rsidRDefault="00000000">
            <w:r>
              <w:rPr>
                <w:color w:val="212529"/>
                <w:sz w:val="19"/>
                <w:szCs w:val="19"/>
              </w:rPr>
              <w:t>Only after consistent publishing cadence is established and a content library exists.</w:t>
            </w:r>
          </w:p>
        </w:tc>
      </w:tr>
      <w:tr w:rsidR="005E111D" w14:paraId="6E30CEA0" w14:textId="77777777">
        <w:tblPrEx>
          <w:tblCellMar>
            <w:top w:w="0" w:type="dxa"/>
            <w:bottom w:w="0" w:type="dxa"/>
          </w:tblCellMar>
        </w:tblPrEx>
        <w:tc>
          <w:tcPr>
            <w:tcW w:w="440" w:type="dxa"/>
            <w:tcBorders>
              <w:top w:val="single" w:sz="4" w:space="0" w:color="E8E8E8"/>
              <w:left w:val="single" w:sz="4" w:space="0" w:color="E8E8E8"/>
              <w:bottom w:val="single" w:sz="4" w:space="0" w:color="E8E8E8"/>
              <w:right w:val="single" w:sz="4" w:space="0" w:color="E8E8E8"/>
            </w:tcBorders>
            <w:shd w:val="clear" w:color="auto" w:fill="A98C5A"/>
            <w:tcMar>
              <w:top w:w="80" w:type="dxa"/>
              <w:left w:w="80" w:type="dxa"/>
              <w:bottom w:w="80" w:type="dxa"/>
              <w:right w:w="80" w:type="dxa"/>
            </w:tcMar>
            <w:vAlign w:val="center"/>
          </w:tcPr>
          <w:p w14:paraId="03C0A675" w14:textId="77777777" w:rsidR="005E111D" w:rsidRDefault="00000000">
            <w:pPr>
              <w:jc w:val="center"/>
            </w:pPr>
            <w:r>
              <w:rPr>
                <w:rFonts w:ascii="Georgia" w:eastAsia="Georgia" w:hAnsi="Georgia" w:cs="Georgia"/>
                <w:b/>
                <w:bCs/>
                <w:color w:val="FFFFFF"/>
              </w:rPr>
              <w:t>25</w:t>
            </w:r>
          </w:p>
        </w:tc>
        <w:tc>
          <w:tcPr>
            <w:tcW w:w="28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20" w:type="dxa"/>
              <w:bottom w:w="80" w:type="dxa"/>
              <w:right w:w="80" w:type="dxa"/>
            </w:tcMar>
          </w:tcPr>
          <w:p w14:paraId="10BE9765" w14:textId="77777777" w:rsidR="005E111D" w:rsidRDefault="00000000">
            <w:r>
              <w:rPr>
                <w:b/>
                <w:bCs/>
                <w:color w:val="212529"/>
                <w:sz w:val="20"/>
                <w:szCs w:val="20"/>
              </w:rPr>
              <w:t>Document and trademark adversarial methodology tools</w:t>
            </w:r>
          </w:p>
        </w:tc>
        <w:tc>
          <w:tcPr>
            <w:tcW w:w="12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7AC2BCB4" w14:textId="77777777" w:rsidR="005E111D" w:rsidRDefault="00000000">
            <w:r>
              <w:rPr>
                <w:color w:val="495057"/>
                <w:sz w:val="19"/>
                <w:szCs w:val="19"/>
              </w:rPr>
              <w:t>Owen</w:t>
            </w:r>
          </w:p>
        </w:tc>
        <w:tc>
          <w:tcPr>
            <w:tcW w:w="12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1BCE3C61" w14:textId="77777777" w:rsidR="005E111D" w:rsidRDefault="00000000">
            <w:r>
              <w:rPr>
                <w:color w:val="495057"/>
                <w:sz w:val="19"/>
                <w:szCs w:val="19"/>
              </w:rPr>
              <w:t>Month 6+</w:t>
            </w:r>
          </w:p>
        </w:tc>
        <w:tc>
          <w:tcPr>
            <w:tcW w:w="100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51EF19CC" w14:textId="77777777" w:rsidR="005E111D" w:rsidRDefault="00000000">
            <w:r>
              <w:rPr>
                <w:color w:val="C62828"/>
                <w:sz w:val="19"/>
                <w:szCs w:val="19"/>
              </w:rPr>
              <w:t>High</w:t>
            </w:r>
          </w:p>
        </w:tc>
        <w:tc>
          <w:tcPr>
            <w:tcW w:w="2720" w:type="dxa"/>
            <w:tcBorders>
              <w:top w:val="single" w:sz="4" w:space="0" w:color="E8E8E8"/>
              <w:left w:val="single" w:sz="4" w:space="0" w:color="E8E8E8"/>
              <w:bottom w:val="single" w:sz="4" w:space="0" w:color="E8E8E8"/>
              <w:right w:val="single" w:sz="4" w:space="0" w:color="E8E8E8"/>
            </w:tcBorders>
            <w:shd w:val="clear" w:color="auto" w:fill="F8F9FA"/>
            <w:tcMar>
              <w:top w:w="80" w:type="dxa"/>
              <w:left w:w="100" w:type="dxa"/>
              <w:bottom w:w="80" w:type="dxa"/>
              <w:right w:w="80" w:type="dxa"/>
            </w:tcMar>
          </w:tcPr>
          <w:p w14:paraId="5CBD88AA" w14:textId="77777777" w:rsidR="005E111D" w:rsidRDefault="00000000">
            <w:r>
              <w:rPr>
                <w:color w:val="212529"/>
                <w:sz w:val="19"/>
                <w:szCs w:val="19"/>
              </w:rPr>
              <w:t>The ™ designation has value only once the methodologies are real, consistent, and defensible.</w:t>
            </w:r>
          </w:p>
        </w:tc>
      </w:tr>
    </w:tbl>
    <w:p w14:paraId="6173CD67" w14:textId="77777777" w:rsidR="005E111D" w:rsidRDefault="005E111D">
      <w:pPr>
        <w:spacing w:before="200"/>
      </w:pPr>
    </w:p>
    <w:p w14:paraId="329BDD3B" w14:textId="77777777" w:rsidR="005E111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
        <w:gridCol w:w="8782"/>
      </w:tblGrid>
      <w:tr w:rsidR="005E111D" w14:paraId="5AB25FE2"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A98C5A"/>
            <w:tcMar>
              <w:top w:w="140" w:type="dxa"/>
              <w:left w:w="100" w:type="dxa"/>
              <w:bottom w:w="140" w:type="dxa"/>
              <w:right w:w="100" w:type="dxa"/>
            </w:tcMar>
            <w:vAlign w:val="center"/>
          </w:tcPr>
          <w:p w14:paraId="20830118" w14:textId="77777777" w:rsidR="005E111D" w:rsidRDefault="00000000">
            <w:pPr>
              <w:jc w:val="center"/>
            </w:pPr>
            <w:r>
              <w:rPr>
                <w:rFonts w:ascii="Georgia" w:eastAsia="Georgia" w:hAnsi="Georgia" w:cs="Georgia"/>
                <w:b/>
                <w:bCs/>
                <w:color w:val="FFFFFF"/>
                <w:sz w:val="28"/>
                <w:szCs w:val="28"/>
              </w:rPr>
              <w:lastRenderedPageBreak/>
              <w:t>09</w:t>
            </w:r>
          </w:p>
        </w:tc>
        <w:tc>
          <w:tcPr>
            <w:tcW w:w="8800" w:type="dxa"/>
            <w:tcBorders>
              <w:top w:val="none" w:sz="0" w:space="0" w:color="FFFFFF"/>
              <w:left w:val="none" w:sz="0" w:space="0" w:color="FFFFFF"/>
              <w:bottom w:val="none" w:sz="0" w:space="0" w:color="FFFFFF"/>
              <w:right w:val="none" w:sz="0" w:space="0" w:color="FFFFFF"/>
            </w:tcBorders>
            <w:shd w:val="clear" w:color="auto" w:fill="212529"/>
            <w:tcMar>
              <w:top w:w="140" w:type="dxa"/>
              <w:left w:w="260" w:type="dxa"/>
              <w:bottom w:w="140" w:type="dxa"/>
              <w:right w:w="120" w:type="dxa"/>
            </w:tcMar>
            <w:vAlign w:val="center"/>
          </w:tcPr>
          <w:p w14:paraId="5CCDB555" w14:textId="77777777" w:rsidR="005E111D" w:rsidRDefault="00000000">
            <w:r>
              <w:rPr>
                <w:rFonts w:ascii="Georgia" w:eastAsia="Georgia" w:hAnsi="Georgia" w:cs="Georgia"/>
                <w:b/>
                <w:bCs/>
                <w:caps/>
                <w:color w:val="FFFFFF"/>
                <w:sz w:val="28"/>
                <w:szCs w:val="28"/>
              </w:rPr>
              <w:t>Tone of Voice: Final Guidance</w:t>
            </w:r>
          </w:p>
        </w:tc>
      </w:tr>
    </w:tbl>
    <w:p w14:paraId="0815516C" w14:textId="77777777" w:rsidR="005E111D" w:rsidRDefault="005E111D">
      <w:pPr>
        <w:spacing w:before="160"/>
      </w:pPr>
    </w:p>
    <w:p w14:paraId="34E15A6D" w14:textId="77777777" w:rsidR="005E111D" w:rsidRDefault="00000000">
      <w:pPr>
        <w:spacing w:before="80" w:after="80"/>
      </w:pPr>
      <w:r>
        <w:rPr>
          <w:color w:val="495057"/>
        </w:rPr>
        <w:t xml:space="preserve">The existing tone of voice guidelines (Intelligent &amp; Grounded, Direct, Neutral, Audience-Aware) are correct and require no structural change. They require more rigorous enforcement. This section adds three new principles specific to the Strategic </w:t>
      </w:r>
      <w:proofErr w:type="spellStart"/>
      <w:r>
        <w:rPr>
          <w:color w:val="495057"/>
        </w:rPr>
        <w:t>GaaS</w:t>
      </w:r>
      <w:proofErr w:type="spellEnd"/>
      <w:r>
        <w:rPr>
          <w:color w:val="495057"/>
        </w:rPr>
        <w:t xml:space="preserve">-plus-adversarial-methodology </w:t>
      </w:r>
      <w:proofErr w:type="gramStart"/>
      <w:r>
        <w:rPr>
          <w:color w:val="495057"/>
        </w:rPr>
        <w:t>positioning, and</w:t>
      </w:r>
      <w:proofErr w:type="gramEnd"/>
      <w:r>
        <w:rPr>
          <w:color w:val="495057"/>
        </w:rPr>
        <w:t xml:space="preserve"> provides the "Never" list additions identified in Version 2.</w:t>
      </w:r>
    </w:p>
    <w:p w14:paraId="4456D84C" w14:textId="77777777" w:rsidR="005E111D" w:rsidRDefault="005E111D">
      <w:pPr>
        <w:spacing w:before="120"/>
      </w:pPr>
    </w:p>
    <w:p w14:paraId="52B4A723" w14:textId="77777777" w:rsidR="005E111D" w:rsidRDefault="00000000">
      <w:pPr>
        <w:pStyle w:val="Heading2"/>
      </w:pPr>
      <w:r>
        <w:t>Three New Principles for the Consolidated Positioning</w:t>
      </w:r>
    </w:p>
    <w:p w14:paraId="777CC726" w14:textId="77777777" w:rsidR="005E111D" w:rsidRDefault="005E111D">
      <w:pPr>
        <w:spacing w:before="80"/>
      </w:pPr>
    </w:p>
    <w:p w14:paraId="08F0EA0E" w14:textId="77777777" w:rsidR="005E111D" w:rsidRDefault="00000000">
      <w:pPr>
        <w:spacing w:before="60" w:after="60"/>
        <w:ind w:left="360" w:hanging="240"/>
      </w:pPr>
      <w:r>
        <w:rPr>
          <w:color w:val="A98C5A"/>
        </w:rPr>
        <w:t xml:space="preserve">•  </w:t>
      </w:r>
      <w:r>
        <w:rPr>
          <w:b/>
          <w:bCs/>
          <w:color w:val="212529"/>
        </w:rPr>
        <w:t>Speak as a practitioner, not a consultant.</w:t>
      </w:r>
      <w:r>
        <w:rPr>
          <w:color w:val="495057"/>
        </w:rPr>
        <w:t xml:space="preserve"> The difference is significant. A consultant describes what they can do. A practitioner describes what they have done, what they found, and what happened. Every piece of content should read as if written by someone who has sat in the chair Owen has sat in — not someone who has studied governance.</w:t>
      </w:r>
    </w:p>
    <w:p w14:paraId="1D4FC845" w14:textId="77777777" w:rsidR="005E111D" w:rsidRDefault="005E111D">
      <w:pPr>
        <w:spacing w:before="60"/>
      </w:pPr>
    </w:p>
    <w:p w14:paraId="18C2C6DA" w14:textId="77777777" w:rsidR="005E111D" w:rsidRDefault="00000000">
      <w:pPr>
        <w:spacing w:before="60" w:after="60"/>
        <w:ind w:left="360" w:hanging="240"/>
      </w:pPr>
      <w:r>
        <w:rPr>
          <w:color w:val="A98C5A"/>
        </w:rPr>
        <w:t xml:space="preserve">•  </w:t>
      </w:r>
      <w:r>
        <w:rPr>
          <w:b/>
          <w:bCs/>
          <w:color w:val="212529"/>
        </w:rPr>
        <w:t>The methodology is the message.</w:t>
      </w:r>
      <w:r>
        <w:rPr>
          <w:color w:val="495057"/>
        </w:rPr>
        <w:t xml:space="preserve"> In every service description, proposal, and piece of thought leadership, the adversarial methodology should be evident — not as a boast, but as a natural description of how the work is done. "We don't accept the framework as designed; we try to break it first" is a more compelling line than "we provide independent governance challenge."</w:t>
      </w:r>
    </w:p>
    <w:p w14:paraId="03534D20" w14:textId="77777777" w:rsidR="005E111D" w:rsidRDefault="005E111D">
      <w:pPr>
        <w:spacing w:before="60"/>
      </w:pPr>
    </w:p>
    <w:p w14:paraId="2DC27362" w14:textId="77777777" w:rsidR="005E111D" w:rsidRDefault="00000000">
      <w:pPr>
        <w:spacing w:before="60" w:after="60"/>
        <w:ind w:left="360" w:hanging="240"/>
      </w:pPr>
      <w:r>
        <w:rPr>
          <w:color w:val="A98C5A"/>
        </w:rPr>
        <w:t xml:space="preserve">•  </w:t>
      </w:r>
      <w:r>
        <w:rPr>
          <w:b/>
          <w:bCs/>
          <w:color w:val="212529"/>
        </w:rPr>
        <w:t>Precision over comprehensiveness.</w:t>
      </w:r>
      <w:r>
        <w:rPr>
          <w:color w:val="495057"/>
        </w:rPr>
        <w:t xml:space="preserve"> At every tier, the buyer is </w:t>
      </w:r>
      <w:proofErr w:type="gramStart"/>
      <w:r>
        <w:rPr>
          <w:color w:val="495057"/>
        </w:rPr>
        <w:t>time-poor</w:t>
      </w:r>
      <w:proofErr w:type="gramEnd"/>
      <w:r>
        <w:rPr>
          <w:color w:val="495057"/>
        </w:rPr>
        <w:t>. A board chair reading a proposal wants to know three things: what exactly happens, what they will receive at the end, and what it costs. Proposals, service pages, and Insights articles should be edited to remove everything that does not serve those three questions.</w:t>
      </w:r>
    </w:p>
    <w:p w14:paraId="17D13745" w14:textId="77777777" w:rsidR="005E111D" w:rsidRDefault="005E111D">
      <w:pPr>
        <w:spacing w:before="120"/>
      </w:pPr>
    </w:p>
    <w:p w14:paraId="5042132E" w14:textId="77777777" w:rsidR="005E111D" w:rsidRDefault="00000000">
      <w:pPr>
        <w:pStyle w:val="Heading2"/>
      </w:pPr>
      <w:r>
        <w:t>The "Never" List — Additions to Existing Guidelines</w:t>
      </w:r>
    </w:p>
    <w:p w14:paraId="11E69FA2" w14:textId="77777777" w:rsidR="005E111D" w:rsidRDefault="005E111D">
      <w:pPr>
        <w:spacing w:before="80"/>
      </w:pPr>
    </w:p>
    <w:p w14:paraId="5786CE1C" w14:textId="77777777" w:rsidR="005E111D" w:rsidRDefault="00000000">
      <w:pPr>
        <w:spacing w:before="80" w:after="80"/>
      </w:pPr>
      <w:r>
        <w:rPr>
          <w:color w:val="495057"/>
        </w:rPr>
        <w:t xml:space="preserve">The following additions are specific to the Strategic </w:t>
      </w:r>
      <w:proofErr w:type="spellStart"/>
      <w:r>
        <w:rPr>
          <w:color w:val="495057"/>
        </w:rPr>
        <w:t>GaaS</w:t>
      </w:r>
      <w:proofErr w:type="spellEnd"/>
      <w:r>
        <w:rPr>
          <w:color w:val="495057"/>
        </w:rPr>
        <w:t xml:space="preserve"> positioning and the adversarial methodology communication:</w:t>
      </w:r>
    </w:p>
    <w:p w14:paraId="699DF437" w14:textId="77777777" w:rsidR="005E111D" w:rsidRDefault="005E111D">
      <w:pPr>
        <w:spacing w:before="80"/>
      </w:pPr>
    </w:p>
    <w:p w14:paraId="6BAEDF55" w14:textId="77777777" w:rsidR="005E111D" w:rsidRDefault="00000000">
      <w:pPr>
        <w:spacing w:before="60" w:after="60"/>
        <w:ind w:left="360" w:hanging="240"/>
      </w:pPr>
      <w:r>
        <w:rPr>
          <w:color w:val="A98C5A"/>
        </w:rPr>
        <w:t xml:space="preserve">•  </w:t>
      </w:r>
      <w:r>
        <w:rPr>
          <w:b/>
          <w:bCs/>
          <w:color w:val="212529"/>
        </w:rPr>
        <w:t>"We help you..."</w:t>
      </w:r>
      <w:r>
        <w:rPr>
          <w:color w:val="495057"/>
        </w:rPr>
        <w:t xml:space="preserve"> Too soft for a principal-led advisory at this price point. Replace with "we provide" or the active form of what is delivered.</w:t>
      </w:r>
    </w:p>
    <w:p w14:paraId="2EBABBA9" w14:textId="77777777" w:rsidR="005E111D" w:rsidRDefault="00000000">
      <w:pPr>
        <w:spacing w:before="60" w:after="60"/>
        <w:ind w:left="360" w:hanging="240"/>
      </w:pPr>
      <w:r>
        <w:rPr>
          <w:color w:val="A98C5A"/>
        </w:rPr>
        <w:t xml:space="preserve">•  </w:t>
      </w:r>
      <w:r>
        <w:rPr>
          <w:b/>
          <w:bCs/>
          <w:color w:val="212529"/>
        </w:rPr>
        <w:t>Military or conflict metaphors</w:t>
      </w:r>
      <w:r>
        <w:rPr>
          <w:color w:val="495057"/>
        </w:rPr>
        <w:t xml:space="preserve"> ("battle-hardened", "frontline", "war-gaming") — overused in the red team space, inconsistent with board-level positioning.</w:t>
      </w:r>
    </w:p>
    <w:p w14:paraId="4CBE1EEE" w14:textId="77777777" w:rsidR="005E111D" w:rsidRDefault="00000000">
      <w:pPr>
        <w:spacing w:before="60" w:after="60"/>
        <w:ind w:left="360" w:hanging="240"/>
      </w:pPr>
      <w:r>
        <w:rPr>
          <w:color w:val="A98C5A"/>
        </w:rPr>
        <w:t xml:space="preserve">•  </w:t>
      </w:r>
      <w:r>
        <w:rPr>
          <w:b/>
          <w:bCs/>
          <w:color w:val="212529"/>
        </w:rPr>
        <w:t>Promotional closing lines in thought leadership.</w:t>
      </w:r>
      <w:r>
        <w:rPr>
          <w:color w:val="495057"/>
        </w:rPr>
        <w:t xml:space="preserve"> Every Insights article currently ends with a sentence promoting Marentis Labs. Cut them. The article is the promotion. If it was good, the reader knows where to find you.</w:t>
      </w:r>
    </w:p>
    <w:p w14:paraId="34B576D0" w14:textId="77777777" w:rsidR="005E111D" w:rsidRDefault="00000000">
      <w:pPr>
        <w:spacing w:before="60" w:after="60"/>
        <w:ind w:left="360" w:hanging="240"/>
      </w:pPr>
      <w:r>
        <w:rPr>
          <w:color w:val="A98C5A"/>
        </w:rPr>
        <w:t xml:space="preserve">•  </w:t>
      </w:r>
      <w:r>
        <w:rPr>
          <w:b/>
          <w:bCs/>
          <w:color w:val="212529"/>
        </w:rPr>
        <w:t>Passive voice in service descriptions.</w:t>
      </w:r>
      <w:r>
        <w:rPr>
          <w:color w:val="495057"/>
        </w:rPr>
        <w:t xml:space="preserve"> "Governance is assessed" should be "we assess governance." Passive voice signals distance. Marentis Labs' differentiator is directness and personal accountability.</w:t>
      </w:r>
    </w:p>
    <w:p w14:paraId="309BE80C" w14:textId="77777777" w:rsidR="005E111D" w:rsidRDefault="00000000">
      <w:pPr>
        <w:spacing w:before="60" w:after="60"/>
        <w:ind w:left="360" w:hanging="240"/>
      </w:pPr>
      <w:r>
        <w:rPr>
          <w:color w:val="A98C5A"/>
        </w:rPr>
        <w:t xml:space="preserve">•  </w:t>
      </w:r>
      <w:r>
        <w:rPr>
          <w:b/>
          <w:bCs/>
          <w:color w:val="212529"/>
        </w:rPr>
        <w:t>Describing plans as if they are current capabilities.</w:t>
      </w:r>
      <w:r>
        <w:rPr>
          <w:color w:val="495057"/>
        </w:rPr>
        <w:t xml:space="preserve"> Do not refer to Strategic </w:t>
      </w:r>
      <w:proofErr w:type="spellStart"/>
      <w:r>
        <w:rPr>
          <w:color w:val="495057"/>
        </w:rPr>
        <w:t>GaaS</w:t>
      </w:r>
      <w:proofErr w:type="spellEnd"/>
      <w:r>
        <w:rPr>
          <w:color w:val="495057"/>
        </w:rPr>
        <w:t xml:space="preserve"> tiers, proprietary frameworks, or trademarked methodologies in external communications until they are consistently </w:t>
      </w:r>
      <w:r>
        <w:rPr>
          <w:color w:val="495057"/>
        </w:rPr>
        <w:lastRenderedPageBreak/>
        <w:t>delivered. Describing a planned capability as an existing one is the fastest way to destroy credibility with a sophisticated buyer.</w:t>
      </w:r>
    </w:p>
    <w:p w14:paraId="6821F012" w14:textId="77777777" w:rsidR="005E111D" w:rsidRDefault="005E111D">
      <w:pPr>
        <w:spacing w:before="200"/>
      </w:pPr>
    </w:p>
    <w:p w14:paraId="7903C8F6" w14:textId="77777777" w:rsidR="005E111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800"/>
      </w:tblGrid>
      <w:tr w:rsidR="005E111D" w14:paraId="1879134E"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A98C5A"/>
            <w:tcMar>
              <w:top w:w="140" w:type="dxa"/>
              <w:left w:w="100" w:type="dxa"/>
              <w:bottom w:w="140" w:type="dxa"/>
              <w:right w:w="100" w:type="dxa"/>
            </w:tcMar>
            <w:vAlign w:val="center"/>
          </w:tcPr>
          <w:p w14:paraId="21419130" w14:textId="77777777" w:rsidR="005E111D" w:rsidRDefault="00000000">
            <w:pPr>
              <w:jc w:val="center"/>
            </w:pPr>
            <w:r>
              <w:rPr>
                <w:rFonts w:ascii="Georgia" w:eastAsia="Georgia" w:hAnsi="Georgia" w:cs="Georgia"/>
                <w:b/>
                <w:bCs/>
                <w:color w:val="FFFFFF"/>
                <w:sz w:val="28"/>
                <w:szCs w:val="28"/>
              </w:rPr>
              <w:lastRenderedPageBreak/>
              <w:t>10</w:t>
            </w:r>
          </w:p>
        </w:tc>
        <w:tc>
          <w:tcPr>
            <w:tcW w:w="8800" w:type="dxa"/>
            <w:tcBorders>
              <w:top w:val="none" w:sz="0" w:space="0" w:color="FFFFFF"/>
              <w:left w:val="none" w:sz="0" w:space="0" w:color="FFFFFF"/>
              <w:bottom w:val="none" w:sz="0" w:space="0" w:color="FFFFFF"/>
              <w:right w:val="none" w:sz="0" w:space="0" w:color="FFFFFF"/>
            </w:tcBorders>
            <w:shd w:val="clear" w:color="auto" w:fill="212529"/>
            <w:tcMar>
              <w:top w:w="140" w:type="dxa"/>
              <w:left w:w="260" w:type="dxa"/>
              <w:bottom w:w="140" w:type="dxa"/>
              <w:right w:w="120" w:type="dxa"/>
            </w:tcMar>
            <w:vAlign w:val="center"/>
          </w:tcPr>
          <w:p w14:paraId="6B6B8FD0" w14:textId="77777777" w:rsidR="005E111D" w:rsidRDefault="00000000">
            <w:r>
              <w:rPr>
                <w:rFonts w:ascii="Georgia" w:eastAsia="Georgia" w:hAnsi="Georgia" w:cs="Georgia"/>
                <w:b/>
                <w:bCs/>
                <w:caps/>
                <w:color w:val="FFFFFF"/>
                <w:sz w:val="28"/>
                <w:szCs w:val="28"/>
              </w:rPr>
              <w:t>Competitive Positioning: How the Consolidated Brand Competes</w:t>
            </w:r>
          </w:p>
        </w:tc>
      </w:tr>
    </w:tbl>
    <w:p w14:paraId="77E64ACF" w14:textId="77777777" w:rsidR="005E111D" w:rsidRDefault="005E111D">
      <w:pPr>
        <w:spacing w:before="160"/>
      </w:pPr>
    </w:p>
    <w:p w14:paraId="58D0DF3C" w14:textId="77777777" w:rsidR="005E111D" w:rsidRDefault="00000000">
      <w:pPr>
        <w:spacing w:before="80" w:after="80"/>
      </w:pPr>
      <w:r>
        <w:rPr>
          <w:color w:val="495057"/>
          <w:sz w:val="24"/>
          <w:szCs w:val="24"/>
        </w:rPr>
        <w:t xml:space="preserve">The brand review identified that Marentis Labs was not currently a credible alternative to its stated competitors. The consolidated Strategic </w:t>
      </w:r>
      <w:proofErr w:type="spellStart"/>
      <w:r>
        <w:rPr>
          <w:color w:val="495057"/>
          <w:sz w:val="24"/>
          <w:szCs w:val="24"/>
        </w:rPr>
        <w:t>GaaS</w:t>
      </w:r>
      <w:proofErr w:type="spellEnd"/>
      <w:r>
        <w:rPr>
          <w:color w:val="495057"/>
          <w:sz w:val="24"/>
          <w:szCs w:val="24"/>
        </w:rPr>
        <w:t>-plus-adversarial-methodology positioning changes this — but only if it is executed consistently. This section maps how the new positioning competes against each competitor category.</w:t>
      </w:r>
    </w:p>
    <w:p w14:paraId="6010DA56" w14:textId="77777777" w:rsidR="005E111D" w:rsidRDefault="005E111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780"/>
      </w:tblGrid>
      <w:tr w:rsidR="005E111D" w14:paraId="296B10C3" w14:textId="77777777">
        <w:tblPrEx>
          <w:tblCellMar>
            <w:top w:w="0" w:type="dxa"/>
            <w:bottom w:w="0" w:type="dxa"/>
          </w:tblCellMar>
        </w:tblPrEx>
        <w:tc>
          <w:tcPr>
            <w:tcW w:w="1800" w:type="dxa"/>
            <w:tcBorders>
              <w:top w:val="single" w:sz="4" w:space="0" w:color="A98C5A"/>
              <w:left w:val="single" w:sz="4" w:space="0" w:color="A98C5A"/>
              <w:bottom w:val="single" w:sz="4" w:space="0" w:color="A98C5A"/>
              <w:right w:val="single" w:sz="4" w:space="0" w:color="A98C5A"/>
            </w:tcBorders>
            <w:shd w:val="clear" w:color="auto" w:fill="212529"/>
            <w:tcMar>
              <w:top w:w="90" w:type="dxa"/>
              <w:left w:w="120" w:type="dxa"/>
              <w:bottom w:w="90" w:type="dxa"/>
              <w:right w:w="80" w:type="dxa"/>
            </w:tcMar>
          </w:tcPr>
          <w:p w14:paraId="0194F168" w14:textId="77777777" w:rsidR="005E111D" w:rsidRDefault="00000000">
            <w:r>
              <w:rPr>
                <w:b/>
                <w:bCs/>
                <w:caps/>
                <w:color w:val="FFFFFF"/>
                <w:sz w:val="19"/>
                <w:szCs w:val="19"/>
              </w:rPr>
              <w:t>Competitor Type</w:t>
            </w:r>
          </w:p>
        </w:tc>
        <w:tc>
          <w:tcPr>
            <w:tcW w:w="3780" w:type="dxa"/>
            <w:tcBorders>
              <w:top w:val="single" w:sz="4" w:space="0" w:color="A98C5A"/>
              <w:left w:val="single" w:sz="4" w:space="0" w:color="A98C5A"/>
              <w:bottom w:val="single" w:sz="4" w:space="0" w:color="A98C5A"/>
              <w:right w:val="single" w:sz="4" w:space="0" w:color="A98C5A"/>
            </w:tcBorders>
            <w:shd w:val="clear" w:color="auto" w:fill="212529"/>
            <w:tcMar>
              <w:top w:w="90" w:type="dxa"/>
              <w:left w:w="120" w:type="dxa"/>
              <w:bottom w:w="90" w:type="dxa"/>
              <w:right w:w="80" w:type="dxa"/>
            </w:tcMar>
          </w:tcPr>
          <w:p w14:paraId="49FDE64B" w14:textId="77777777" w:rsidR="005E111D" w:rsidRDefault="00000000">
            <w:r>
              <w:rPr>
                <w:b/>
                <w:bCs/>
                <w:caps/>
                <w:color w:val="FFFFFF"/>
                <w:sz w:val="19"/>
                <w:szCs w:val="19"/>
              </w:rPr>
              <w:t>Their Weakness in this Frame</w:t>
            </w:r>
          </w:p>
        </w:tc>
        <w:tc>
          <w:tcPr>
            <w:tcW w:w="3780" w:type="dxa"/>
            <w:tcBorders>
              <w:top w:val="single" w:sz="4" w:space="0" w:color="A98C5A"/>
              <w:left w:val="single" w:sz="4" w:space="0" w:color="A98C5A"/>
              <w:bottom w:val="single" w:sz="4" w:space="0" w:color="A98C5A"/>
              <w:right w:val="single" w:sz="4" w:space="0" w:color="A98C5A"/>
            </w:tcBorders>
            <w:shd w:val="clear" w:color="auto" w:fill="212529"/>
            <w:tcMar>
              <w:top w:w="90" w:type="dxa"/>
              <w:left w:w="120" w:type="dxa"/>
              <w:bottom w:w="90" w:type="dxa"/>
              <w:right w:w="80" w:type="dxa"/>
            </w:tcMar>
          </w:tcPr>
          <w:p w14:paraId="2C7897FA" w14:textId="77777777" w:rsidR="005E111D" w:rsidRDefault="00000000">
            <w:r>
              <w:rPr>
                <w:b/>
                <w:bCs/>
                <w:caps/>
                <w:color w:val="FFFFFF"/>
                <w:sz w:val="19"/>
                <w:szCs w:val="19"/>
              </w:rPr>
              <w:t>Marentis Labs' Answer</w:t>
            </w:r>
          </w:p>
        </w:tc>
      </w:tr>
      <w:tr w:rsidR="005E111D" w14:paraId="6575ED33" w14:textId="77777777">
        <w:tblPrEx>
          <w:tblCellMar>
            <w:top w:w="0" w:type="dxa"/>
            <w:bottom w:w="0" w:type="dxa"/>
          </w:tblCellMar>
        </w:tblPrEx>
        <w:tc>
          <w:tcPr>
            <w:tcW w:w="1800" w:type="dxa"/>
            <w:tcBorders>
              <w:top w:val="single" w:sz="4" w:space="0" w:color="E8E8E8"/>
              <w:left w:val="single" w:sz="4" w:space="0" w:color="E8E8E8"/>
              <w:bottom w:val="single" w:sz="4" w:space="0" w:color="E8E8E8"/>
              <w:right w:val="single" w:sz="4" w:space="0" w:color="E8E8E8"/>
            </w:tcBorders>
            <w:shd w:val="clear" w:color="auto" w:fill="F8F9FA"/>
            <w:tcMar>
              <w:top w:w="90" w:type="dxa"/>
              <w:left w:w="120" w:type="dxa"/>
              <w:bottom w:w="90" w:type="dxa"/>
              <w:right w:w="80" w:type="dxa"/>
            </w:tcMar>
          </w:tcPr>
          <w:p w14:paraId="0B6ED27F" w14:textId="77777777" w:rsidR="005E111D" w:rsidRDefault="00000000">
            <w:r>
              <w:rPr>
                <w:b/>
                <w:bCs/>
                <w:color w:val="212529"/>
                <w:sz w:val="19"/>
                <w:szCs w:val="19"/>
              </w:rPr>
              <w:t>Big 4 (EY, Deloitte, KPMG)</w:t>
            </w:r>
          </w:p>
        </w:tc>
        <w:tc>
          <w:tcPr>
            <w:tcW w:w="3780" w:type="dxa"/>
            <w:tcBorders>
              <w:top w:val="single" w:sz="4" w:space="0" w:color="E8E8E8"/>
              <w:left w:val="single" w:sz="4" w:space="0" w:color="E8E8E8"/>
              <w:bottom w:val="single" w:sz="4" w:space="0" w:color="E8E8E8"/>
              <w:right w:val="single" w:sz="4" w:space="0" w:color="E8E8E8"/>
            </w:tcBorders>
            <w:shd w:val="clear" w:color="auto" w:fill="F8F9FA"/>
            <w:tcMar>
              <w:top w:w="90" w:type="dxa"/>
              <w:left w:w="120" w:type="dxa"/>
              <w:bottom w:w="90" w:type="dxa"/>
              <w:right w:w="80" w:type="dxa"/>
            </w:tcMar>
          </w:tcPr>
          <w:p w14:paraId="358E1AD1" w14:textId="77777777" w:rsidR="005E111D" w:rsidRDefault="00000000">
            <w:r>
              <w:rPr>
                <w:color w:val="495057"/>
                <w:sz w:val="19"/>
                <w:szCs w:val="19"/>
              </w:rPr>
              <w:t xml:space="preserve">Project-based, not continuous. Senior partner </w:t>
            </w:r>
            <w:proofErr w:type="gramStart"/>
            <w:r>
              <w:rPr>
                <w:color w:val="495057"/>
                <w:sz w:val="19"/>
                <w:szCs w:val="19"/>
              </w:rPr>
              <w:t>sells;</w:t>
            </w:r>
            <w:proofErr w:type="gramEnd"/>
            <w:r>
              <w:rPr>
                <w:color w:val="495057"/>
                <w:sz w:val="19"/>
                <w:szCs w:val="19"/>
              </w:rPr>
              <w:t xml:space="preserve"> junior team delivers. Generic methodology, not adversarial. Expensive overhead. Slow.</w:t>
            </w:r>
          </w:p>
        </w:tc>
        <w:tc>
          <w:tcPr>
            <w:tcW w:w="3780" w:type="dxa"/>
            <w:tcBorders>
              <w:top w:val="single" w:sz="4" w:space="0" w:color="E8E8E8"/>
              <w:left w:val="single" w:sz="4" w:space="0" w:color="E8E8E8"/>
              <w:bottom w:val="single" w:sz="4" w:space="0" w:color="E8E8E8"/>
              <w:right w:val="single" w:sz="4" w:space="0" w:color="E8E8E8"/>
            </w:tcBorders>
            <w:shd w:val="clear" w:color="auto" w:fill="F8F9FA"/>
            <w:tcMar>
              <w:top w:w="90" w:type="dxa"/>
              <w:left w:w="120" w:type="dxa"/>
              <w:bottom w:w="90" w:type="dxa"/>
              <w:right w:w="80" w:type="dxa"/>
            </w:tcMar>
          </w:tcPr>
          <w:p w14:paraId="27A7A51C" w14:textId="77777777" w:rsidR="005E111D" w:rsidRDefault="00000000">
            <w:r>
              <w:rPr>
                <w:color w:val="495057"/>
                <w:sz w:val="19"/>
                <w:szCs w:val="19"/>
              </w:rPr>
              <w:t xml:space="preserve">Strategic </w:t>
            </w:r>
            <w:proofErr w:type="spellStart"/>
            <w:r>
              <w:rPr>
                <w:color w:val="495057"/>
                <w:sz w:val="19"/>
                <w:szCs w:val="19"/>
              </w:rPr>
              <w:t>GaaS</w:t>
            </w:r>
            <w:proofErr w:type="spellEnd"/>
            <w:r>
              <w:rPr>
                <w:color w:val="495057"/>
                <w:sz w:val="19"/>
                <w:szCs w:val="19"/>
              </w:rPr>
              <w:t xml:space="preserve"> is continuous, not episodic. Owen delivers personally. Our methodology actively challenges governance rather than documenting it. Leaner and faster.</w:t>
            </w:r>
          </w:p>
        </w:tc>
      </w:tr>
      <w:tr w:rsidR="005E111D" w14:paraId="61C85007" w14:textId="77777777">
        <w:tblPrEx>
          <w:tblCellMar>
            <w:top w:w="0" w:type="dxa"/>
            <w:bottom w:w="0" w:type="dxa"/>
          </w:tblCellMar>
        </w:tblPrEx>
        <w:tc>
          <w:tcPr>
            <w:tcW w:w="1800" w:type="dxa"/>
            <w:tcBorders>
              <w:top w:val="single" w:sz="4" w:space="0" w:color="E8E8E8"/>
              <w:left w:val="single" w:sz="4" w:space="0" w:color="E8E8E8"/>
              <w:bottom w:val="single" w:sz="4" w:space="0" w:color="E8E8E8"/>
              <w:right w:val="single" w:sz="4" w:space="0" w:color="E8E8E8"/>
            </w:tcBorders>
            <w:shd w:val="clear" w:color="auto" w:fill="FFFFFF"/>
            <w:tcMar>
              <w:top w:w="90" w:type="dxa"/>
              <w:left w:w="120" w:type="dxa"/>
              <w:bottom w:w="90" w:type="dxa"/>
              <w:right w:w="80" w:type="dxa"/>
            </w:tcMar>
          </w:tcPr>
          <w:p w14:paraId="7819A90C" w14:textId="77777777" w:rsidR="005E111D" w:rsidRDefault="00000000">
            <w:r>
              <w:rPr>
                <w:b/>
                <w:bCs/>
                <w:color w:val="212529"/>
                <w:sz w:val="19"/>
                <w:szCs w:val="19"/>
              </w:rPr>
              <w:t>Independent NEDs</w:t>
            </w:r>
          </w:p>
        </w:tc>
        <w:tc>
          <w:tcPr>
            <w:tcW w:w="3780" w:type="dxa"/>
            <w:tcBorders>
              <w:top w:val="single" w:sz="4" w:space="0" w:color="E8E8E8"/>
              <w:left w:val="single" w:sz="4" w:space="0" w:color="E8E8E8"/>
              <w:bottom w:val="single" w:sz="4" w:space="0" w:color="E8E8E8"/>
              <w:right w:val="single" w:sz="4" w:space="0" w:color="E8E8E8"/>
            </w:tcBorders>
            <w:shd w:val="clear" w:color="auto" w:fill="FFFFFF"/>
            <w:tcMar>
              <w:top w:w="90" w:type="dxa"/>
              <w:left w:w="120" w:type="dxa"/>
              <w:bottom w:w="90" w:type="dxa"/>
              <w:right w:w="80" w:type="dxa"/>
            </w:tcMar>
          </w:tcPr>
          <w:p w14:paraId="0B77244E" w14:textId="77777777" w:rsidR="005E111D" w:rsidRDefault="00000000">
            <w:r>
              <w:rPr>
                <w:color w:val="495057"/>
                <w:sz w:val="19"/>
                <w:szCs w:val="19"/>
              </w:rPr>
              <w:t>Part-time, governance-focused but not CRO-depth. No adversarial methodology. No scalable framework.</w:t>
            </w:r>
          </w:p>
        </w:tc>
        <w:tc>
          <w:tcPr>
            <w:tcW w:w="3780" w:type="dxa"/>
            <w:tcBorders>
              <w:top w:val="single" w:sz="4" w:space="0" w:color="E8E8E8"/>
              <w:left w:val="single" w:sz="4" w:space="0" w:color="E8E8E8"/>
              <w:bottom w:val="single" w:sz="4" w:space="0" w:color="E8E8E8"/>
              <w:right w:val="single" w:sz="4" w:space="0" w:color="E8E8E8"/>
            </w:tcBorders>
            <w:shd w:val="clear" w:color="auto" w:fill="FFFFFF"/>
            <w:tcMar>
              <w:top w:w="90" w:type="dxa"/>
              <w:left w:w="120" w:type="dxa"/>
              <w:bottom w:w="90" w:type="dxa"/>
              <w:right w:w="80" w:type="dxa"/>
            </w:tcMar>
          </w:tcPr>
          <w:p w14:paraId="74B86A06" w14:textId="77777777" w:rsidR="005E111D" w:rsidRDefault="00000000">
            <w:r>
              <w:rPr>
                <w:color w:val="495057"/>
                <w:sz w:val="19"/>
                <w:szCs w:val="19"/>
              </w:rPr>
              <w:t>We bring CRO-depth and board-level authority simultaneously — a combination Owen is specifically positioned to provide. Continuous, not quarterly.</w:t>
            </w:r>
          </w:p>
        </w:tc>
      </w:tr>
      <w:tr w:rsidR="005E111D" w14:paraId="20982A31" w14:textId="77777777">
        <w:tblPrEx>
          <w:tblCellMar>
            <w:top w:w="0" w:type="dxa"/>
            <w:bottom w:w="0" w:type="dxa"/>
          </w:tblCellMar>
        </w:tblPrEx>
        <w:tc>
          <w:tcPr>
            <w:tcW w:w="1800" w:type="dxa"/>
            <w:tcBorders>
              <w:top w:val="single" w:sz="4" w:space="0" w:color="E8E8E8"/>
              <w:left w:val="single" w:sz="4" w:space="0" w:color="E8E8E8"/>
              <w:bottom w:val="single" w:sz="4" w:space="0" w:color="E8E8E8"/>
              <w:right w:val="single" w:sz="4" w:space="0" w:color="E8E8E8"/>
            </w:tcBorders>
            <w:shd w:val="clear" w:color="auto" w:fill="F8F9FA"/>
            <w:tcMar>
              <w:top w:w="90" w:type="dxa"/>
              <w:left w:w="120" w:type="dxa"/>
              <w:bottom w:w="90" w:type="dxa"/>
              <w:right w:w="80" w:type="dxa"/>
            </w:tcMar>
          </w:tcPr>
          <w:p w14:paraId="5CB31374" w14:textId="77777777" w:rsidR="005E111D" w:rsidRDefault="00000000">
            <w:r>
              <w:rPr>
                <w:b/>
                <w:bCs/>
                <w:color w:val="212529"/>
                <w:sz w:val="19"/>
                <w:szCs w:val="19"/>
              </w:rPr>
              <w:t>Boutique Risk Advisors</w:t>
            </w:r>
          </w:p>
        </w:tc>
        <w:tc>
          <w:tcPr>
            <w:tcW w:w="3780" w:type="dxa"/>
            <w:tcBorders>
              <w:top w:val="single" w:sz="4" w:space="0" w:color="E8E8E8"/>
              <w:left w:val="single" w:sz="4" w:space="0" w:color="E8E8E8"/>
              <w:bottom w:val="single" w:sz="4" w:space="0" w:color="E8E8E8"/>
              <w:right w:val="single" w:sz="4" w:space="0" w:color="E8E8E8"/>
            </w:tcBorders>
            <w:shd w:val="clear" w:color="auto" w:fill="F8F9FA"/>
            <w:tcMar>
              <w:top w:w="90" w:type="dxa"/>
              <w:left w:w="120" w:type="dxa"/>
              <w:bottom w:w="90" w:type="dxa"/>
              <w:right w:w="80" w:type="dxa"/>
            </w:tcMar>
          </w:tcPr>
          <w:p w14:paraId="5CFE2D18" w14:textId="77777777" w:rsidR="005E111D" w:rsidRDefault="00000000">
            <w:r>
              <w:rPr>
                <w:color w:val="495057"/>
                <w:sz w:val="19"/>
                <w:szCs w:val="19"/>
              </w:rPr>
              <w:t xml:space="preserve">Often stronger on CRO-side than governance. No formal Strategic </w:t>
            </w:r>
            <w:proofErr w:type="spellStart"/>
            <w:r>
              <w:rPr>
                <w:color w:val="495057"/>
                <w:sz w:val="19"/>
                <w:szCs w:val="19"/>
              </w:rPr>
              <w:t>GaaS</w:t>
            </w:r>
            <w:proofErr w:type="spellEnd"/>
            <w:r>
              <w:rPr>
                <w:color w:val="495057"/>
                <w:sz w:val="19"/>
                <w:szCs w:val="19"/>
              </w:rPr>
              <w:t xml:space="preserve"> model. Less likely to have active board-seat experience.</w:t>
            </w:r>
          </w:p>
        </w:tc>
        <w:tc>
          <w:tcPr>
            <w:tcW w:w="3780" w:type="dxa"/>
            <w:tcBorders>
              <w:top w:val="single" w:sz="4" w:space="0" w:color="E8E8E8"/>
              <w:left w:val="single" w:sz="4" w:space="0" w:color="E8E8E8"/>
              <w:bottom w:val="single" w:sz="4" w:space="0" w:color="E8E8E8"/>
              <w:right w:val="single" w:sz="4" w:space="0" w:color="E8E8E8"/>
            </w:tcBorders>
            <w:shd w:val="clear" w:color="auto" w:fill="F8F9FA"/>
            <w:tcMar>
              <w:top w:w="90" w:type="dxa"/>
              <w:left w:w="120" w:type="dxa"/>
              <w:bottom w:w="90" w:type="dxa"/>
              <w:right w:w="80" w:type="dxa"/>
            </w:tcMar>
          </w:tcPr>
          <w:p w14:paraId="1E14D766" w14:textId="77777777" w:rsidR="005E111D" w:rsidRDefault="00000000">
            <w:r>
              <w:rPr>
                <w:color w:val="495057"/>
                <w:sz w:val="19"/>
                <w:szCs w:val="19"/>
              </w:rPr>
              <w:t>The combination of 20-year CRO track record and active Chair/NED roles is the specific differentiator. It is not replicated by boutique competitors.</w:t>
            </w:r>
          </w:p>
        </w:tc>
      </w:tr>
      <w:tr w:rsidR="005E111D" w14:paraId="5568B79C" w14:textId="77777777">
        <w:tblPrEx>
          <w:tblCellMar>
            <w:top w:w="0" w:type="dxa"/>
            <w:bottom w:w="0" w:type="dxa"/>
          </w:tblCellMar>
        </w:tblPrEx>
        <w:tc>
          <w:tcPr>
            <w:tcW w:w="1800" w:type="dxa"/>
            <w:tcBorders>
              <w:top w:val="single" w:sz="4" w:space="0" w:color="E8E8E8"/>
              <w:left w:val="single" w:sz="4" w:space="0" w:color="E8E8E8"/>
              <w:bottom w:val="single" w:sz="4" w:space="0" w:color="E8E8E8"/>
              <w:right w:val="single" w:sz="4" w:space="0" w:color="E8E8E8"/>
            </w:tcBorders>
            <w:shd w:val="clear" w:color="auto" w:fill="FFFFFF"/>
            <w:tcMar>
              <w:top w:w="90" w:type="dxa"/>
              <w:left w:w="120" w:type="dxa"/>
              <w:bottom w:w="90" w:type="dxa"/>
              <w:right w:w="80" w:type="dxa"/>
            </w:tcMar>
          </w:tcPr>
          <w:p w14:paraId="08974DE1" w14:textId="77777777" w:rsidR="005E111D" w:rsidRDefault="00000000">
            <w:r>
              <w:rPr>
                <w:b/>
                <w:bCs/>
                <w:color w:val="212529"/>
                <w:sz w:val="19"/>
                <w:szCs w:val="19"/>
              </w:rPr>
              <w:t xml:space="preserve">Fractional </w:t>
            </w:r>
            <w:proofErr w:type="spellStart"/>
            <w:r>
              <w:rPr>
                <w:b/>
                <w:bCs/>
                <w:color w:val="212529"/>
                <w:sz w:val="19"/>
                <w:szCs w:val="19"/>
              </w:rPr>
              <w:t>CxO</w:t>
            </w:r>
            <w:proofErr w:type="spellEnd"/>
            <w:r>
              <w:rPr>
                <w:b/>
                <w:bCs/>
                <w:color w:val="212529"/>
                <w:sz w:val="19"/>
                <w:szCs w:val="19"/>
              </w:rPr>
              <w:t xml:space="preserve"> Platforms</w:t>
            </w:r>
          </w:p>
        </w:tc>
        <w:tc>
          <w:tcPr>
            <w:tcW w:w="3780" w:type="dxa"/>
            <w:tcBorders>
              <w:top w:val="single" w:sz="4" w:space="0" w:color="E8E8E8"/>
              <w:left w:val="single" w:sz="4" w:space="0" w:color="E8E8E8"/>
              <w:bottom w:val="single" w:sz="4" w:space="0" w:color="E8E8E8"/>
              <w:right w:val="single" w:sz="4" w:space="0" w:color="E8E8E8"/>
            </w:tcBorders>
            <w:shd w:val="clear" w:color="auto" w:fill="FFFFFF"/>
            <w:tcMar>
              <w:top w:w="90" w:type="dxa"/>
              <w:left w:w="120" w:type="dxa"/>
              <w:bottom w:w="90" w:type="dxa"/>
              <w:right w:w="80" w:type="dxa"/>
            </w:tcMar>
          </w:tcPr>
          <w:p w14:paraId="2F936D6E" w14:textId="77777777" w:rsidR="005E111D" w:rsidRDefault="00000000">
            <w:r>
              <w:rPr>
                <w:color w:val="495057"/>
                <w:sz w:val="19"/>
                <w:szCs w:val="19"/>
              </w:rPr>
              <w:t>Operational CRO rather than strategic governance. Not board-seated. No adversarial methodology.</w:t>
            </w:r>
          </w:p>
        </w:tc>
        <w:tc>
          <w:tcPr>
            <w:tcW w:w="3780" w:type="dxa"/>
            <w:tcBorders>
              <w:top w:val="single" w:sz="4" w:space="0" w:color="E8E8E8"/>
              <w:left w:val="single" w:sz="4" w:space="0" w:color="E8E8E8"/>
              <w:bottom w:val="single" w:sz="4" w:space="0" w:color="E8E8E8"/>
              <w:right w:val="single" w:sz="4" w:space="0" w:color="E8E8E8"/>
            </w:tcBorders>
            <w:shd w:val="clear" w:color="auto" w:fill="FFFFFF"/>
            <w:tcMar>
              <w:top w:w="90" w:type="dxa"/>
              <w:left w:w="120" w:type="dxa"/>
              <w:bottom w:w="90" w:type="dxa"/>
              <w:right w:w="80" w:type="dxa"/>
            </w:tcMar>
          </w:tcPr>
          <w:p w14:paraId="45D9F3BF" w14:textId="77777777" w:rsidR="005E111D" w:rsidRDefault="00000000">
            <w:r>
              <w:rPr>
                <w:color w:val="495057"/>
                <w:sz w:val="19"/>
                <w:szCs w:val="19"/>
              </w:rPr>
              <w:t xml:space="preserve">Strategic </w:t>
            </w:r>
            <w:proofErr w:type="spellStart"/>
            <w:r>
              <w:rPr>
                <w:color w:val="495057"/>
                <w:sz w:val="19"/>
                <w:szCs w:val="19"/>
              </w:rPr>
              <w:t>GaaS</w:t>
            </w:r>
            <w:proofErr w:type="spellEnd"/>
            <w:r>
              <w:rPr>
                <w:color w:val="495057"/>
                <w:sz w:val="19"/>
                <w:szCs w:val="19"/>
              </w:rPr>
              <w:t xml:space="preserve"> is board-level governance leadership, not operational CRO. The adversarial methodology distinguishes the intellectual approach from a fractional hire.</w:t>
            </w:r>
          </w:p>
        </w:tc>
      </w:tr>
    </w:tbl>
    <w:p w14:paraId="2D58B19E" w14:textId="77777777" w:rsidR="005E111D" w:rsidRDefault="005E111D">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111D" w14:paraId="5DCF2A01" w14:textId="77777777">
        <w:tblPrEx>
          <w:tblCellMar>
            <w:top w:w="0" w:type="dxa"/>
            <w:bottom w:w="0" w:type="dxa"/>
          </w:tblCellMar>
        </w:tblPrEx>
        <w:tc>
          <w:tcPr>
            <w:tcW w:w="9360" w:type="dxa"/>
            <w:tcBorders>
              <w:top w:val="single" w:sz="8" w:space="0" w:color="A98C5A"/>
              <w:left w:val="single" w:sz="8" w:space="0" w:color="A98C5A"/>
              <w:bottom w:val="single" w:sz="8" w:space="0" w:color="A98C5A"/>
              <w:right w:val="single" w:sz="8" w:space="0" w:color="A98C5A"/>
            </w:tcBorders>
            <w:shd w:val="clear" w:color="auto" w:fill="212529"/>
            <w:tcMar>
              <w:top w:w="440" w:type="dxa"/>
              <w:left w:w="480" w:type="dxa"/>
              <w:bottom w:w="440" w:type="dxa"/>
              <w:right w:w="480" w:type="dxa"/>
            </w:tcMar>
          </w:tcPr>
          <w:p w14:paraId="3EA2BAFD" w14:textId="77777777" w:rsidR="005E111D" w:rsidRDefault="00000000">
            <w:pPr>
              <w:jc w:val="center"/>
            </w:pPr>
            <w:r>
              <w:rPr>
                <w:rFonts w:ascii="Georgia" w:eastAsia="Georgia" w:hAnsi="Georgia" w:cs="Georgia"/>
                <w:b/>
                <w:bCs/>
                <w:color w:val="A98C5A"/>
                <w:sz w:val="32"/>
                <w:szCs w:val="32"/>
              </w:rPr>
              <w:t>Strategic Governance as a Service.  Adversarial by Design.</w:t>
            </w:r>
          </w:p>
          <w:p w14:paraId="03EC456B" w14:textId="77777777" w:rsidR="005E111D" w:rsidRDefault="005E111D">
            <w:pPr>
              <w:spacing w:before="100"/>
            </w:pPr>
          </w:p>
          <w:p w14:paraId="1A2FD49E" w14:textId="77777777" w:rsidR="005E111D" w:rsidRDefault="00000000">
            <w:pPr>
              <w:jc w:val="center"/>
            </w:pPr>
            <w:r>
              <w:rPr>
                <w:rFonts w:ascii="Georgia" w:eastAsia="Georgia" w:hAnsi="Georgia" w:cs="Georgia"/>
                <w:i/>
                <w:iCs/>
                <w:color w:val="CCCCCC"/>
                <w:sz w:val="24"/>
                <w:szCs w:val="24"/>
              </w:rPr>
              <w:t xml:space="preserve">"We simulate </w:t>
            </w:r>
            <w:proofErr w:type="gramStart"/>
            <w:r>
              <w:rPr>
                <w:rFonts w:ascii="Georgia" w:eastAsia="Georgia" w:hAnsi="Georgia" w:cs="Georgia"/>
                <w:i/>
                <w:iCs/>
                <w:color w:val="CCCCCC"/>
                <w:sz w:val="24"/>
                <w:szCs w:val="24"/>
              </w:rPr>
              <w:t>failure</w:t>
            </w:r>
            <w:proofErr w:type="gramEnd"/>
            <w:r>
              <w:rPr>
                <w:rFonts w:ascii="Georgia" w:eastAsia="Georgia" w:hAnsi="Georgia" w:cs="Georgia"/>
                <w:i/>
                <w:iCs/>
                <w:color w:val="CCCCCC"/>
                <w:sz w:val="24"/>
                <w:szCs w:val="24"/>
              </w:rPr>
              <w:t xml:space="preserve"> so leaders don't have to experience it."</w:t>
            </w:r>
          </w:p>
          <w:p w14:paraId="37FC7476" w14:textId="77777777" w:rsidR="005E111D" w:rsidRDefault="005E111D">
            <w:pPr>
              <w:spacing w:before="100"/>
            </w:pPr>
          </w:p>
          <w:p w14:paraId="6B0C9C25" w14:textId="77777777" w:rsidR="005E111D" w:rsidRDefault="00000000">
            <w:pPr>
              <w:jc w:val="center"/>
            </w:pPr>
            <w:r>
              <w:rPr>
                <w:color w:val="999999"/>
                <w:sz w:val="21"/>
                <w:szCs w:val="21"/>
              </w:rPr>
              <w:t>The strategic decision is made. The architecture is clear. Now build it consistently.</w:t>
            </w:r>
          </w:p>
        </w:tc>
      </w:tr>
    </w:tbl>
    <w:p w14:paraId="6F8B5E39" w14:textId="77777777" w:rsidR="005E111D" w:rsidRDefault="005E111D">
      <w:pPr>
        <w:spacing w:before="100"/>
      </w:pPr>
    </w:p>
    <w:p w14:paraId="50AAA632" w14:textId="77777777" w:rsidR="005E111D" w:rsidRDefault="00000000">
      <w:pPr>
        <w:jc w:val="center"/>
      </w:pPr>
      <w:r>
        <w:rPr>
          <w:color w:val="495057"/>
          <w:sz w:val="18"/>
          <w:szCs w:val="18"/>
        </w:rPr>
        <w:t xml:space="preserve">Marentis </w:t>
      </w:r>
      <w:proofErr w:type="gramStart"/>
      <w:r>
        <w:rPr>
          <w:color w:val="495057"/>
          <w:sz w:val="18"/>
          <w:szCs w:val="18"/>
        </w:rPr>
        <w:t>Labs  |</w:t>
      </w:r>
      <w:proofErr w:type="gramEnd"/>
      <w:r>
        <w:rPr>
          <w:color w:val="495057"/>
          <w:sz w:val="18"/>
          <w:szCs w:val="18"/>
        </w:rPr>
        <w:t xml:space="preserve">  Consolidated Brand </w:t>
      </w:r>
      <w:proofErr w:type="gramStart"/>
      <w:r>
        <w:rPr>
          <w:color w:val="495057"/>
          <w:sz w:val="18"/>
          <w:szCs w:val="18"/>
        </w:rPr>
        <w:t>Identity  |</w:t>
      </w:r>
      <w:proofErr w:type="gramEnd"/>
      <w:r>
        <w:rPr>
          <w:color w:val="495057"/>
          <w:sz w:val="18"/>
          <w:szCs w:val="18"/>
        </w:rPr>
        <w:t xml:space="preserve">  Strategic </w:t>
      </w:r>
      <w:proofErr w:type="spellStart"/>
      <w:r>
        <w:rPr>
          <w:color w:val="495057"/>
          <w:sz w:val="18"/>
          <w:szCs w:val="18"/>
        </w:rPr>
        <w:t>GaaS</w:t>
      </w:r>
      <w:proofErr w:type="spellEnd"/>
      <w:r>
        <w:rPr>
          <w:color w:val="495057"/>
          <w:sz w:val="18"/>
          <w:szCs w:val="18"/>
        </w:rPr>
        <w:t xml:space="preserve"> </w:t>
      </w:r>
      <w:proofErr w:type="gramStart"/>
      <w:r>
        <w:rPr>
          <w:color w:val="495057"/>
          <w:sz w:val="18"/>
          <w:szCs w:val="18"/>
        </w:rPr>
        <w:t>Edition  |</w:t>
      </w:r>
      <w:proofErr w:type="gramEnd"/>
      <w:r>
        <w:rPr>
          <w:color w:val="495057"/>
          <w:sz w:val="18"/>
          <w:szCs w:val="18"/>
        </w:rPr>
        <w:t xml:space="preserve">  March 2026</w:t>
      </w:r>
    </w:p>
    <w:sectPr w:rsidR="005E111D">
      <w:headerReference w:type="default" r:id="rId8"/>
      <w:footerReference w:type="default" r:id="rId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E5BFC" w14:textId="77777777" w:rsidR="00A15533" w:rsidRDefault="00A15533">
      <w:r>
        <w:separator/>
      </w:r>
    </w:p>
  </w:endnote>
  <w:endnote w:type="continuationSeparator" w:id="0">
    <w:p w14:paraId="784B2DFB" w14:textId="77777777" w:rsidR="00A15533" w:rsidRDefault="00A155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0"/>
      <w:gridCol w:w="4860"/>
    </w:tblGrid>
    <w:tr w:rsidR="005E111D" w14:paraId="6DA1FEC0" w14:textId="77777777">
      <w:tblPrEx>
        <w:tblCellMar>
          <w:top w:w="0" w:type="dxa"/>
          <w:bottom w:w="0" w:type="dxa"/>
        </w:tblCellMar>
      </w:tblPrEx>
      <w:tc>
        <w:tcPr>
          <w:tcW w:w="4860" w:type="dxa"/>
          <w:tcBorders>
            <w:top w:val="single" w:sz="4" w:space="0" w:color="A98C5A"/>
            <w:left w:val="none" w:sz="0" w:space="0" w:color="FFFFFF"/>
            <w:bottom w:val="none" w:sz="0" w:space="0" w:color="FFFFFF"/>
            <w:right w:val="none" w:sz="0" w:space="0" w:color="FFFFFF"/>
          </w:tcBorders>
          <w:tcMar>
            <w:top w:w="60" w:type="dxa"/>
            <w:left w:w="0" w:type="dxa"/>
            <w:bottom w:w="0" w:type="dxa"/>
            <w:right w:w="0" w:type="dxa"/>
          </w:tcMar>
        </w:tcPr>
        <w:p w14:paraId="1AC66443" w14:textId="77777777" w:rsidR="005E111D" w:rsidRDefault="00000000">
          <w:r>
            <w:rPr>
              <w:color w:val="495057"/>
              <w:sz w:val="16"/>
              <w:szCs w:val="16"/>
            </w:rPr>
            <w:t xml:space="preserve">Marentis </w:t>
          </w:r>
          <w:proofErr w:type="gramStart"/>
          <w:r>
            <w:rPr>
              <w:color w:val="495057"/>
              <w:sz w:val="16"/>
              <w:szCs w:val="16"/>
            </w:rPr>
            <w:t>Labs  |</w:t>
          </w:r>
          <w:proofErr w:type="gramEnd"/>
          <w:r>
            <w:rPr>
              <w:color w:val="495057"/>
              <w:sz w:val="16"/>
              <w:szCs w:val="16"/>
            </w:rPr>
            <w:t xml:space="preserve">  Strategic Governance as a Service</w:t>
          </w:r>
        </w:p>
      </w:tc>
      <w:tc>
        <w:tcPr>
          <w:tcW w:w="4860" w:type="dxa"/>
          <w:tcBorders>
            <w:top w:val="single" w:sz="4" w:space="0" w:color="A98C5A"/>
            <w:left w:val="none" w:sz="0" w:space="0" w:color="FFFFFF"/>
            <w:bottom w:val="none" w:sz="0" w:space="0" w:color="FFFFFF"/>
            <w:right w:val="none" w:sz="0" w:space="0" w:color="FFFFFF"/>
          </w:tcBorders>
          <w:tcMar>
            <w:top w:w="60" w:type="dxa"/>
            <w:left w:w="0" w:type="dxa"/>
            <w:bottom w:w="0" w:type="dxa"/>
            <w:right w:w="0" w:type="dxa"/>
          </w:tcMar>
        </w:tcPr>
        <w:p w14:paraId="48011C28" w14:textId="77777777" w:rsidR="005E111D" w:rsidRDefault="00000000">
          <w:pPr>
            <w:jc w:val="right"/>
          </w:pPr>
          <w:r>
            <w:rPr>
              <w:color w:val="495057"/>
              <w:sz w:val="16"/>
              <w:szCs w:val="16"/>
            </w:rPr>
            <w:fldChar w:fldCharType="begin"/>
          </w:r>
          <w:r>
            <w:rPr>
              <w:color w:val="495057"/>
              <w:sz w:val="16"/>
              <w:szCs w:val="16"/>
            </w:rPr>
            <w:instrText>PAGE</w:instrText>
          </w:r>
          <w:r>
            <w:rPr>
              <w:color w:val="495057"/>
              <w:sz w:val="16"/>
              <w:szCs w:val="16"/>
            </w:rPr>
            <w:fldChar w:fldCharType="separate"/>
          </w:r>
          <w:r w:rsidR="00BF5FE8">
            <w:rPr>
              <w:noProof/>
              <w:color w:val="495057"/>
              <w:sz w:val="16"/>
              <w:szCs w:val="16"/>
            </w:rPr>
            <w:t>1</w:t>
          </w:r>
          <w:r>
            <w:rPr>
              <w:color w:val="495057"/>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0D21F" w14:textId="77777777" w:rsidR="00A15533" w:rsidRDefault="00A15533">
      <w:r>
        <w:separator/>
      </w:r>
    </w:p>
  </w:footnote>
  <w:footnote w:type="continuationSeparator" w:id="0">
    <w:p w14:paraId="0F3325E0" w14:textId="77777777" w:rsidR="00A15533" w:rsidRDefault="00A155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320"/>
      <w:gridCol w:w="2200"/>
    </w:tblGrid>
    <w:tr w:rsidR="005E111D" w14:paraId="55761F0E" w14:textId="77777777">
      <w:tblPrEx>
        <w:tblCellMar>
          <w:top w:w="0" w:type="dxa"/>
          <w:bottom w:w="0" w:type="dxa"/>
        </w:tblCellMar>
      </w:tblPrEx>
      <w:tc>
        <w:tcPr>
          <w:tcW w:w="2200" w:type="dxa"/>
          <w:tcBorders>
            <w:top w:val="none" w:sz="0" w:space="0" w:color="FFFFFF"/>
            <w:left w:val="none" w:sz="0" w:space="0" w:color="FFFFFF"/>
            <w:bottom w:val="single" w:sz="4" w:space="0" w:color="A98C5A"/>
            <w:right w:val="none" w:sz="0" w:space="0" w:color="FFFFFF"/>
          </w:tcBorders>
          <w:tcMar>
            <w:top w:w="60" w:type="dxa"/>
            <w:left w:w="0" w:type="dxa"/>
            <w:bottom w:w="60" w:type="dxa"/>
            <w:right w:w="0" w:type="dxa"/>
          </w:tcMar>
        </w:tcPr>
        <w:p w14:paraId="0E6E560A" w14:textId="77777777" w:rsidR="005E111D" w:rsidRDefault="00000000">
          <w:r>
            <w:rPr>
              <w:noProof/>
            </w:rPr>
            <w:drawing>
              <wp:inline distT="0" distB="0" distL="0" distR="0" wp14:anchorId="24B5EA32" wp14:editId="1258C47B">
                <wp:extent cx="1142999" cy="285750"/>
                <wp:effectExtent l="0" t="0" r="635" b="0"/>
                <wp:docPr id="772392650" name="Picture 772392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92650" name="Picture 772392650"/>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42999" cy="285750"/>
                        </a:xfrm>
                        <a:prstGeom prst="rect">
                          <a:avLst/>
                        </a:prstGeom>
                      </pic:spPr>
                    </pic:pic>
                  </a:graphicData>
                </a:graphic>
              </wp:inline>
            </w:drawing>
          </w:r>
        </w:p>
      </w:tc>
      <w:tc>
        <w:tcPr>
          <w:tcW w:w="5320" w:type="dxa"/>
          <w:tcBorders>
            <w:top w:val="none" w:sz="0" w:space="0" w:color="FFFFFF"/>
            <w:left w:val="none" w:sz="0" w:space="0" w:color="FFFFFF"/>
            <w:bottom w:val="single" w:sz="4" w:space="0" w:color="A98C5A"/>
            <w:right w:val="none" w:sz="0" w:space="0" w:color="FFFFFF"/>
          </w:tcBorders>
          <w:tcMar>
            <w:top w:w="60" w:type="dxa"/>
            <w:left w:w="0" w:type="dxa"/>
            <w:bottom w:w="60" w:type="dxa"/>
            <w:right w:w="0" w:type="dxa"/>
          </w:tcMar>
        </w:tcPr>
        <w:p w14:paraId="39E78796" w14:textId="77777777" w:rsidR="005E111D" w:rsidRDefault="00000000">
          <w:pPr>
            <w:jc w:val="center"/>
          </w:pPr>
          <w:r>
            <w:rPr>
              <w:caps/>
              <w:color w:val="495057"/>
              <w:sz w:val="16"/>
              <w:szCs w:val="16"/>
            </w:rPr>
            <w:t xml:space="preserve">CONSOLIDATED BRAND </w:t>
          </w:r>
          <w:proofErr w:type="gramStart"/>
          <w:r>
            <w:rPr>
              <w:caps/>
              <w:color w:val="495057"/>
              <w:sz w:val="16"/>
              <w:szCs w:val="16"/>
            </w:rPr>
            <w:t>IDENTITY  |</w:t>
          </w:r>
          <w:proofErr w:type="gramEnd"/>
          <w:r>
            <w:rPr>
              <w:caps/>
              <w:color w:val="495057"/>
              <w:sz w:val="16"/>
              <w:szCs w:val="16"/>
            </w:rPr>
            <w:t xml:space="preserve">  STRATEGIC GOVERNANCE AS A SERVICE</w:t>
          </w:r>
        </w:p>
      </w:tc>
      <w:tc>
        <w:tcPr>
          <w:tcW w:w="2200" w:type="dxa"/>
          <w:tcBorders>
            <w:top w:val="none" w:sz="0" w:space="0" w:color="FFFFFF"/>
            <w:left w:val="none" w:sz="0" w:space="0" w:color="FFFFFF"/>
            <w:bottom w:val="single" w:sz="4" w:space="0" w:color="A98C5A"/>
            <w:right w:val="none" w:sz="0" w:space="0" w:color="FFFFFF"/>
          </w:tcBorders>
          <w:tcMar>
            <w:top w:w="60" w:type="dxa"/>
            <w:left w:w="0" w:type="dxa"/>
            <w:bottom w:w="60" w:type="dxa"/>
            <w:right w:w="0" w:type="dxa"/>
          </w:tcMar>
        </w:tcPr>
        <w:p w14:paraId="02496A0D" w14:textId="77777777" w:rsidR="005E111D" w:rsidRDefault="00000000">
          <w:pPr>
            <w:jc w:val="right"/>
          </w:pPr>
          <w:r>
            <w:rPr>
              <w:color w:val="495057"/>
              <w:sz w:val="16"/>
              <w:szCs w:val="16"/>
            </w:rPr>
            <w:t>Confidential | March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B0538A"/>
    <w:multiLevelType w:val="hybridMultilevel"/>
    <w:tmpl w:val="3CAA9E1A"/>
    <w:lvl w:ilvl="0" w:tplc="D2C6789A">
      <w:start w:val="1"/>
      <w:numFmt w:val="bullet"/>
      <w:lvlText w:val="•"/>
      <w:lvlJc w:val="left"/>
      <w:pPr>
        <w:ind w:left="720" w:hanging="360"/>
      </w:pPr>
    </w:lvl>
    <w:lvl w:ilvl="1" w:tplc="0F78AD34">
      <w:numFmt w:val="decimal"/>
      <w:lvlText w:val=""/>
      <w:lvlJc w:val="left"/>
    </w:lvl>
    <w:lvl w:ilvl="2" w:tplc="2F1E085E">
      <w:numFmt w:val="decimal"/>
      <w:lvlText w:val=""/>
      <w:lvlJc w:val="left"/>
    </w:lvl>
    <w:lvl w:ilvl="3" w:tplc="3B882AD8">
      <w:numFmt w:val="decimal"/>
      <w:lvlText w:val=""/>
      <w:lvlJc w:val="left"/>
    </w:lvl>
    <w:lvl w:ilvl="4" w:tplc="ED06BBCC">
      <w:numFmt w:val="decimal"/>
      <w:lvlText w:val=""/>
      <w:lvlJc w:val="left"/>
    </w:lvl>
    <w:lvl w:ilvl="5" w:tplc="0030A3B0">
      <w:numFmt w:val="decimal"/>
      <w:lvlText w:val=""/>
      <w:lvlJc w:val="left"/>
    </w:lvl>
    <w:lvl w:ilvl="6" w:tplc="2BF85884">
      <w:numFmt w:val="decimal"/>
      <w:lvlText w:val=""/>
      <w:lvlJc w:val="left"/>
    </w:lvl>
    <w:lvl w:ilvl="7" w:tplc="5CACBEE2">
      <w:numFmt w:val="decimal"/>
      <w:lvlText w:val=""/>
      <w:lvlJc w:val="left"/>
    </w:lvl>
    <w:lvl w:ilvl="8" w:tplc="64DA58EA">
      <w:numFmt w:val="decimal"/>
      <w:lvlText w:val=""/>
      <w:lvlJc w:val="left"/>
    </w:lvl>
  </w:abstractNum>
  <w:abstractNum w:abstractNumId="1" w15:restartNumberingAfterBreak="0">
    <w:nsid w:val="5E954787"/>
    <w:multiLevelType w:val="hybridMultilevel"/>
    <w:tmpl w:val="7732411A"/>
    <w:lvl w:ilvl="0" w:tplc="E054AC7E">
      <w:start w:val="1"/>
      <w:numFmt w:val="bullet"/>
      <w:lvlText w:val="●"/>
      <w:lvlJc w:val="left"/>
      <w:pPr>
        <w:ind w:left="720" w:hanging="360"/>
      </w:pPr>
    </w:lvl>
    <w:lvl w:ilvl="1" w:tplc="FAE60264">
      <w:start w:val="1"/>
      <w:numFmt w:val="bullet"/>
      <w:lvlText w:val="○"/>
      <w:lvlJc w:val="left"/>
      <w:pPr>
        <w:ind w:left="1440" w:hanging="360"/>
      </w:pPr>
    </w:lvl>
    <w:lvl w:ilvl="2" w:tplc="36F83830">
      <w:start w:val="1"/>
      <w:numFmt w:val="bullet"/>
      <w:lvlText w:val="■"/>
      <w:lvlJc w:val="left"/>
      <w:pPr>
        <w:ind w:left="2160" w:hanging="360"/>
      </w:pPr>
    </w:lvl>
    <w:lvl w:ilvl="3" w:tplc="12EC5E90">
      <w:start w:val="1"/>
      <w:numFmt w:val="bullet"/>
      <w:lvlText w:val="●"/>
      <w:lvlJc w:val="left"/>
      <w:pPr>
        <w:ind w:left="2880" w:hanging="360"/>
      </w:pPr>
    </w:lvl>
    <w:lvl w:ilvl="4" w:tplc="4A447B46">
      <w:start w:val="1"/>
      <w:numFmt w:val="bullet"/>
      <w:lvlText w:val="○"/>
      <w:lvlJc w:val="left"/>
      <w:pPr>
        <w:ind w:left="3600" w:hanging="360"/>
      </w:pPr>
    </w:lvl>
    <w:lvl w:ilvl="5" w:tplc="91EECB42">
      <w:start w:val="1"/>
      <w:numFmt w:val="bullet"/>
      <w:lvlText w:val="■"/>
      <w:lvlJc w:val="left"/>
      <w:pPr>
        <w:ind w:left="4320" w:hanging="360"/>
      </w:pPr>
    </w:lvl>
    <w:lvl w:ilvl="6" w:tplc="5980D95A">
      <w:start w:val="1"/>
      <w:numFmt w:val="bullet"/>
      <w:lvlText w:val="●"/>
      <w:lvlJc w:val="left"/>
      <w:pPr>
        <w:ind w:left="5040" w:hanging="360"/>
      </w:pPr>
    </w:lvl>
    <w:lvl w:ilvl="7" w:tplc="D38E7834">
      <w:start w:val="1"/>
      <w:numFmt w:val="bullet"/>
      <w:lvlText w:val="●"/>
      <w:lvlJc w:val="left"/>
      <w:pPr>
        <w:ind w:left="5760" w:hanging="360"/>
      </w:pPr>
    </w:lvl>
    <w:lvl w:ilvl="8" w:tplc="BFF23124">
      <w:start w:val="1"/>
      <w:numFmt w:val="bullet"/>
      <w:lvlText w:val="●"/>
      <w:lvlJc w:val="left"/>
      <w:pPr>
        <w:ind w:left="6480" w:hanging="360"/>
      </w:pPr>
    </w:lvl>
  </w:abstractNum>
  <w:num w:numId="1" w16cid:durableId="8833670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11D"/>
    <w:rsid w:val="00280EAA"/>
    <w:rsid w:val="004F07DC"/>
    <w:rsid w:val="005E111D"/>
    <w:rsid w:val="00A15533"/>
    <w:rsid w:val="00BF5F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68195"/>
  <w15:docId w15:val="{AFB6E17B-387B-41DE-9AB5-D3E73F9B8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300" w:after="100"/>
      <w:outlineLvl w:val="1"/>
    </w:pPr>
    <w:rPr>
      <w:rFonts w:ascii="Georgia" w:eastAsia="Georgia" w:hAnsi="Georgia" w:cs="Georgia"/>
      <w:b/>
      <w:bCs/>
      <w:color w:val="212529"/>
      <w:sz w:val="26"/>
      <w:szCs w:val="26"/>
    </w:rPr>
  </w:style>
  <w:style w:type="paragraph" w:styleId="Heading3">
    <w:name w:val="heading 3"/>
    <w:uiPriority w:val="9"/>
    <w:semiHidden/>
    <w:unhideWhenUsed/>
    <w:qFormat/>
    <w:pPr>
      <w:spacing w:before="220" w:after="80"/>
      <w:outlineLvl w:val="2"/>
    </w:pPr>
    <w:rPr>
      <w:rFonts w:ascii="Georgia" w:eastAsia="Georgia" w:hAnsi="Georgia" w:cs="Georgia"/>
      <w:b/>
      <w:bCs/>
      <w:color w:val="4A657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80EAA"/>
    <w:pPr>
      <w:tabs>
        <w:tab w:val="center" w:pos="4513"/>
        <w:tab w:val="right" w:pos="9026"/>
      </w:tabs>
    </w:pPr>
  </w:style>
  <w:style w:type="character" w:customStyle="1" w:styleId="HeaderChar">
    <w:name w:val="Header Char"/>
    <w:basedOn w:val="DefaultParagraphFont"/>
    <w:link w:val="Header"/>
    <w:uiPriority w:val="99"/>
    <w:rsid w:val="00280EAA"/>
  </w:style>
  <w:style w:type="paragraph" w:styleId="Footer">
    <w:name w:val="footer"/>
    <w:basedOn w:val="Normal"/>
    <w:link w:val="FooterChar"/>
    <w:uiPriority w:val="99"/>
    <w:unhideWhenUsed/>
    <w:rsid w:val="00280EAA"/>
    <w:pPr>
      <w:tabs>
        <w:tab w:val="center" w:pos="4513"/>
        <w:tab w:val="right" w:pos="9026"/>
      </w:tabs>
    </w:pPr>
  </w:style>
  <w:style w:type="character" w:customStyle="1" w:styleId="FooterChar">
    <w:name w:val="Footer Char"/>
    <w:basedOn w:val="DefaultParagraphFont"/>
    <w:link w:val="Footer"/>
    <w:uiPriority w:val="99"/>
    <w:rsid w:val="00280E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539</TotalTime>
  <Pages>20</Pages>
  <Words>5113</Words>
  <Characters>25417</Characters>
  <Application>Microsoft Office Word</Application>
  <DocSecurity>0</DocSecurity>
  <Lines>1016</Lines>
  <Paragraphs>825</Paragraphs>
  <ScaleCrop>false</ScaleCrop>
  <Company/>
  <LinksUpToDate>false</LinksUpToDate>
  <CharactersWithSpaces>29705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Owen Vallis</cp:lastModifiedBy>
  <cp:revision>2</cp:revision>
  <dcterms:created xsi:type="dcterms:W3CDTF">2026-03-23T21:42:00Z</dcterms:created>
  <dcterms:modified xsi:type="dcterms:W3CDTF">2026-03-24T21:08:00Z</dcterms:modified>
</cp:coreProperties>
</file>