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Technical Documentation</w:t>
      </w:r>
    </w:p>
    <w:p>
      <w:pPr>
        <w:spacing w:after="240" w:before="0"/>
      </w:pPr>
      <w:r>
        <w:rPr>
          <w:color w:val="5B5F6B"/>
          <w:sz w:val="22"/>
          <w:szCs w:val="22"/>
        </w:rPr>
        <w:t xml:space="preserve">Annex IV — EU AI Act · Consumer Credit Scoring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EFEA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t>SAMPLE DOCUMENT</w:t>
            </w:r>
          </w:p>
          <w:p>
            <w:pPr>
              <w:spacing w:before="80"/>
            </w:pPr>
            <w:r>
              <w:t>Generated from the official UCI German Credit / Statlog dataset (1,000 records) by the repository's reproducible six-stage fairness pipeline. Exploratory sample documentation; not a regulatory filing or conformity assessment for a production system.</w:t>
            </w:r>
          </w:p>
        </w:tc>
      </w:tr>
    </w:tbl>
    <w:p>
      <w:pPr>
        <w:pStyle w:val="Heading2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9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Consumer Credit Scoring Model — Fair AI Observatory pipeline</w:t>
            </w:r>
          </w:p>
        </w:tc>
      </w:tr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Dataset</w:t>
            </w:r>
          </w:p>
        </w:tc>
        <w:tc>
          <w:tcPr>
            <w:tcW w:type="dxa" w:w="69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UCI Statlog German Credit (official dataset, 1,000 records, 21 columns)</w:t>
            </w:r>
          </w:p>
        </w:tc>
      </w:tr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Risk classification</w:t>
            </w:r>
          </w:p>
        </w:tc>
        <w:tc>
          <w:tcPr>
            <w:tcW w:type="dxa" w:w="69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EU AI Act Annex III — High-Risk (credit scoring)</w:t>
            </w:r>
          </w:p>
        </w:tc>
      </w:tr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Pipeline run</w:t>
            </w:r>
          </w:p>
        </w:tc>
        <w:tc>
          <w:tcPr>
            <w:tcW w:type="dxa" w:w="69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Run #1</w:t>
            </w:r>
          </w:p>
        </w:tc>
      </w:tr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9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14 July 2026</w:t>
            </w:r>
          </w:p>
        </w:tc>
      </w:tr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9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Pending DPO review</w:t>
            </w:r>
          </w:p>
        </w:tc>
      </w:tr>
    </w:tbl>
    <w:p>
      <w:pPr>
        <w:pStyle w:val="Heading2"/>
      </w:pPr>
      <w:r>
        <w:t xml:space="preserve">Scope of This Document</w:t>
      </w:r>
    </w:p>
    <w:p>
      <w:pPr>
        <w:spacing w:after="120" w:before="0"/>
      </w:pPr>
      <w:r>
        <w:rPr>
          <w:color w:val="1F2430"/>
          <w:sz w:val="22"/>
          <w:szCs w:val="22"/>
        </w:rPr>
        <w:t xml:space="preserve">This document covers the following obligations to the depth indicated. It is written to be precise about boundaries rather than implying broader coverage than what was built: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47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Art. 9 — Risk management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Risk classification and point-in-time mitigation are documented (Section 4). Continuous/ongoing monitoring infrastructure is not yet built.</w:t>
            </w:r>
          </w:p>
        </w:tc>
      </w:tr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Art. 10 — Data governance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Partial</w:t>
            </w:r>
          </w:p>
        </w:tc>
        <w:tc>
          <w:tcPr>
            <w:tcW w:type="dxa" w:w="47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Point-in-time data preparation and bias examination are executable and documented (Section 5). Production data-governance lifecycle controls are not implemented.</w:t>
            </w:r>
          </w:p>
        </w:tc>
      </w:tr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Art. 12 — Record-keeping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Policy-level</w:t>
            </w:r>
          </w:p>
        </w:tc>
        <w:tc>
          <w:tcPr>
            <w:tcW w:type="dxa" w:w="47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Logging policy documented (Section 7). Automated retention enforcement is not yet built.</w:t>
            </w:r>
          </w:p>
        </w:tc>
      </w:tr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Art. 13 — Transparency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Separate document</w:t>
            </w:r>
          </w:p>
        </w:tc>
        <w:tc>
          <w:tcPr>
            <w:tcW w:type="dxa" w:w="47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See the companion Instructions for Use document — written for deployers, not included here.</w:t>
            </w:r>
          </w:p>
        </w:tc>
      </w:tr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Art. 14 — Human oversight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Sign-off mechanism documented (Section 8). Override/stop infrastructure is not yet built.</w:t>
            </w:r>
          </w:p>
        </w:tc>
      </w:tr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Art. 15 — Robustness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Partial</w:t>
            </w:r>
          </w:p>
        </w:tc>
        <w:tc>
          <w:tcPr>
            <w:tcW w:type="dxa" w:w="47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Four robustness checks are executable (Section 6); one fails. Cybersecurity coverage remains policy-level.</w:t>
            </w:r>
          </w:p>
        </w:tc>
      </w:tr>
    </w:tbl>
    <w:p>
      <w:pPr>
        <w:pStyle w:val="Heading1"/>
      </w:pPr>
      <w:r>
        <w:t xml:space="preserve">1. General Description</w:t>
      </w:r>
    </w:p>
    <w:p>
      <w:pPr>
        <w:spacing w:after="120" w:before="0"/>
      </w:pPr>
      <w:r>
        <w:rPr>
          <w:color w:val="1F2430"/>
          <w:sz w:val="22"/>
          <w:szCs w:val="22"/>
        </w:rPr>
        <w:t xml:space="preserve">Intended purpose: approve or deny consumer credit applications based on applicant financial and demographic data, supporting (not replacing) a human lending decision.</w:t>
      </w:r>
    </w:p>
    <w:p>
      <w:pPr>
        <w:spacing w:after="120" w:before="0"/>
      </w:pPr>
      <w:r>
        <w:rPr>
          <w:color w:val="1F2430"/>
          <w:sz w:val="22"/>
          <w:szCs w:val="22"/>
        </w:rPr>
        <w:t xml:space="preserve">Classification: EU AI Act Annex III, high-risk — the system makes individual creditworthiness determinations affecting access to financial services.</w:t>
      </w:r>
    </w:p>
    <w:p>
      <w:pPr>
        <w:spacing w:after="120" w:before="0"/>
      </w:pPr>
      <w:r>
        <w:rPr>
          <w:color w:val="1F2430"/>
          <w:sz w:val="22"/>
          <w:szCs w:val="22"/>
        </w:rPr>
        <w:t xml:space="preserve">Model type: gradient-boosted decision tree (XGBoost classifier), trained on tabular applicant data. Outputs a binary approve/deny decision derived from a predicted probability of good credit risk.</w:t>
      </w:r>
    </w:p>
    <w:p>
      <w:pPr>
        <w:spacing w:after="120" w:before="0"/>
      </w:pPr>
      <w:r>
        <w:rPr>
          <w:color w:val="1F2430"/>
          <w:sz w:val="22"/>
          <w:szCs w:val="22"/>
        </w:rPr>
        <w:t>Version: Run #1 of the Fair AI Observatory pipeline, dated 14 July 2026.</w:t>
      </w:r>
    </w:p>
    <w:p>
      <w:pPr>
        <w:pStyle w:val="Heading2"/>
      </w:pPr>
      <w:r>
        <w:t xml:space="preserve">2. Design Choices</w:t>
      </w:r>
    </w:p>
    <w:p>
      <w:pPr>
        <w:spacing w:after="120" w:before="0"/>
      </w:pPr>
      <w:r>
        <w:rPr>
          <w:color w:val="1F2430"/>
          <w:sz w:val="22"/>
          <w:szCs w:val="22"/>
        </w:rPr>
        <w:t xml:space="preserve">Target variable: credit_risk (binary: good/bad), the standard label in the underlying dataset. Treating this as a binary classification problem was a deliberate simplification — a real deployment would likely use a continuous risk score reviewed by a human underwriter rather than an automated binary cutoff.</w:t>
      </w:r>
    </w:p>
    <w:p>
      <w:pPr>
        <w:spacing w:after="120" w:before="0"/>
      </w:pPr>
      <w:r>
        <w:rPr>
          <w:color w:val="1F2430"/>
          <w:sz w:val="22"/>
          <w:szCs w:val="22"/>
        </w:rPr>
        <w:t xml:space="preserve">Model family: XGBoost was chosen for its native handling of mixed numeric/categorical tabular data and compatibility with Fairlearn's post-processing mitigation tools, over alternatives like logistic regression (more interpretable, less expressive) or deep tabular models (more expressive, harder to audit).</w:t>
      </w:r>
    </w:p>
    <w:p>
      <w:pPr>
        <w:pStyle w:val="Heading2"/>
      </w:pPr>
      <w:r>
        <w:t xml:space="preserve">3. Data Collection &amp; Preparation</w:t>
      </w:r>
    </w:p>
    <w:p>
      <w:pPr>
        <w:spacing w:after="120" w:before="0"/>
      </w:pPr>
      <w:r>
        <w:rPr>
          <w:color w:val="1F2430"/>
          <w:sz w:val="22"/>
          <w:szCs w:val="22"/>
        </w:rPr>
        <w:t>Origin: official UCI Statlog (German Credit) dataset, DOI 10.24432/C5NC77, licensed CC BY 4.0. The downloader verifies the expected archive checksum and the 1,000 × 21 raw shape before use.</w:t>
      </w:r>
    </w:p>
    <w:p>
      <w:pPr>
        <w:spacing w:after="120" w:before="0"/>
      </w:pPr>
      <w:r>
        <w:rPr>
          <w:color w:val="1F2430"/>
          <w:sz w:val="22"/>
          <w:szCs w:val="22"/>
        </w:rPr>
        <w:t>Preparation pipeline: raw-shape and value validation → decomposition of personal_status_and_sex → protected-feature exclusion → categorical encoding fitted on training data → stratified 70/30 split → XGBoost training. See Section 5.2 for validation results.</w:t>
      </w:r>
    </w:p>
    <w:p>
      <w:pPr>
        <w:spacing w:after="120" w:before="0"/>
      </w:pPr>
      <w:r>
        <w:rPr>
          <w:color w:val="1F2430"/>
          <w:sz w:val="22"/>
          <w:szCs w:val="22"/>
        </w:rPr>
        <w:t xml:space="preserve">Assumptions: the target label reflects historical lending outcomes, which may themselves encode historical bias — this is a known limitation of any supervised model trained on past decisions, not specific to this pipeline.</w:t>
      </w:r>
    </w:p>
    <w:p>
      <w:pPr>
        <w:spacing w:after="120" w:before="0"/>
      </w:pPr>
      <w:r>
        <w:rPr>
          <w:color w:val="1F2430"/>
          <w:sz w:val="22"/>
          <w:szCs w:val="22"/>
        </w:rPr>
        <w:t xml:space="preserve">Data sufficiency: 1,000 records total. Adequate for the top-level metrics in Section 5, but several intersectional subgroups fall below the minimum-n=30 policy (Section 5.4) — those cells are excluded rather than reported on insufficient data.</w:t>
      </w:r>
      <w:r>
        <w:t xml:space="preserve"> The foreign_worker A202 group contains 24 training and 13 test rows; its disparity and mitigation results are unstable exploratory signals.</w:t>
      </w:r>
    </w:p>
    <w:p>
      <w:pPr>
        <w:spacing w:after="120" w:before="0"/>
      </w:pPr>
      <w:r>
        <w:rPr>
          <w:i/>
          <w:iCs/>
          <w:color w:val="5B5F6B"/>
          <w:sz w:val="22"/>
          <w:szCs w:val="22"/>
        </w:rPr>
        <w:t xml:space="preserve">Known data gaps: no income-verification field, no geographic/regional indicator, no repeat-applicant history. A production system would need all three to meet the 'availability, quantity, and suitability' standard in Article 10(2)(e).</w:t>
      </w:r>
    </w:p>
    <w:p>
      <w:pPr>
        <w:pStyle w:val="Heading1"/>
      </w:pPr>
      <w:r>
        <w:t xml:space="preserve">4. Risk Management (Article 9)</w:t>
      </w:r>
    </w:p>
    <w:p>
      <w:pPr>
        <w:spacing w:after="120" w:before="0"/>
      </w:pPr>
      <w:r>
        <w:rPr>
          <w:color w:val="1F2430"/>
          <w:sz w:val="22"/>
          <w:szCs w:val="22"/>
        </w:rPr>
        <w:t xml:space="preserve">Risk identification: two risk categories were identified through this pipeline — disparate treatment risk (Section 5) and decision-instability risk (Section 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Applied</w:t>
            </w:r>
          </w:p>
        </w:tc>
      </w:tr>
      <w:tr>
        <w:tc>
          <w:tcPr>
            <w:tcW w:type="dxa" w:w="3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Disparate impact for foreign_worker proxy groups</w:t>
            </w:r>
          </w:p>
        </w:tc>
        <w:tc>
          <w:tcPr>
            <w:tcW w:type="dxa" w:w="6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Fairlearn ThresholdOptimizer applied; improvement was incomplete. See Section 5.3.</w:t>
            </w:r>
          </w:p>
        </w:tc>
      </w:tr>
      <w:tr>
        <w:tc>
          <w:tcPr>
            <w:tcW w:type="dxa" w:w="3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Decision instability near the approval boundary</w:t>
            </w:r>
          </w:p>
        </w:tc>
        <w:tc>
          <w:tcPr>
            <w:tcW w:type="dxa" w:w="6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Identified via Section 6.2; flagged for model review, no automated mitigation applied yet.</w:t>
            </w:r>
          </w:p>
        </w:tc>
      </w:tr>
    </w:tbl>
    <w:p>
      <w:pPr>
        <w:spacing w:after="120" w:before="120"/>
      </w:pPr>
      <w:r>
        <w:rPr>
          <w:i/>
          <w:iCs/>
          <w:color w:val="5B5F6B"/>
          <w:sz w:val="22"/>
          <w:szCs w:val="22"/>
        </w:rPr>
        <w:t xml:space="preserve">Continuous monitoring: this report reflects a single pipeline run (Run #1). Ongoing risk management — re-running this battery on a schedule or on data-drift triggers — is part of the project roadmap but not yet implemented.</w:t>
      </w:r>
    </w:p>
    <w:p>
      <w:pPr>
        <w:pStyle w:val="Heading1"/>
      </w:pPr>
      <w:r>
        <w:t xml:space="preserve">5. Data Governance &amp; Bias Examination (Article 10)</w:t>
      </w:r>
    </w:p>
    <w:p>
      <w:pPr>
        <w:pStyle w:val="Heading2"/>
      </w:pPr>
      <w:r>
        <w:t xml:space="preserve">5.1 Protected Attributes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gender</w:t>
            </w:r>
          </w:p>
        </w:tc>
        <w:tc>
          <w:tcPr>
            <w:tcW w:type="dxa" w:w="4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Decomposed from compound field personal_status_and_sex</w:t>
            </w:r>
          </w:p>
        </w:tc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marital_status</w:t>
            </w:r>
          </w:p>
        </w:tc>
        <w:tc>
          <w:tcPr>
            <w:tcW w:type="dxa" w:w="4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Decomposed from compound field personal_status_and_sex</w:t>
            </w:r>
          </w:p>
        </w:tc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age</w:t>
            </w:r>
          </w:p>
        </w:tc>
        <w:tc>
          <w:tcPr>
            <w:tcW w:type="dxa" w:w="4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Numeric column, value range 19–75</w:t>
            </w:r>
          </w:p>
        </w:tc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foreign_worker</w:t>
            </w:r>
          </w:p>
        </w:tc>
        <w:tc>
          <w:tcPr>
            <w:tcW w:type="dxa" w:w="4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Statistical association with nationality (proxy)</w:t>
            </w:r>
          </w:p>
        </w:tc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</w:pPr>
      <w:r>
        <w:t>5.2 Data Quality Validation (Executable Ingestion)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160"/>
        <w:gridCol w:w="1800"/>
      </w:tblGrid>
      <w:tr>
        <w:trPr>
          <w:tblHeader/>
        </w:trPr>
        <w:tc>
          <w:tcPr>
            <w:tcW w:type="dxa" w:w="4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Schema match</w:t>
            </w:r>
          </w:p>
        </w:tc>
        <w:tc>
          <w:tcPr>
            <w:tcW w:type="dxa" w:w="3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21/21 expected columns present</w:t>
            </w:r>
          </w:p>
        </w:tc>
        <w:tc>
          <w:tcPr>
            <w:tcW w:type="dxa" w:w="18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E7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F7D5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Null check — target</w:t>
            </w:r>
          </w:p>
        </w:tc>
        <w:tc>
          <w:tcPr>
            <w:tcW w:type="dxa" w:w="3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credit_risk: 0 nulls</w:t>
            </w:r>
          </w:p>
        </w:tc>
        <w:tc>
          <w:tcPr>
            <w:tcW w:type="dxa" w:w="18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E7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F7D5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Range check — age</w:t>
            </w:r>
          </w:p>
        </w:tc>
        <w:tc>
          <w:tcPr>
            <w:tcW w:type="dxa" w:w="3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19–75, within expected bounds</w:t>
            </w:r>
          </w:p>
        </w:tc>
        <w:tc>
          <w:tcPr>
            <w:tcW w:type="dxa" w:w="18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E7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F7D5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3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0 found</w:t>
            </w:r>
          </w:p>
        </w:tc>
        <w:tc>
          <w:tcPr>
            <w:tcW w:type="dxa" w:w="18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E7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F7D5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Value set — personal_status_and_sex</w:t>
            </w:r>
          </w:p>
        </w:tc>
        <w:tc>
          <w:tcPr>
            <w:tcW w:type="dxa" w:w="3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4 observed official codes</w:t>
            </w:r>
          </w:p>
        </w:tc>
        <w:tc>
          <w:tcPr>
            <w:tcW w:type="dxa" w:w="18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E7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F7D5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Out-of-distribution signal</w:t>
            </w:r>
          </w:p>
        </w:tc>
        <w:tc>
          <w:tcPr>
            <w:tcW w:type="dxa" w:w="3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11/300 test rows beyond z=3</w:t>
            </w:r>
          </w:p>
        </w:tc>
        <w:tc>
          <w:tcPr>
            <w:tcW w:type="dxa" w:w="18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INFO</w:t>
            </w:r>
          </w:p>
        </w:tc>
      </w:tr>
    </w:tbl>
    <w:p>
      <w:pPr>
        <w:pStyle w:val="Heading2"/>
      </w:pPr>
      <w:r>
        <w:t xml:space="preserve">5.3 Bias Testing Results</w:t>
      </w:r>
    </w:p>
    <w:p>
      <w:pPr>
        <w:spacing w:after="120" w:before="0"/>
      </w:pPr>
      <w:r>
        <w:rPr>
          <w:color w:val="1F2430"/>
          <w:sz w:val="22"/>
          <w:szCs w:val="22"/>
        </w:rPr>
        <w:t xml:space="preserve">Metrics, thresholds, and basis: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3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Disparate Impact Ratio</w:t>
            </w:r>
          </w:p>
        </w:tc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≥ 0.80</w:t>
            </w:r>
          </w:p>
        </w:tc>
        <w:tc>
          <w:tcPr>
            <w:tcW w:type="dxa" w:w="3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Diagnostic default — not a legal bright line</w:t>
            </w:r>
          </w:p>
        </w:tc>
      </w:tr>
      <w:tr>
        <w:tc>
          <w:tcPr>
            <w:tcW w:type="dxa" w:w="3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Statistical Parity Difference</w:t>
            </w:r>
          </w:p>
        </w:tc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≤ 0.10</w:t>
            </w:r>
          </w:p>
        </w:tc>
        <w:tc>
          <w:tcPr>
            <w:tcW w:type="dxa" w:w="3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Diagnostic default — not a legal bright line</w:t>
            </w:r>
          </w:p>
        </w:tc>
      </w:tr>
      <w:tr>
        <w:tc>
          <w:tcPr>
            <w:tcW w:type="dxa" w:w="3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Intersectional Analysis</w:t>
            </w:r>
          </w:p>
        </w:tc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min n = 30 per cell</w:t>
            </w:r>
          </w:p>
        </w:tc>
        <w:tc>
          <w:tcPr>
            <w:tcW w:type="dxa" w:w="3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Internal data-sufficiency policy</w:t>
            </w:r>
          </w:p>
        </w:tc>
      </w:tr>
    </w:tbl>
    <w:p>
      <w:pPr>
        <w:spacing w:after="120" w:before="160"/>
      </w:pPr>
      <w:r>
        <w:rPr>
          <w:b/>
          <w:bCs/>
          <w:color w:val="1F2430"/>
          <w:sz w:val="22"/>
          <w:szCs w:val="22"/>
        </w:rPr>
        <w:t xml:space="preserve">Pre-mitigation: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000"/>
        <w:gridCol w:w="1960"/>
      </w:tblGrid>
      <w:tr>
        <w:trPr>
          <w:tblHeader/>
        </w:trPr>
        <w:tc>
          <w:tcPr>
            <w:tcW w:type="dxa" w:w="3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9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Disparate Impact Ratio</w:t>
            </w:r>
          </w:p>
        </w:tc>
        <w:tc>
          <w:tcPr>
            <w:tcW w:type="dxa" w:w="2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0.7944</w:t>
            </w:r>
          </w:p>
        </w:tc>
        <w:tc>
          <w:tcPr>
            <w:tcW w:type="dxa" w:w="2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0.80</w:t>
            </w:r>
          </w:p>
        </w:tc>
        <w:tc>
          <w:tcPr>
            <w:tcW w:type="dxa" w:w="19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F6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23B2E"/>
                <w:sz w:val="20"/>
                <w:szCs w:val="20"/>
              </w:rPr>
              <w:t>FAIL</w:t>
            </w:r>
          </w:p>
        </w:tc>
      </w:tr>
      <w:tr>
        <w:tc>
          <w:tcPr>
            <w:tcW w:type="dxa" w:w="3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Statistical Parity Difference</w:t>
            </w:r>
          </w:p>
        </w:tc>
        <w:tc>
          <w:tcPr>
            <w:tcW w:type="dxa" w:w="2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0.2056</w:t>
            </w:r>
          </w:p>
        </w:tc>
        <w:tc>
          <w:tcPr>
            <w:tcW w:type="dxa" w:w="2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0.10</w:t>
            </w:r>
          </w:p>
        </w:tc>
        <w:tc>
          <w:tcPr>
            <w:tcW w:type="dxa" w:w="19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F6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23B2E"/>
                <w:sz w:val="20"/>
                <w:szCs w:val="20"/>
              </w:rPr>
              <w:t>FAIL</w:t>
            </w:r>
          </w:p>
        </w:tc>
      </w:tr>
    </w:tbl>
    <w:p>
      <w:pPr>
        <w:spacing w:after="120" w:before="80"/>
      </w:pPr>
      <w:r>
        <w:rPr>
          <w:color w:val="5B5F6B"/>
          <w:sz w:val="22"/>
          <w:szCs w:val="22"/>
        </w:rPr>
        <w:t>Gender check passed independently: male approval rate 80.39% (n=204); female approval rate 80.21% (n=96), DIR=0.9977 and SPD=0.0018. The failed pre-mitigation check concerned foreign_worker proxy groups.</w:t>
      </w:r>
    </w:p>
    <w:p>
      <w:pPr>
        <w:spacing w:after="120" w:before="160"/>
      </w:pPr>
      <w:r>
        <w:rPr>
          <w:b/>
          <w:bCs/>
          <w:color w:val="1F2430"/>
          <w:sz w:val="22"/>
          <w:szCs w:val="22"/>
        </w:rPr>
        <w:t>Post-mitigation (Fairlearn ThresholdOptimizer, targeted at the largest failed disparate-impact check):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000"/>
        <w:gridCol w:w="1960"/>
      </w:tblGrid>
      <w:tr>
        <w:trPr>
          <w:tblHeader/>
        </w:trPr>
        <w:tc>
          <w:tcPr>
            <w:tcW w:type="dxa" w:w="3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9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Disparate Impact Ratio</w:t>
            </w:r>
          </w:p>
        </w:tc>
        <w:tc>
          <w:tcPr>
            <w:tcW w:type="dxa" w:w="2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0.8342</w:t>
            </w:r>
          </w:p>
        </w:tc>
        <w:tc>
          <w:tcPr>
            <w:tcW w:type="dxa" w:w="2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0.80</w:t>
            </w:r>
          </w:p>
        </w:tc>
        <w:tc>
          <w:tcPr>
            <w:tcW w:type="dxa" w:w="19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E7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F7D5C"/>
                <w:sz w:val="20"/>
                <w:szCs w:val="20"/>
              </w:rPr>
              <w:t>PASS</w:t>
            </w:r>
          </w:p>
        </w:tc>
      </w:tr>
      <w:tr>
        <w:tc>
          <w:tcPr>
            <w:tcW w:type="dxa" w:w="3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Statistical Parity Difference</w:t>
            </w:r>
          </w:p>
        </w:tc>
        <w:tc>
          <w:tcPr>
            <w:tcW w:type="dxa" w:w="2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0.1530</w:t>
            </w:r>
          </w:p>
        </w:tc>
        <w:tc>
          <w:tcPr>
            <w:tcW w:type="dxa" w:w="2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0.10</w:t>
            </w:r>
          </w:p>
        </w:tc>
        <w:tc>
          <w:tcPr>
            <w:tcW w:type="dxa" w:w="19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E7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F7D5C"/>
                <w:sz w:val="20"/>
                <w:szCs w:val="20"/>
              </w:rPr>
              <w:t>FAIL</w:t>
            </w:r>
          </w:p>
        </w:tc>
      </w:tr>
    </w:tbl>
    <w:p>
      <w:pPr>
        <w:spacing w:after="120" w:before="160"/>
      </w:pPr>
      <w:r>
        <w:rPr>
          <w:b/>
          <w:bCs/>
          <w:color w:val="1F2430"/>
          <w:sz w:val="22"/>
          <w:szCs w:val="22"/>
        </w:rPr>
        <w:t xml:space="preserve">Performance cost of mitigation, disclosed rather than omitted: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200"/>
        <w:gridCol w:w="1560"/>
      </w:tblGrid>
      <w:tr>
        <w:trPr>
          <w:tblHeader/>
        </w:trPr>
        <w:tc>
          <w:tcPr>
            <w:tcW w:type="dxa" w:w="3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Pre-Mitigation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Post-Mitigation</w:t>
            </w:r>
          </w:p>
        </w:tc>
        <w:tc>
          <w:tcPr>
            <w:tcW w:type="dxa" w:w="1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3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Accuracy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73.67%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72.33%</w:t>
            </w:r>
          </w:p>
        </w:tc>
        <w:tc>
          <w:tcPr>
            <w:tcW w:type="dxa" w:w="1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−1.34 pts</w:t>
            </w:r>
          </w:p>
        </w:tc>
      </w:tr>
      <w:tr>
        <w:tc>
          <w:tcPr>
            <w:tcW w:type="dxa" w:w="3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AUC-ROC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0.7493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Not reported</w:t>
            </w:r>
          </w:p>
        </w:tc>
        <w:tc>
          <w:tcPr>
            <w:tcW w:type="dxa" w:w="1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Not comparable</w:t>
            </w:r>
          </w:p>
        </w:tc>
      </w:tr>
      <w:tr>
        <w:tc>
          <w:tcPr>
            <w:tcW w:type="dxa" w:w="3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Precision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0.7718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0.7725</w:t>
            </w:r>
          </w:p>
        </w:tc>
        <w:tc>
          <w:tcPr>
            <w:tcW w:type="dxa" w:w="1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+0.0007</w:t>
            </w:r>
          </w:p>
        </w:tc>
      </w:tr>
      <w:tr>
        <w:tc>
          <w:tcPr>
            <w:tcW w:type="dxa" w:w="3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Recall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0.8857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0.8571</w:t>
            </w:r>
          </w:p>
        </w:tc>
        <w:tc>
          <w:tcPr>
            <w:tcW w:type="dxa" w:w="1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−0.0286</w:t>
            </w:r>
          </w:p>
        </w:tc>
      </w:tr>
    </w:tbl>
    <w:p>
      <w:pPr>
        <w:pStyle w:val="Heading2"/>
      </w:pPr>
      <w:r>
        <w:t>5.4 Intersectional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2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Subgroup</w:t>
            </w:r>
          </w:p>
        </w:tc>
        <w:tc>
          <w:tcPr>
            <w:tcW w:type="dxa" w:w="16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Approval Rate</w:t>
            </w:r>
          </w:p>
        </w:tc>
        <w:tc>
          <w:tcPr>
            <w:tcW w:type="dxa" w:w="2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Female · 18–25</w:t>
            </w:r>
          </w:p>
        </w:tc>
        <w:tc>
          <w:tcPr>
            <w:tcW w:type="dxa" w:w="16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>38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>76.32%</w:t>
            </w:r>
          </w:p>
        </w:tc>
        <w:tc>
          <w:tcPr>
            <w:tcW w:type="dxa" w:w="2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Female · 26–35</w:t>
            </w:r>
          </w:p>
        </w:tc>
        <w:tc>
          <w:tcPr>
            <w:tcW w:type="dxa" w:w="16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>30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>83.33%</w:t>
            </w:r>
          </w:p>
        </w:tc>
        <w:tc>
          <w:tcPr>
            <w:tcW w:type="dxa" w:w="2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Female · 36–50</w:t>
            </w:r>
          </w:p>
        </w:tc>
        <w:tc>
          <w:tcPr>
            <w:tcW w:type="dxa" w:w="16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>12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>—</w:t>
            </w:r>
          </w:p>
        </w:tc>
        <w:tc>
          <w:tcPr>
            <w:tcW w:type="dxa" w:w="2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23B2E"/>
                <w:sz w:val="20"/>
                <w:szCs w:val="20"/>
              </w:rPr>
              <w:t>Insufficient data (n &lt; 30) — excluded</w:t>
            </w:r>
          </w:p>
        </w:tc>
      </w:tr>
      <w:tr>
        <w:tc>
          <w:tcPr>
            <w:tcW w:type="dxa" w:w="30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Female · 51+</w:t>
            </w:r>
          </w:p>
        </w:tc>
        <w:tc>
          <w:tcPr>
            <w:tcW w:type="dxa" w:w="16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>16</w:t>
            </w:r>
          </w:p>
        </w:tc>
        <w:tc>
          <w:tcPr>
            <w:tcW w:type="dxa" w:w="22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>—</w:t>
            </w:r>
          </w:p>
        </w:tc>
        <w:tc>
          <w:tcPr>
            <w:tcW w:type="dxa" w:w="25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>Insufficient data (n &lt; 30) — excluded</w:t>
            </w:r>
          </w:p>
        </w:tc>
      </w:tr>
      <w:tr>
        <w:tc>
          <w:tcPr>
            <w:tcW w:type="dxa" w:w="3000"/>
          </w:tcPr>
          <w:p>
            <w:r>
              <w:t>Male · 18–25</w:t>
            </w:r>
          </w:p>
        </w:tc>
        <w:tc>
          <w:tcPr>
            <w:tcW w:type="dxa" w:w="1600"/>
          </w:tcPr>
          <w:p>
            <w:r>
              <w:t>21</w:t>
            </w:r>
          </w:p>
        </w:tc>
        <w:tc>
          <w:tcPr>
            <w:tcW w:type="dxa" w:w="2200"/>
          </w:tcPr>
          <w:p>
            <w:r>
              <w:t>—</w:t>
            </w:r>
          </w:p>
        </w:tc>
        <w:tc>
          <w:tcPr>
            <w:tcW w:type="dxa" w:w="2560"/>
          </w:tcPr>
          <w:p>
            <w:r>
              <w:t>Insufficient data (n &lt; 30) — excluded</w:t>
            </w:r>
          </w:p>
        </w:tc>
      </w:tr>
      <w:tr>
        <w:tc>
          <w:tcPr>
            <w:tcW w:type="dxa" w:w="3000"/>
          </w:tcPr>
          <w:p>
            <w:r>
              <w:t>Male · 26–35</w:t>
            </w:r>
          </w:p>
        </w:tc>
        <w:tc>
          <w:tcPr>
            <w:tcW w:type="dxa" w:w="1600"/>
          </w:tcPr>
          <w:p>
            <w:r>
              <w:t>80</w:t>
            </w:r>
          </w:p>
        </w:tc>
        <w:tc>
          <w:tcPr>
            <w:tcW w:type="dxa" w:w="2200"/>
          </w:tcPr>
          <w:p>
            <w:r>
              <w:t>80.00%</w:t>
            </w:r>
          </w:p>
        </w:tc>
        <w:tc>
          <w:tcPr>
            <w:tcW w:type="dxa" w:w="2560"/>
          </w:tcPr>
          <w:p>
            <w:r/>
          </w:p>
        </w:tc>
      </w:tr>
      <w:tr>
        <w:tc>
          <w:tcPr>
            <w:tcW w:type="dxa" w:w="3000"/>
          </w:tcPr>
          <w:p>
            <w:r>
              <w:t>Male · 36–50</w:t>
            </w:r>
          </w:p>
        </w:tc>
        <w:tc>
          <w:tcPr>
            <w:tcW w:type="dxa" w:w="1600"/>
          </w:tcPr>
          <w:p>
            <w:r>
              <w:t>80</w:t>
            </w:r>
          </w:p>
        </w:tc>
        <w:tc>
          <w:tcPr>
            <w:tcW w:type="dxa" w:w="2200"/>
          </w:tcPr>
          <w:p>
            <w:r>
              <w:t>78.75%</w:t>
            </w:r>
          </w:p>
        </w:tc>
        <w:tc>
          <w:tcPr>
            <w:tcW w:type="dxa" w:w="2560"/>
          </w:tcPr>
          <w:p>
            <w:r/>
          </w:p>
        </w:tc>
      </w:tr>
      <w:tr>
        <w:tc>
          <w:tcPr>
            <w:tcW w:type="dxa" w:w="3000"/>
          </w:tcPr>
          <w:p>
            <w:r>
              <w:t>Male · 51+</w:t>
            </w:r>
          </w:p>
        </w:tc>
        <w:tc>
          <w:tcPr>
            <w:tcW w:type="dxa" w:w="1600"/>
          </w:tcPr>
          <w:p>
            <w:r>
              <w:t>23</w:t>
            </w:r>
          </w:p>
        </w:tc>
        <w:tc>
          <w:tcPr>
            <w:tcW w:type="dxa" w:w="2200"/>
          </w:tcPr>
          <w:p>
            <w:r>
              <w:t>—</w:t>
            </w:r>
          </w:p>
        </w:tc>
        <w:tc>
          <w:tcPr>
            <w:tcW w:type="dxa" w:w="2560"/>
          </w:tcPr>
          <w:p>
            <w:r>
              <w:t>Insufficient data (n &lt; 30) — excluded</w:t>
            </w:r>
          </w:p>
        </w:tc>
      </w:tr>
    </w:tbl>
    <w:p>
      <w:pPr>
        <w:pStyle w:val="Heading1"/>
      </w:pPr>
      <w:r>
        <w:t xml:space="preserve">6. Accuracy, Robustness &amp; Cybersecurity (Article 15)</w:t>
      </w:r>
    </w:p>
    <w:p>
      <w:pPr>
        <w:spacing w:after="120" w:before="0"/>
      </w:pPr>
      <w:r>
        <w:rPr>
          <w:color w:val="1F2430"/>
          <w:sz w:val="22"/>
          <w:szCs w:val="22"/>
        </w:rPr>
        <w:t xml:space="preserve">Four checks were run against the trained model, beyond the accuracy/fairness metrics already reported in Section 5. These test whether the model's behavior is stable, not just whether it's accurate on average.</w:t>
      </w:r>
    </w:p>
    <w:p>
      <w:pPr>
        <w:pStyle w:val="Heading2"/>
      </w:pPr>
      <w:r>
        <w:t xml:space="preserve">6.1 Distribution Shift</w:t>
      </w:r>
    </w:p>
    <w:p>
      <w:pPr>
        <w:spacing w:after="120" w:before="0"/>
      </w:pPr>
      <w:r>
        <w:rPr>
          <w:color w:val="1F2430"/>
          <w:sz w:val="22"/>
          <w:szCs w:val="22"/>
        </w:rPr>
        <w:t xml:space="preserve">A 15% inflation-style shift was applied to credit_amount and the model re-evaluated on the shifted test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160"/>
        <w:gridCol w:w="1800"/>
      </w:tblGrid>
      <w:tr>
        <w:trPr>
          <w:tblHeader/>
        </w:trPr>
        <w:tc>
          <w:tcPr>
            <w:tcW w:type="dxa" w:w="4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Distribution shift (credit_amount +15%)</w:t>
            </w:r>
          </w:p>
        </w:tc>
        <w:tc>
          <w:tcPr>
            <w:tcW w:type="dxa" w:w="3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>accuracy 0.7367 → 0.7300 (degradation 0.0067, tolerance 0.05)</w:t>
            </w:r>
          </w:p>
        </w:tc>
        <w:tc>
          <w:tcPr>
            <w:tcW w:type="dxa" w:w="18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E7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F7D5C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</w:pPr>
      <w:r>
        <w:t xml:space="preserve">6.2 Decision Boundary Sensitivity</w:t>
      </w:r>
    </w:p>
    <w:p>
      <w:pPr>
        <w:spacing w:after="120" w:before="0"/>
      </w:pPr>
      <w:r>
        <w:rPr>
          <w:color w:val="1F2430"/>
          <w:sz w:val="22"/>
          <w:szCs w:val="22"/>
        </w:rPr>
        <w:t xml:space="preserve">Applicants the model was least confident about (predicted probability 0.45–0.55) had their numeric features perturbed by ±5%, and the resulting decision was compared to the original.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160"/>
        <w:gridCol w:w="1800"/>
      </w:tblGrid>
      <w:tr>
        <w:trPr>
          <w:tblHeader/>
        </w:trPr>
        <w:tc>
          <w:tcPr>
            <w:tcW w:type="dxa" w:w="4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Decision boundary sensitivity</w:t>
            </w:r>
          </w:p>
        </w:tc>
        <w:tc>
          <w:tcPr>
            <w:tcW w:type="dxa" w:w="3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>22.22% of 27 borderline decisions flipped (threshold 10%)</w:t>
            </w:r>
          </w:p>
        </w:tc>
        <w:tc>
          <w:tcPr>
            <w:tcW w:type="dxa" w:w="18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F6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23B2E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120" w:before="80"/>
      </w:pPr>
      <w:r>
        <w:rPr>
          <w:i/>
          <w:iCs/>
          <w:color w:val="5B5F6B"/>
          <w:sz w:val="22"/>
          <w:szCs w:val="22"/>
        </w:rPr>
        <w:t xml:space="preserve">This is flagged for model review: a meaningful share of borderline applicants would receive a different decision under a small, plausible change to their inputs. This is distinct from the bias findings in Section 5 — it concerns decision stability, not disparate treatment between groups.</w:t>
      </w:r>
    </w:p>
    <w:p>
      <w:pPr>
        <w:pStyle w:val="Heading2"/>
      </w:pPr>
      <w:r>
        <w:t xml:space="preserve">6.3 Malformed Input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160"/>
        <w:gridCol w:w="1800"/>
      </w:tblGrid>
      <w:tr>
        <w:trPr>
          <w:tblHeader/>
        </w:trPr>
        <w:tc>
          <w:tcPr>
            <w:tcW w:type="dxa" w:w="4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Expectation</w:t>
            </w:r>
          </w:p>
        </w:tc>
        <w:tc>
          <w:tcPr>
            <w:tcW w:type="dxa" w:w="18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Valid row</w:t>
            </w:r>
          </w:p>
        </w:tc>
        <w:tc>
          <w:tcPr>
            <w:tcW w:type="dxa" w:w="3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Accepted</w:t>
            </w:r>
          </w:p>
        </w:tc>
        <w:tc>
          <w:tcPr>
            <w:tcW w:type="dxa" w:w="18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E7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F7D5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Negative credit_amount</w:t>
            </w:r>
          </w:p>
        </w:tc>
        <w:tc>
          <w:tcPr>
            <w:tcW w:type="dxa" w:w="3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E7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F7D5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Missing duration_months</w:t>
            </w:r>
          </w:p>
        </w:tc>
        <w:tc>
          <w:tcPr>
            <w:tcW w:type="dxa" w:w="3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E7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F7D5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credit_amount outside training range</w:t>
            </w:r>
          </w:p>
        </w:tc>
        <w:tc>
          <w:tcPr>
            <w:tcW w:type="dxa" w:w="3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E7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F7D5C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</w:pPr>
      <w:r>
        <w:t xml:space="preserve">6.4 Out-of-Distribution Flagging</w:t>
      </w:r>
    </w:p>
    <w:p>
      <w:pPr>
        <w:spacing w:after="120" w:before="0"/>
      </w:pPr>
      <w:r>
        <w:rPr>
          <w:color w:val="1F2430"/>
          <w:sz w:val="22"/>
          <w:szCs w:val="22"/>
        </w:rPr>
        <w:t>11 of 300 test-set rows fell beyond 3 standard deviations of the training distribution (informational signal only — does not block prediction).</w:t>
      </w:r>
    </w:p>
    <w:p>
      <w:pPr>
        <w:pStyle w:val="Heading2"/>
      </w:pPr>
      <w:r>
        <w:t xml:space="preserve">6.5 Cybersecurity</w:t>
      </w:r>
    </w:p>
    <w:p>
      <w:pPr>
        <w:spacing w:after="120" w:before="0"/>
      </w:pPr>
      <w:r>
        <w:rPr>
          <w:i/>
          <w:iCs/>
          <w:color w:val="5B5F6B"/>
          <w:sz w:val="22"/>
          <w:szCs w:val="22"/>
        </w:rPr>
        <w:t xml:space="preserve">Current coverage is policy-level: input validation at the serving boundary (Section 6.3) is the primary control. Adversarial robustness testing beyond input-range checks, model-extraction resistance, and data-poisoning resistance are not yet implemented.</w:t>
      </w:r>
    </w:p>
    <w:p>
      <w:pPr>
        <w:pStyle w:val="Heading1"/>
      </w:pPr>
      <w:r>
        <w:t xml:space="preserve">7. Record-Keeping (Article 12)</w:t>
      </w:r>
    </w:p>
    <w:p>
      <w:pPr>
        <w:spacing w:after="120" w:before="0"/>
      </w:pPr>
      <w:r>
        <w:rPr>
          <w:color w:val="1F2430"/>
          <w:sz w:val="22"/>
          <w:szCs w:val="22"/>
        </w:rPr>
        <w:t xml:space="preserve">All methodology decisions, threshold choices, and test outcomes are written to a structured decisions.log, in the format: timestamp, event, source (setup_agent, pipeline, pm_assistant, or robustness_module).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430"/>
          <w:sz w:val="22"/>
          <w:szCs w:val="22"/>
        </w:rPr>
        <w:t xml:space="preserve">Logged events: schema/attribute detection decisions, threshold assignments, metric failures, mitigation triggers, robustness test failures.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430"/>
          <w:sz w:val="22"/>
          <w:szCs w:val="22"/>
        </w:rPr>
        <w:t xml:space="preserve">Retention: logs are retained for the lifetime of the pipeline run at minimum; a formal retention period aligned with applicable sectoral requirements has not yet been set as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430"/>
          <w:sz w:val="22"/>
          <w:szCs w:val="22"/>
        </w:rPr>
        <w:t xml:space="preserve">Access: the log is human-readable and machine-parseable, intended to support both the PM assistant's status reporting and a future regulator audit request.</w:t>
      </w:r>
    </w:p>
    <w:p>
      <w:pPr>
        <w:pStyle w:val="Heading1"/>
      </w:pPr>
      <w:r>
        <w:t xml:space="preserve">8. Human Oversight (Article 14)</w:t>
      </w:r>
    </w:p>
    <w:p>
      <w:pPr>
        <w:spacing w:after="120" w:before="0"/>
      </w:pPr>
      <w:r>
        <w:rPr>
          <w:color w:val="1F2430"/>
          <w:sz w:val="22"/>
          <w:szCs w:val="22"/>
        </w:rPr>
        <w:t xml:space="preserve">Per Article 14, the methodology choices and results in this document require human sign-off before this configuration is used in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DPO</w:t>
            </w:r>
          </w:p>
        </w:tc>
        <w:tc>
          <w:tcPr>
            <w:tcW w:type="dxa" w:w="2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Pending</w:t>
            </w:r>
          </w:p>
        </w:tc>
        <w:tc>
          <w:tcPr>
            <w:tcW w:type="dxa" w:w="21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B5F6B"/>
          <w:sz w:val="22"/>
          <w:szCs w:val="22"/>
        </w:rPr>
        <w:t xml:space="preserve">Current scope: a sign-off field, reviewed against this document. Override or stop mechanisms for a live system (e.g. a kill switch on the serving endpoint) are not yet built.</w:t>
      </w:r>
    </w:p>
    <w:p>
      <w:pPr>
        <w:pStyle w:val="Heading1"/>
      </w:pPr>
      <w:r>
        <w:t xml:space="preserve">9.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60"/>
        <w:gridCol w:w="2100"/>
      </w:tblGrid>
      <w:tr>
        <w:trPr>
          <w:tblHeader/>
        </w:trPr>
        <w:tc>
          <w:tcPr>
            <w:tcW w:type="dxa" w:w="1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8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1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9C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14:02</w:t>
            </w:r>
          </w:p>
        </w:tc>
        <w:tc>
          <w:tcPr>
            <w:tcW w:type="dxa" w:w="58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Detected compound field personal_status_and_sex; decomposed into gender + marital_status</w:t>
            </w:r>
          </w:p>
        </w:tc>
        <w:tc>
          <w:tcPr>
            <w:tcW w:type="dxa" w:w="21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C7A3C"/>
                <w:sz w:val="20"/>
                <w:szCs w:val="20"/>
              </w:rPr>
              <w:t xml:space="preserve">setup_agent</w:t>
            </w:r>
          </w:p>
        </w:tc>
      </w:tr>
      <w:tr>
        <w:tc>
          <w:tcPr>
            <w:tcW w:type="dxa" w:w="1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14:03</w:t>
            </w:r>
          </w:p>
        </w:tc>
        <w:tc>
          <w:tcPr>
            <w:tcW w:type="dxa" w:w="58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Classified as Annex III high-risk (credit scoring)</w:t>
            </w:r>
          </w:p>
        </w:tc>
        <w:tc>
          <w:tcPr>
            <w:tcW w:type="dxa" w:w="21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C7A3C"/>
                <w:sz w:val="20"/>
                <w:szCs w:val="20"/>
              </w:rPr>
              <w:t xml:space="preserve">setup_agent</w:t>
            </w:r>
          </w:p>
        </w:tc>
      </w:tr>
      <w:tr>
        <w:tc>
          <w:tcPr>
            <w:tcW w:type="dxa" w:w="1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14:04</w:t>
            </w:r>
          </w:p>
        </w:tc>
        <w:tc>
          <w:tcPr>
            <w:tcW w:type="dxa" w:w="58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Disparate impact threshold set to 0.80 (diagnostic default)</w:t>
            </w:r>
          </w:p>
        </w:tc>
        <w:tc>
          <w:tcPr>
            <w:tcW w:type="dxa" w:w="21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C7A3C"/>
                <w:sz w:val="20"/>
                <w:szCs w:val="20"/>
              </w:rPr>
              <w:t xml:space="preserve">setup_agent</w:t>
            </w:r>
          </w:p>
        </w:tc>
      </w:tr>
      <w:tr>
        <w:tc>
          <w:tcPr>
            <w:tcW w:type="dxa" w:w="1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14:05</w:t>
            </w:r>
          </w:p>
        </w:tc>
        <w:tc>
          <w:tcPr>
            <w:tcW w:type="dxa" w:w="58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>Female · 36–50 cell excluded from gender × age analysis (n=12 &lt; 30)</w:t>
            </w:r>
          </w:p>
        </w:tc>
        <w:tc>
          <w:tcPr>
            <w:tcW w:type="dxa" w:w="21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C7A3C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1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14:11</w:t>
            </w:r>
          </w:p>
        </w:tc>
        <w:tc>
          <w:tcPr>
            <w:tcW w:type="dxa" w:w="58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>foreign_worker disparate impact 0.7944 below threshold; ThresholdOptimizer mitigation applied</w:t>
            </w:r>
          </w:p>
        </w:tc>
        <w:tc>
          <w:tcPr>
            <w:tcW w:type="dxa" w:w="21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C7A3C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1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14:12</w:t>
            </w:r>
          </w:p>
        </w:tc>
        <w:tc>
          <w:tcPr>
            <w:tcW w:type="dxa" w:w="58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>Post-mitigation DIR 0.8342 but SPD 0.1530 remains above threshold; mitigation incomplete</w:t>
            </w:r>
          </w:p>
        </w:tc>
        <w:tc>
          <w:tcPr>
            <w:tcW w:type="dxa" w:w="21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C7A3C"/>
                <w:sz w:val="20"/>
                <w:szCs w:val="20"/>
              </w:rPr>
              <w:t xml:space="preserve">pm_assistant</w:t>
            </w:r>
          </w:p>
        </w:tc>
      </w:tr>
      <w:tr>
        <w:tc>
          <w:tcPr>
            <w:tcW w:type="dxa" w:w="14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14:18</w:t>
            </w:r>
          </w:p>
        </w:tc>
        <w:tc>
          <w:tcPr>
            <w:tcW w:type="dxa" w:w="58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430"/>
                <w:sz w:val="20"/>
                <w:szCs w:val="20"/>
              </w:rPr>
              <w:t>Decision boundary sensitivity 22.22% flip rate exceeds 10% threshold; flagged for model review</w:t>
            </w:r>
          </w:p>
        </w:tc>
        <w:tc>
          <w:tcPr>
            <w:tcW w:type="dxa" w:w="210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C7A3C"/>
                <w:sz w:val="20"/>
                <w:szCs w:val="20"/>
              </w:rPr>
              <w:t xml:space="preserve">robustness_module</w:t>
            </w:r>
          </w:p>
        </w:tc>
      </w:tr>
    </w:tbl>
    <w:p>
      <w:pPr>
        <w:pStyle w:val="Heading1"/>
      </w:pPr>
      <w:r>
        <w:t xml:space="preserve">10. Conclusion</w:t>
      </w:r>
    </w:p>
    <w:p>
      <w:pPr>
        <w:spacing w:after="240" w:before="0"/>
      </w:pPr>
      <w:r>
        <w:rPr>
          <w:color w:val="1F2430"/>
          <w:sz w:val="22"/>
          <w:szCs w:val="22"/>
        </w:rPr>
        <w:t>Bias testing identified disparate impact for the foreign_worker proxy below the diagnostic threshold. Mitigation improved DIR but did not reduce SPD below its threshold, and equalized-odds differences remain open; the attempt incurred a disclosed accuracy cost. Robustness testing separately identified a decision-stability issue at the approval boundary, unresolved as of this run. Both findings, the data-governance record, and the audit trail above form an exploratory basis for DPO review, not proof of conformity. Open items — continuous risk monitoring, automated log retention, oversight infrastructure, cybersecurity testing, and resolution of the fairness and boundary-sensitivity findings — remain explicitly unresolved.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5F6B"/>
        <w:sz w:val="16"/>
        <w:szCs w:val="16"/>
      </w:rPr>
      <w:t xml:space="preserve">Generated from synthetic demonstration data</w:t>
    </w:r>
    <w:r>
      <w:rPr>
        <w:color w:val="5B5F6B"/>
        <w:sz w:val="16"/>
        <w:szCs w:val="16"/>
      </w:rPr>
      <w:t xml:space="preserve">	Page </w:t>
    </w:r>
    <w:r>
      <w:rPr>
        <w:color w:val="5B5F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B5F6B"/>
        <w:sz w:val="16"/>
        <w:szCs w:val="16"/>
      </w:rPr>
      <w:t xml:space="preserve">FAIR AI OBSERVATORY · ANNEX IV TECHNICAL DOCUMENTATION</w:t>
    </w:r>
    <w:r>
      <w:rPr>
        <w:color w:val="5B5F6B"/>
        <w:sz w:val="16"/>
        <w:szCs w:val="16"/>
      </w:rPr>
      <w:t xml:space="preserve">	RUN #1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243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9C7A3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2026-06-21T23:27:08.423Z</dcterms:created>
  <dcterms:modified xsi:type="dcterms:W3CDTF">2026-06-21T23:27:08.424Z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