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Instructions for Use</w:t>
      </w:r>
    </w:p>
    <w:p>
      <w:pPr>
        <w:spacing w:after="240" w:before="0"/>
      </w:pPr>
      <w:r>
        <w:rPr>
          <w:color w:val="5B5F6B"/>
          <w:sz w:val="22"/>
          <w:szCs w:val="22"/>
        </w:rPr>
        <w:t xml:space="preserve">Article 13 — EU AI Act · Consumer Credit 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shd w:fill="EFEA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t>SAMPLE DOCUMENT</w:t>
            </w:r>
          </w:p>
          <w:p>
            <w:pPr>
              <w:spacing w:before="80"/>
            </w:pPr>
            <w:r>
              <w:t>Generated from the official UCI German Credit dataset by the repository's reproducible six-stage fairness pipeline. Exploratory sample documentation; not a regulatory filing or conformity assessment for a production system.</w:t>
            </w:r>
          </w:p>
        </w:tc>
      </w:tr>
    </w:tbl>
    <w:p>
      <w:pPr>
        <w:spacing w:after="140" w:before="200"/>
      </w:pPr>
      <w:r>
        <w:rPr>
          <w:i/>
          <w:iCs/>
          <w:color w:val="5B5F6B"/>
          <w:sz w:val="22"/>
          <w:szCs w:val="22"/>
        </w:rPr>
        <w:t xml:space="preserve">This document is written for the team deploying this model — compliance staff, loan officers, and IT operations — not for data scientists. For the full technical methodology, see the companion Annex IV Technical Documentation.</w:t>
      </w:r>
    </w:p>
    <w:p>
      <w:pPr>
        <w:pStyle w:val="Heading1"/>
      </w:pPr>
      <w:r>
        <w:t xml:space="preserve">1. Intended Purpose</w:t>
      </w:r>
    </w:p>
    <w:p>
      <w:pPr>
        <w:spacing w:after="140" w:before="0"/>
      </w:pPr>
      <w:r>
        <w:rPr>
          <w:color w:val="1F2430"/>
          <w:sz w:val="22"/>
          <w:szCs w:val="22"/>
        </w:rPr>
        <w:t xml:space="preserve">This system supports a human decision to approve or deny a consumer credit application. It is a decision-support tool, not an automated final decision-maker — every output should be reviewed by a qualified loan officer before action is taken on it, particularly for denials and for any application flagged below.</w:t>
      </w:r>
    </w:p>
    <w:p>
      <w:pPr>
        <w:spacing w:after="140" w:before="0"/>
      </w:pPr>
      <w:r>
        <w:rPr>
          <w:b/>
          <w:bCs/>
          <w:color w:val="1F2430"/>
          <w:sz w:val="22"/>
          <w:szCs w:val="22"/>
        </w:rPr>
        <w:t xml:space="preserve">This system should not be used for any purpose other than consumer credit decisioning — for example, it has not been validated for business/commercial lending, insurance underwriting, or employment screening, and should not be repurposed for those without separate validation.</w:t>
      </w:r>
    </w:p>
    <w:p>
      <w:pPr>
        <w:pStyle w:val="Heading1"/>
      </w:pPr>
      <w:r>
        <w:t xml:space="preserve">2. Performance Characteristics</w:t>
      </w:r>
    </w:p>
    <w:p>
      <w:pPr>
        <w:spacing w:after="140" w:before="0"/>
      </w:pPr>
      <w:r>
        <w:rPr>
          <w:color w:val="1F2430"/>
          <w:sz w:val="22"/>
          <w:szCs w:val="22"/>
        </w:rPr>
        <w:t xml:space="preserve">On the evaluation dataset used for this report, the model performed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468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72.33% after mitigation attempt; 73.67% before</w:t>
            </w:r>
          </w:p>
        </w:tc>
      </w:tr>
      <w:tr>
        <w:tc>
          <w:tcPr>
            <w:tcW w:type="dxa" w:w="468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>Disparate impact diagnostics</w:t>
            </w:r>
          </w:p>
        </w:tc>
        <w:tc>
          <w:tcPr>
            <w:tcW w:type="dxa" w:w="468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>Gender DIR 0.9977 (pass); foreign_worker proxy DIR 0.8342 after mitigation, with SPD 0.1530 still failing</w:t>
            </w:r>
          </w:p>
        </w:tc>
      </w:tr>
      <w:tr>
        <w:tc>
          <w:tcPr>
            <w:tcW w:type="dxa" w:w="468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0"/>
                <w:sz w:val="20"/>
                <w:szCs w:val="20"/>
              </w:rPr>
              <w:t xml:space="preserve">Decision stability at the approval boundary</w:t>
            </w:r>
          </w:p>
        </w:tc>
        <w:tc>
          <w:tcPr>
            <w:tcW w:type="dxa" w:w="4680"/>
            <w:tcBorders>
              <w:top w:val="single" w:color="D8D4C8" w:sz="2"/>
              <w:left w:val="single" w:color="D8D4C8" w:sz="2"/>
              <w:bottom w:val="single" w:color="D8D4C8" w:sz="2"/>
              <w:right w:val="single" w:color="D8D4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Below target — see Section 3</w:t>
            </w:r>
          </w:p>
        </w:tc>
      </w:tr>
    </w:tbl>
    <w:p>
      <w:pPr>
        <w:spacing w:after="140" w:before="100"/>
      </w:pPr>
      <w:r>
        <w:rPr>
          <w:color w:val="5B5F6B"/>
          <w:sz w:val="22"/>
          <w:szCs w:val="22"/>
        </w:rPr>
        <w:t xml:space="preserve">These figures reflect performance on the evaluation dataset described in the Technical Documentation. Performance on your institution's actual applicant population may differ and should be monitored after deployment (Section 5).</w:t>
      </w:r>
    </w:p>
    <w:p>
      <w:pPr>
        <w:pStyle w:val="Heading1"/>
      </w:pPr>
      <w:r>
        <w:t xml:space="preserve">3. Known Limitations</w:t>
      </w:r>
    </w:p>
    <w:p>
      <w:pPr>
        <w:spacing w:after="140" w:before="0"/>
      </w:pPr>
      <w:r>
        <w:rPr>
          <w:color w:val="1F2430"/>
          <w:sz w:val="22"/>
          <w:szCs w:val="22"/>
        </w:rPr>
        <w:t xml:space="preserve">Be aware of the following before relying on this system's output: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Borderline decisions are less stable than they appear. For applicants near the approval threshold, a small difference in reported figures can change the outcome. Treat any decision flagged as "borderline" by the system as requiring manual review, not automatic acceptance.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Some demographic subgroups are underrepresented in the evaluation data. Approval-rate fairness has not been separately verified for combinations of attributes with very few applicants in the data (for example, a specific age range within a specific gender) — these were excluded from formal analysis rather than reported on insufficient evidence.</w:t>
      </w:r>
      <w:r>
        <w:t xml:space="preserve"> The foreign_worker A202 group contains only 13 test rows, so its reported disparity and mitigation result must not be treated as a stable population estimate.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The model was not evaluated on income-verification data, geographic/regional indicators, or repeat-applicant history, because the evaluation dataset does not include them. If your deployment includes these factors, request a re-evaluation before relying on the model for those applicants.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>The model reflects patterns in historical lending data, which may itself encode past human bias. Mitigation was attempted for the failed foreign_worker proxy check but did not satisfy every diagnostic threshold. It does not guarantee fairness for this or any other attribute.</w:t>
      </w:r>
    </w:p>
    <w:p>
      <w:pPr>
        <w:pStyle w:val="Heading1"/>
      </w:pPr>
      <w:r>
        <w:t xml:space="preserve">4. Required Human Oversight</w:t>
      </w:r>
    </w:p>
    <w:p>
      <w:pPr>
        <w:spacing w:after="140" w:before="0"/>
      </w:pPr>
      <w:r>
        <w:rPr>
          <w:color w:val="1F2430"/>
          <w:sz w:val="22"/>
          <w:szCs w:val="22"/>
        </w:rPr>
        <w:t xml:space="preserve">Per Article 14, this system must not be used without the following oversight in place: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A named reviewer (e.g. a Data Protection Officer or equivalent) must sign off on the configuration described in the Technical Documentation before production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Any application the system flags as borderline, or any denial, should be reviewed by a human loan officer with the authority to override the system's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Reviewers should be able to explain — in plain terms, to the applicant — why a decision was made, drawing on the factors described in this document rather than the model's internal scoring logic.</w:t>
      </w:r>
    </w:p>
    <w:p>
      <w:pPr>
        <w:pStyle w:val="Heading1"/>
      </w:pPr>
      <w:r>
        <w:t xml:space="preserve">5. Maintenance &amp; Monitoring</w:t>
      </w:r>
    </w:p>
    <w:p>
      <w:pPr>
        <w:spacing w:after="140" w:before="0"/>
      </w:pPr>
      <w:r>
        <w:rPr>
          <w:color w:val="1F2430"/>
          <w:sz w:val="22"/>
          <w:szCs w:val="22"/>
        </w:rPr>
        <w:t xml:space="preserve">This report reflects a single evaluation run. To keep it valid over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Re-run the fairness and robustness evaluation periodically (recommended: quarterly, or immediately after any meaningful change in applicant population or underlying data sources).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Monitor real-world approval rates by demographic group on an ongoing basis — the figures in Section 2 are a snapshot, not a guarantee.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430"/>
          <w:sz w:val="22"/>
          <w:szCs w:val="22"/>
        </w:rPr>
        <w:t xml:space="preserve">If approval-rate patterns shift meaningfully from what's reported here, treat that as a trigger for re-evaluation, not something to investigate only at the next scheduled review.</w:t>
      </w:r>
    </w:p>
    <w:p>
      <w:pPr>
        <w:pStyle w:val="Heading1"/>
      </w:pPr>
      <w:r>
        <w:t xml:space="preserve">6. Provider Contact</w:t>
      </w:r>
    </w:p>
    <w:p>
      <w:pPr>
        <w:spacing w:after="140" w:before="0"/>
      </w:pPr>
      <w:r>
        <w:rPr>
          <w:color w:val="1F2430"/>
          <w:sz w:val="22"/>
          <w:szCs w:val="22"/>
        </w:rPr>
        <w:t xml:space="preserve">Questions about this system's behavior, or requests to report an issue, should be directed to the system provider's compliance contact (to be completed before deployment).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5F6B"/>
        <w:sz w:val="16"/>
        <w:szCs w:val="16"/>
      </w:rPr>
      <w:t xml:space="preserve">Generated from synthetic demonstration data</w:t>
    </w:r>
    <w:r>
      <w:rPr>
        <w:color w:val="5B5F6B"/>
        <w:sz w:val="16"/>
        <w:szCs w:val="16"/>
      </w:rPr>
      <w:t xml:space="preserve">	Page </w:t>
    </w:r>
    <w:r>
      <w:rPr>
        <w:color w:val="5B5F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B5F6B"/>
        <w:sz w:val="16"/>
        <w:szCs w:val="16"/>
      </w:rPr>
      <w:t xml:space="preserve">FAIR AI OBSERVATORY · INSTRUCTIONS FOR USE</w:t>
    </w:r>
    <w:r>
      <w:rPr>
        <w:color w:val="5B5F6B"/>
        <w:sz w:val="16"/>
        <w:szCs w:val="16"/>
      </w:rPr>
      <w:t xml:space="preserve">	FOR DEPLOYERS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24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9C7A3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2026-06-21T23:27:49.720Z</dcterms:created>
  <dcterms:modified xsi:type="dcterms:W3CDTF">2026-06-21T23:27:49.721Z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