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Fisheries-independent</w:t>
      </w:r>
      <w:r>
        <w:t xml:space="preserve"> </w:t>
      </w:r>
      <w:r>
        <w:t xml:space="preserve">Survey-based</w:t>
      </w:r>
      <w:r>
        <w:t xml:space="preserve"> </w:t>
      </w:r>
      <w:r>
        <w:t xml:space="preserve">Indices</w:t>
      </w:r>
      <w:r>
        <w:t xml:space="preserve"> </w:t>
      </w:r>
      <w:r>
        <w:t xml:space="preserve">of</w:t>
      </w:r>
      <w:r>
        <w:t xml:space="preserve"> </w:t>
      </w:r>
      <w:r>
        <w:t xml:space="preserve">Forage</w:t>
      </w:r>
      <w:r>
        <w:t xml:space="preserve"> </w:t>
      </w:r>
      <w:r>
        <w:t xml:space="preserve">Fishes</w:t>
      </w:r>
      <w:r>
        <w:t xml:space="preserve"> </w:t>
      </w:r>
      <w:r>
        <w:t xml:space="preserve">in</w:t>
      </w:r>
      <w:r>
        <w:t xml:space="preserve"> </w:t>
      </w:r>
      <w:r>
        <w:t xml:space="preserve">the</w:t>
      </w:r>
      <w:r>
        <w:t xml:space="preserve"> </w:t>
      </w:r>
      <w:r>
        <w:t xml:space="preserve">Gulf</w:t>
      </w:r>
      <w:r>
        <w:t xml:space="preserve"> </w:t>
      </w:r>
      <w:r>
        <w:t xml:space="preserve">of</w:t>
      </w:r>
      <w:r>
        <w:t xml:space="preserve"> </w:t>
      </w:r>
      <w:r>
        <w:t xml:space="preserve">Alaska</w:t>
      </w:r>
    </w:p>
    <w:p>
      <w:pPr>
        <w:pStyle w:val="FirstParagraph"/>
      </w:pPr>
      <w:r>
        <w:t xml:space="preserve">Contributed by Ned Laman and Alexandra Dowlin</w:t>
      </w:r>
      <w:r>
        <w:t xml:space="preserve"> </w:t>
      </w: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2023</w:t>
      </w:r>
    </w:p>
    <w:p>
      <w:pPr>
        <w:pStyle w:val="BodyText"/>
      </w:pPr>
      <w:r>
        <w:rPr>
          <w:bCs/>
          <w:b/>
        </w:rPr>
        <w:t xml:space="preserve">Description of Indicator</w:t>
      </w:r>
      <w:r>
        <w:t xml:space="preserve">: The Resource Assessment and Conservation Engineering Division’s Groundfish Assessment Program (RACE-GAP) fishery-independent summer bottom trawl surveys in the Gulf of Alaska (GOA) are designed to assess populations of commercially and ecologically important fishes and invertebrates. Since 1990, we have deployed the same standardized trawl gear (footrope and trawl net) as is presently in use in the GOA bottom trawl survey. The North Pacific Fishery Management Council has identified several forage fish species or groups of species for federal management. The survey catches Pacific sandlance, eulachon, capelin, sandfish, and pricklebacks though the trawl mesh size is sufficiently large to allow escapement for most of these species. Because of the highly variable design-based biomass estimates from the trawl survey, the biomass of each forage fish was log-transformed to better show trends. For each species or species group, the largest log-transformed biomass estimate over the time series was arbitrarily scaled to a value of 100 and all other values were scaled in reference to that. The standard error (± 1) was weighted proportionally to the biomass to get a relative standard error.</w:t>
      </w:r>
    </w:p>
    <w:p>
      <w:pPr>
        <w:pStyle w:val="BodyText"/>
      </w:pPr>
      <w:r>
        <w:rPr>
          <w:bCs/>
          <w:b/>
        </w:rPr>
        <w:t xml:space="preserve">Status and Trends</w:t>
      </w:r>
      <w:r>
        <w:t xml:space="preserve">: The biomass of forage fishes in the GOA is difficult to measure in NOAA Fisheries’ bottom trawl survey catches due to issues such as gear selectivity and catchability. Therefore, we anticipate that the relative biomass estimates presented here for forage fishes are imprecise so that apparent trends should be interpreted cautiously. Eulachon have been most prevalent in the Yakutat survey district though their greatest biomass has historically occurred in the Kodiak district where biomass appears to be increasing in recent surveys after highs recorded between 2000 and 2015 (Figure 57). Capelin biomass has historically been highest in the Kodiak district. Sandfish, prickelbacks, and sand lance are uniformly uncommon in trawl catches across the GOA survey years and districts, though there are episodic years with large biomass estimates for these species over the survey history.</w:t>
      </w:r>
    </w:p>
    <w:p>
      <w:pPr>
        <w:pStyle w:val="BodyText"/>
      </w:pPr>
      <w:r>
        <w:rPr>
          <w:bCs/>
          <w:b/>
        </w:rPr>
        <w:t xml:space="preserve">Factors influencing observed trends</w:t>
      </w:r>
      <w:r>
        <w:t xml:space="preserve">: Unknown</w:t>
      </w:r>
    </w:p>
    <w:p>
      <w:pPr>
        <w:pStyle w:val="BodyText"/>
      </w:pPr>
      <w:r>
        <w:rPr>
          <w:bCs/>
          <w:b/>
        </w:rPr>
        <w:t xml:space="preserve">Implications</w:t>
      </w:r>
      <w:r>
        <w:t xml:space="preserve">: The NOAA Fisheries’ survey trawl gear has catchability and selectivity issues for forage fishes that impact their catch and retention. Therefore, relative biomass estimates for these species are of limited value for interpreting long-term abundance trends or population status.</w:t>
      </w:r>
    </w:p>
    <w:p>
      <w:pPr>
        <w:pStyle w:val="CaptionedFigure"/>
      </w:pPr>
      <w:r>
        <w:drawing>
          <wp:inline>
            <wp:extent cx="5334000" cy="6312078"/>
            <wp:effectExtent b="0" l="0" r="0" t="0"/>
            <wp:docPr descr="Figure 1. Relative mean log(biomass) of forage fishe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for these taxa." title="" id="22" name="Picture"/>
            <a:graphic>
              <a:graphicData uri="http://schemas.openxmlformats.org/drawingml/2006/picture">
                <pic:pic>
                  <pic:nvPicPr>
                    <pic:cNvPr descr="../plots/GOA/GOA_forage_fish_full_region.png" id="23" name="Picture"/>
                    <pic:cNvPicPr>
                      <a:picLocks noChangeArrowheads="1" noChangeAspect="1"/>
                    </pic:cNvPicPr>
                  </pic:nvPicPr>
                  <pic:blipFill>
                    <a:blip r:embed="rId21"/>
                    <a:stretch>
                      <a:fillRect/>
                    </a:stretch>
                  </pic:blipFill>
                  <pic:spPr bwMode="auto">
                    <a:xfrm>
                      <a:off x="0" y="0"/>
                      <a:ext cx="5334000" cy="6312078"/>
                    </a:xfrm>
                    <a:prstGeom prst="rect">
                      <a:avLst/>
                    </a:prstGeom>
                    <a:noFill/>
                    <a:ln w="9525">
                      <a:noFill/>
                      <a:headEnd/>
                      <a:tailEnd/>
                    </a:ln>
                  </pic:spPr>
                </pic:pic>
              </a:graphicData>
            </a:graphic>
          </wp:inline>
        </w:drawing>
      </w:r>
    </w:p>
    <w:p>
      <w:pPr>
        <w:pStyle w:val="ImageCaption"/>
      </w:pPr>
      <w:r>
        <w:t xml:space="preserve">Figure 1. Relative mean log(biomass) of forage fishes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for these taxa.</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Fisheries-independent Survey-based Indices of Forage Fishes in the Gulf of Alaska</dc:title>
  <dc:creator/>
  <cp:keywords/>
  <dcterms:created xsi:type="dcterms:W3CDTF">2024-01-08T05:43:50Z</dcterms:created>
  <dcterms:modified xsi:type="dcterms:W3CDTF">2024-01-08T05:43:50Z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