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DC6B82">
      <w:pPr>
        <w:pStyle w:val="Heading1"/>
      </w:pPr>
      <w:bookmarkStart w:id="0" w:name="marine-economy---national-overview"/>
      <w:bookmarkEnd w:id="0"/>
      <w:r w:rsidRPr="00492B78">
        <w:t>Marine Economy - National Overview</w:t>
      </w:r>
    </w:p>
    <w:p w14:paraId="6477D1DA" w14:textId="77777777" w:rsidR="005D4FD1" w:rsidRPr="00492B78" w:rsidRDefault="00381915" w:rsidP="00075D64">
      <w:pPr>
        <w:pStyle w:val="Heading2"/>
      </w:pPr>
      <w:bookmarkStart w:id="1" w:name="seafood-sales-and-processing"/>
      <w:bookmarkEnd w:id="1"/>
      <w:r w:rsidRPr="00492B78">
        <w:t>Seafood Sales and Processing</w:t>
      </w:r>
    </w:p>
    <w:p w14:paraId="1B32FAE3" w14:textId="77777777" w:rsidR="00767B82" w:rsidRDefault="00767B82" w:rsidP="006A1888">
      <w:pPr>
        <w:pStyle w:val="FirstParagraph"/>
      </w:pPr>
      <w:r>
        <w:t>The economic contributions or impacts of recreational fishing activities in the United States is based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w:t>
      </w:r>
      <w:r w:rsidRPr="006A1888">
        <w:t>price</w:t>
      </w:r>
      <w:r>
        <w:t xml:space="preserve"> index) to the current year.</w:t>
      </w:r>
      <w:r>
        <w:rPr>
          <w:rStyle w:val="FootnoteReference"/>
        </w:rPr>
        <w:footnoteReference w:id="2"/>
      </w:r>
    </w:p>
    <w:p w14:paraId="6101C016" w14:textId="58615988" w:rsidR="00767B82" w:rsidRPr="00767B82" w:rsidRDefault="00767B82" w:rsidP="006A1888">
      <w:pPr>
        <w:pStyle w:val="BodyText"/>
      </w:pPr>
      <w:r w:rsidRPr="003364E7">
        <w:t xml:space="preserve">Four different measures are commonly used to show how angler expenditures affect the economy in a region (state or nationwide): sales, income, value-added, and employment. The term sales refers to the gross value of all sales by regional businesses affected by an activity, such as recreational fishing. It includes </w:t>
      </w:r>
      <w:r w:rsidRPr="006A1888">
        <w:t>both</w:t>
      </w:r>
      <w:r w:rsidRPr="003364E7">
        <w:t xml:space="preserve">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w:t>
      </w:r>
      <w:bookmarkStart w:id="2" w:name="_GoBack"/>
      <w:bookmarkEnd w:id="2"/>
      <w:r w:rsidRPr="003364E7">
        <w:t>irst three measures are calculated in terms of dollars, whereas employment impacts are measured in numbers of jobs. Note that these categories are not additive.</w:t>
      </w:r>
    </w:p>
    <w:p w14:paraId="38579A02"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(Atlantic croaker and spot) (Atlantic regions)</w:t>
      </w:r>
    </w:p>
    <w:p w14:paraId="13BC0443"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(seatrouts) (Atlantic regions)</w:t>
      </w:r>
      <w:r w:rsidRPr="007B71D3">
        <w:rPr>
          <w:color w:val="56575A"/>
          <w:szCs w:val="22"/>
        </w:rPr>
        <w:t xml:space="preserve">: </w:t>
      </w:r>
      <w:r w:rsidRPr="002A6494">
        <w:t>sand</w:t>
      </w:r>
      <w:r w:rsidRPr="007B71D3">
        <w:rPr>
          <w:color w:val="56575A"/>
          <w:szCs w:val="22"/>
        </w:rPr>
        <w:t xml:space="preserve"> seatrout, seatrout genus, silver seatrout, spotted seatrout, and weakfish</w:t>
      </w:r>
    </w:p>
    <w:p w14:paraId="1D124EE3" w14:textId="1EB03895" w:rsidR="00075D64" w:rsidRPr="007B71D3" w:rsidRDefault="0006111E" w:rsidP="007B71D3">
      <w:pPr>
        <w:pStyle w:val="ListParagraph"/>
        <w:numPr>
          <w:ilvl w:val="0"/>
          <w:numId w:val="6"/>
        </w:numPr>
        <w:spacing w:before="200" w:after="0"/>
        <w:rPr>
          <w:color w:val="56575A"/>
          <w:szCs w:val="22"/>
        </w:rPr>
      </w:pPr>
      <w:r w:rsidRPr="007B71D3">
        <w:rPr>
          <w:b/>
          <w:color w:val="56575A"/>
          <w:szCs w:val="22"/>
        </w:rPr>
        <w:t>Pacific halibut (North Pacific)</w:t>
      </w:r>
    </w:p>
    <w:p w14:paraId="77E33332" w14:textId="77777777" w:rsidR="00075D64" w:rsidRDefault="00075D64" w:rsidP="00075D64">
      <w:pPr>
        <w:pStyle w:val="Heading2"/>
      </w:pPr>
    </w:p>
    <w:p w14:paraId="35E865FC" w14:textId="62692CA9" w:rsidR="00492B78" w:rsidRPr="00492B78" w:rsidRDefault="00381915" w:rsidP="00075D64">
      <w:pPr>
        <w:pStyle w:val="Heading2"/>
      </w:pPr>
      <w:r>
        <w:t>United States | Commercial Fisheries</w:t>
      </w:r>
    </w:p>
    <w:p w14:paraId="15E65512" w14:textId="732667F1" w:rsidR="00305824" w:rsidRPr="00305824" w:rsidRDefault="007439DD" w:rsidP="00C7761A">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6AF8172E" w14:textId="588909EB" w:rsidR="007041F5" w:rsidRDefault="007041F5" w:rsidP="006A1888">
      <w:pPr>
        <w:pStyle w:val="BlockText"/>
      </w:pPr>
      <w:r w:rsidRPr="002570E3">
        <w:t>I may be using the wrong trips value?</w:t>
      </w:r>
    </w:p>
    <w:p w14:paraId="1C4E70E3" w14:textId="084D7941" w:rsidR="008E4610" w:rsidRDefault="008E4610" w:rsidP="008E4610">
      <w:pPr>
        <w:pStyle w:val="BodyText"/>
      </w:pPr>
    </w:p>
    <w:p w14:paraId="1F315C5A" w14:textId="77777777" w:rsidR="008E4610" w:rsidRPr="008E4610" w:rsidRDefault="008E4610" w:rsidP="008E4610">
      <w:pPr>
        <w:pStyle w:val="Figurecaption"/>
      </w:pPr>
    </w:p>
    <w:p w14:paraId="3D88D0CB" w14:textId="77777777" w:rsidR="00E13015" w:rsidRDefault="00E13015" w:rsidP="00E13015">
      <w:pPr>
        <w:pStyle w:val="Bibliography"/>
      </w:pPr>
      <w:bookmarkStart w:id="3" w:name="ref-Nichol1995"/>
      <w:r>
        <w:t>Nichol, D. G. 1995. “Spawning and Maturation of Female Yellowfin Sole in the Eastern Bering Sea.” Journal Article. In Proceedings of the International Flatfish Symposium; October 1994, Anchorage, Alaska, 35–50.</w:t>
      </w:r>
    </w:p>
    <w:p w14:paraId="44BECD31" w14:textId="77777777" w:rsidR="00E13015" w:rsidRDefault="00E13015" w:rsidP="00E13015">
      <w:pPr>
        <w:pStyle w:val="Bibliography"/>
      </w:pPr>
      <w:bookmarkStart w:id="4" w:name="ref-RN915"/>
      <w:bookmarkEnd w:id="3"/>
      <w:r>
        <w:t xml:space="preserve">———. 1997. “Effects of Geography and Bathymetry on Growth and Maturity of Yellowfin Sole, </w:t>
      </w:r>
      <w:proofErr w:type="spellStart"/>
      <w:r>
        <w:t>Pleuronectes</w:t>
      </w:r>
      <w:proofErr w:type="spellEnd"/>
      <w:r>
        <w:t xml:space="preserve">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E13015">
      <w:pPr>
        <w:pStyle w:val="Bibliography"/>
      </w:pPr>
      <w:bookmarkStart w:id="5" w:name="ref-RN916"/>
      <w:bookmarkEnd w:id="4"/>
      <w:r>
        <w:t xml:space="preserve">———. 1998. “Annual and Between-Sex Variability of Yellowfin Sole, </w:t>
      </w:r>
      <w:proofErr w:type="spellStart"/>
      <w:r>
        <w:t>Pleuronectes</w:t>
      </w:r>
      <w:proofErr w:type="spellEnd"/>
      <w:r>
        <w:t xml:space="preserve"> Asper.” Journal Article. Fishery Bulletin 96: 547–61. </w:t>
      </w:r>
      <w:hyperlink r:id="rId8">
        <w:r>
          <w:rPr>
            <w:rStyle w:val="Hyperlink"/>
          </w:rPr>
          <w:t>https://spo.nmfs.noaa.gov/content/annual-and-between-sex-variability-yellowfin-sole-pleuronectes-aspe-spring-summer</w:t>
        </w:r>
      </w:hyperlink>
      <w:r>
        <w:t>.</w:t>
      </w:r>
    </w:p>
    <w:bookmarkEnd w:id="5"/>
    <w:p w14:paraId="3D75A9E5" w14:textId="77777777" w:rsidR="00E13015" w:rsidRDefault="00E13015" w:rsidP="00E13015">
      <w:pPr>
        <w:pStyle w:val="Bibliography"/>
      </w:pPr>
      <w:r>
        <w:t xml:space="preserve">Nichol, D. G., S. </w:t>
      </w:r>
      <w:proofErr w:type="spellStart"/>
      <w:r>
        <w:t>Kotwicki</w:t>
      </w:r>
      <w:proofErr w:type="spellEnd"/>
      <w:r>
        <w:t xml:space="preserve">, T. K. </w:t>
      </w:r>
      <w:proofErr w:type="spellStart"/>
      <w:r>
        <w:t>Wilderbuer</w:t>
      </w:r>
      <w:proofErr w:type="spellEnd"/>
      <w:r>
        <w:t xml:space="preserve">, R. R. </w:t>
      </w:r>
      <w:proofErr w:type="spellStart"/>
      <w:r>
        <w:t>Lauth</w:t>
      </w:r>
      <w:proofErr w:type="spellEnd"/>
      <w:r>
        <w:t xml:space="preserve">, and J. N. </w:t>
      </w:r>
      <w:proofErr w:type="spellStart"/>
      <w:r>
        <w:t>Ianelli</w:t>
      </w:r>
      <w:proofErr w:type="spellEnd"/>
      <w:r>
        <w:t xml:space="preserve">. 2019. “Availability of Yellowfin Sole </w:t>
      </w:r>
      <w:proofErr w:type="spellStart"/>
      <w:r>
        <w:t>Limanda</w:t>
      </w:r>
      <w:proofErr w:type="spellEnd"/>
      <w:r>
        <w:t xml:space="preserve"> Aspera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Default="00E13015" w:rsidP="00E13015">
      <w:pPr>
        <w:pStyle w:val="Bibliography"/>
      </w:pPr>
      <w:bookmarkStart w:id="6" w:name="ref-RN940"/>
      <w:proofErr w:type="spellStart"/>
      <w:r>
        <w:t>Wilderbuer</w:t>
      </w:r>
      <w:proofErr w:type="spellEnd"/>
      <w:r>
        <w:t xml:space="preserve">, T. K., D. G. Nichol, and J. </w:t>
      </w:r>
      <w:proofErr w:type="spellStart"/>
      <w:r>
        <w:t>Ianelli</w:t>
      </w:r>
      <w:proofErr w:type="spellEnd"/>
      <w:r>
        <w:t xml:space="preserve">. 2018. “Chapter 4: Yellowfin Sole.” Book Section. In Stock Assessment and Fishery Evaluation Report </w:t>
      </w:r>
      <w:r w:rsidRPr="00E13015">
        <w:t>for</w:t>
      </w:r>
      <w:r>
        <w:t xml:space="preserve"> the Groundfish Resources of the Bering Sea/Aleutian Islands Regions. 605 W. 4th Ave., Anchorage, AK 99501: North Pacific Fishery Management Council.</w:t>
      </w:r>
    </w:p>
    <w:bookmarkEnd w:id="6"/>
    <w:p w14:paraId="27FB1AA5" w14:textId="18A97CEF" w:rsidR="005D4FA0" w:rsidRDefault="005D4FA0" w:rsidP="006A1888">
      <w:pPr>
        <w:pStyle w:val="BodyText"/>
      </w:pPr>
    </w:p>
    <w:p w14:paraId="392AAEDF" w14:textId="77777777" w:rsidR="00E13015" w:rsidRDefault="00E13015" w:rsidP="006A1888">
      <w:pPr>
        <w:pStyle w:val="BodyText"/>
      </w:pPr>
    </w:p>
    <w:p w14:paraId="34FD1DDC" w14:textId="54610A08" w:rsidR="005D4FA0" w:rsidRDefault="005D4FA0">
      <w:pPr>
        <w:rPr>
          <w:color w:val="56575A"/>
          <w:sz w:val="24"/>
        </w:rPr>
      </w:pPr>
      <w:r>
        <w:br w:type="page"/>
      </w:r>
    </w:p>
    <w:p w14:paraId="29CAB27E" w14:textId="53AAD8E1" w:rsidR="005D4FA0" w:rsidRPr="005D4FA0" w:rsidRDefault="0021619F" w:rsidP="006A1888">
      <w:pPr>
        <w:pStyle w:val="BodyText"/>
      </w:pPr>
      <w:r>
        <w:rPr>
          <w:noProof/>
        </w:rPr>
        <w:lastRenderedPageBreak/>
        <w:drawing>
          <wp:anchor distT="0" distB="0" distL="114300" distR="114300" simplePos="0" relativeHeight="251658240" behindDoc="0" locked="0" layoutInCell="1" allowOverlap="1" wp14:anchorId="46D49812" wp14:editId="638E8984">
            <wp:simplePos x="0" y="0"/>
            <wp:positionH relativeFrom="column">
              <wp:posOffset>231775</wp:posOffset>
            </wp:positionH>
            <wp:positionV relativeFrom="paragraph">
              <wp:posOffset>173355</wp:posOffset>
            </wp:positionV>
            <wp:extent cx="5666105" cy="5666105"/>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6105" cy="5666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30723FE" w14:textId="4E815BC8" w:rsidR="0075623E" w:rsidRDefault="0075623E" w:rsidP="00075D64">
      <w:pPr>
        <w:keepNext/>
        <w:spacing w:before="200" w:after="0"/>
        <w:jc w:val="center"/>
      </w:pPr>
    </w:p>
    <w:p w14:paraId="0D350A30" w14:textId="04184279" w:rsidR="0075623E" w:rsidRDefault="0075623E" w:rsidP="00075D64">
      <w:pPr>
        <w:pStyle w:val="Caption"/>
        <w:spacing w:before="200" w:after="0"/>
      </w:pPr>
      <w:r>
        <w:t xml:space="preserve">Figure </w:t>
      </w:r>
      <w:fldSimple w:instr=" SEQ Figure \* ARABIC ">
        <w:r>
          <w:rPr>
            <w:noProof/>
          </w:rPr>
          <w:t>1</w:t>
        </w:r>
      </w:fldSimple>
      <w:r>
        <w:t>. blah</w:t>
      </w:r>
    </w:p>
    <w:p w14:paraId="345ADF53" w14:textId="77777777" w:rsidR="00381915" w:rsidRDefault="00381915" w:rsidP="006A1888">
      <w:pPr>
        <w:pStyle w:val="BodyText"/>
      </w:pPr>
    </w:p>
    <w:sectPr w:rsidR="00381915"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5B51B" w14:textId="77777777" w:rsidR="00F07312" w:rsidRDefault="00F07312">
      <w:pPr>
        <w:spacing w:after="0"/>
      </w:pPr>
      <w:r>
        <w:separator/>
      </w:r>
    </w:p>
  </w:endnote>
  <w:endnote w:type="continuationSeparator" w:id="0">
    <w:p w14:paraId="154718EC" w14:textId="77777777" w:rsidR="00F07312" w:rsidRDefault="00F073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5D0B9349" w:rsidR="00DB358C" w:rsidRDefault="00DB358C">
        <w:pPr>
          <w:pStyle w:val="Footer"/>
          <w:jc w:val="center"/>
        </w:pPr>
        <w:r>
          <w:fldChar w:fldCharType="begin"/>
        </w:r>
        <w:r>
          <w:instrText xml:space="preserve"> PAGE   \* MERGEFORMAT </w:instrText>
        </w:r>
        <w:r>
          <w:fldChar w:fldCharType="separate"/>
        </w:r>
        <w:r w:rsidR="00D97A93">
          <w:rPr>
            <w:noProof/>
          </w:rPr>
          <w:t>3</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A29A2" w14:textId="77777777" w:rsidR="00F07312" w:rsidRDefault="00F07312">
      <w:r>
        <w:separator/>
      </w:r>
    </w:p>
  </w:footnote>
  <w:footnote w:type="continuationSeparator" w:id="0">
    <w:p w14:paraId="6087EFF4" w14:textId="77777777" w:rsidR="00F07312" w:rsidRDefault="00F07312">
      <w:r>
        <w:continuationSeparator/>
      </w:r>
    </w:p>
  </w:footnote>
  <w:footnote w:id="1">
    <w:p w14:paraId="72AE7D63" w14:textId="77777777" w:rsidR="00767B82" w:rsidRDefault="00767B82" w:rsidP="00DA1B0E">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DA1B0E">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DA1B0E">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4">
    <w:p w14:paraId="10F4E04F" w14:textId="77777777" w:rsidR="007439DD" w:rsidRDefault="007439DD" w:rsidP="00DA1B0E">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111E"/>
    <w:rsid w:val="00075D64"/>
    <w:rsid w:val="00133A7D"/>
    <w:rsid w:val="001738F0"/>
    <w:rsid w:val="00184979"/>
    <w:rsid w:val="00195CD7"/>
    <w:rsid w:val="001B1288"/>
    <w:rsid w:val="0021619F"/>
    <w:rsid w:val="00246C5E"/>
    <w:rsid w:val="002570E3"/>
    <w:rsid w:val="002969E6"/>
    <w:rsid w:val="002A6494"/>
    <w:rsid w:val="002F2813"/>
    <w:rsid w:val="00301744"/>
    <w:rsid w:val="00305824"/>
    <w:rsid w:val="003364E7"/>
    <w:rsid w:val="00371AAE"/>
    <w:rsid w:val="00381915"/>
    <w:rsid w:val="00414A91"/>
    <w:rsid w:val="00471CD6"/>
    <w:rsid w:val="00492B78"/>
    <w:rsid w:val="004C79E9"/>
    <w:rsid w:val="004E29B3"/>
    <w:rsid w:val="00590D07"/>
    <w:rsid w:val="005B2158"/>
    <w:rsid w:val="005D4FA0"/>
    <w:rsid w:val="005D4FD1"/>
    <w:rsid w:val="00650267"/>
    <w:rsid w:val="006A1888"/>
    <w:rsid w:val="006C40EF"/>
    <w:rsid w:val="00700932"/>
    <w:rsid w:val="007041F5"/>
    <w:rsid w:val="007439DD"/>
    <w:rsid w:val="00750214"/>
    <w:rsid w:val="0075623E"/>
    <w:rsid w:val="00767B82"/>
    <w:rsid w:val="00784D58"/>
    <w:rsid w:val="00795282"/>
    <w:rsid w:val="007B71D3"/>
    <w:rsid w:val="007E182D"/>
    <w:rsid w:val="00843726"/>
    <w:rsid w:val="00856D9E"/>
    <w:rsid w:val="00857066"/>
    <w:rsid w:val="00876088"/>
    <w:rsid w:val="00893F62"/>
    <w:rsid w:val="008C38CB"/>
    <w:rsid w:val="008D6863"/>
    <w:rsid w:val="008E4610"/>
    <w:rsid w:val="008E65CB"/>
    <w:rsid w:val="0097150D"/>
    <w:rsid w:val="009E6D82"/>
    <w:rsid w:val="009F5802"/>
    <w:rsid w:val="00B86B75"/>
    <w:rsid w:val="00B93469"/>
    <w:rsid w:val="00BC48D5"/>
    <w:rsid w:val="00BE4952"/>
    <w:rsid w:val="00BE6C68"/>
    <w:rsid w:val="00C22511"/>
    <w:rsid w:val="00C36279"/>
    <w:rsid w:val="00C7761A"/>
    <w:rsid w:val="00D05EE7"/>
    <w:rsid w:val="00D34497"/>
    <w:rsid w:val="00D97A93"/>
    <w:rsid w:val="00DA1B0E"/>
    <w:rsid w:val="00DB358C"/>
    <w:rsid w:val="00DC6B82"/>
    <w:rsid w:val="00E13015"/>
    <w:rsid w:val="00E315A3"/>
    <w:rsid w:val="00E51C95"/>
    <w:rsid w:val="00E661E0"/>
    <w:rsid w:val="00F07312"/>
    <w:rsid w:val="00F120EC"/>
    <w:rsid w:val="00F16B6C"/>
    <w:rsid w:val="00F805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6B82"/>
    <w:rPr>
      <w:rFonts w:ascii="Arial" w:hAnsi="Arial"/>
      <w:sz w:val="22"/>
    </w:rPr>
  </w:style>
  <w:style w:type="paragraph" w:styleId="Heading1">
    <w:name w:val="heading 1"/>
    <w:basedOn w:val="Normal"/>
    <w:next w:val="BodyText"/>
    <w:autoRedefine/>
    <w:uiPriority w:val="9"/>
    <w:qFormat/>
    <w:rsid w:val="00DC6B82"/>
    <w:pPr>
      <w:keepNext/>
      <w:keepLines/>
      <w:spacing w:before="20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DC6B82"/>
    <w:pPr>
      <w:keepNext/>
      <w:keepLines/>
      <w:spacing w:before="200" w:after="0"/>
      <w:outlineLvl w:val="1"/>
    </w:pPr>
    <w:rPr>
      <w:rFonts w:eastAsiaTheme="majorEastAsia" w:cs="Arial"/>
      <w:b/>
      <w:bCs/>
      <w:color w:val="0096A4"/>
      <w:sz w:val="28"/>
      <w:szCs w:val="28"/>
    </w:rPr>
  </w:style>
  <w:style w:type="paragraph" w:styleId="Heading3">
    <w:name w:val="heading 3"/>
    <w:basedOn w:val="Normal"/>
    <w:next w:val="BodyText"/>
    <w:uiPriority w:val="9"/>
    <w:unhideWhenUsed/>
    <w:qFormat/>
    <w:rsid w:val="00B93469"/>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DC6B82"/>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rsid w:val="00B93469"/>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B93469"/>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C6B82"/>
    <w:pPr>
      <w:spacing w:before="180" w:after="0"/>
    </w:pPr>
    <w:rPr>
      <w:color w:val="56575A"/>
      <w:sz w:val="24"/>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DC6B82"/>
    <w:pPr>
      <w:spacing w:before="36" w:after="36"/>
    </w:pPr>
    <w:rPr>
      <w:sz w:val="17"/>
      <w:szCs w:val="17"/>
    </w:rPr>
  </w:style>
  <w:style w:type="paragraph" w:styleId="Title">
    <w:name w:val="Title"/>
    <w:basedOn w:val="Normal"/>
    <w:next w:val="BodyText"/>
    <w:qFormat/>
    <w:rsid w:val="00DC6B82"/>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rsid w:val="00B93469"/>
    <w:pPr>
      <w:spacing w:before="240"/>
    </w:pPr>
    <w:rPr>
      <w:sz w:val="30"/>
      <w:szCs w:val="30"/>
    </w:rPr>
  </w:style>
  <w:style w:type="paragraph" w:customStyle="1" w:styleId="Author">
    <w:name w:val="Author"/>
    <w:next w:val="BodyText"/>
    <w:qFormat/>
    <w:rsid w:val="00B93469"/>
    <w:pPr>
      <w:keepNext/>
      <w:keepLines/>
      <w:jc w:val="center"/>
    </w:pPr>
    <w:rPr>
      <w:rFonts w:ascii="Times New Roman" w:hAnsi="Times New Roman"/>
    </w:rPr>
  </w:style>
  <w:style w:type="paragraph" w:styleId="Date">
    <w:name w:val="Date"/>
    <w:next w:val="BodyText"/>
    <w:qFormat/>
    <w:rsid w:val="00B93469"/>
    <w:pPr>
      <w:keepNext/>
      <w:keepLines/>
      <w:jc w:val="center"/>
    </w:pPr>
    <w:rPr>
      <w:rFonts w:ascii="Times New Roman" w:hAnsi="Times New Roman"/>
    </w:rPr>
  </w:style>
  <w:style w:type="paragraph" w:customStyle="1" w:styleId="Abstract">
    <w:name w:val="Abstract"/>
    <w:basedOn w:val="Normal"/>
    <w:next w:val="BodyText"/>
    <w:qFormat/>
    <w:rsid w:val="002969E6"/>
    <w:pPr>
      <w:keepNext/>
      <w:keepLines/>
      <w:spacing w:before="300" w:after="300"/>
    </w:pPr>
    <w:rPr>
      <w:sz w:val="20"/>
      <w:szCs w:val="20"/>
    </w:rPr>
  </w:style>
  <w:style w:type="paragraph" w:styleId="Bibliography">
    <w:name w:val="Bibliography"/>
    <w:basedOn w:val="Normal"/>
    <w:qFormat/>
    <w:rsid w:val="00DC6B82"/>
    <w:pPr>
      <w:spacing w:before="180" w:after="0"/>
    </w:pPr>
    <w:rPr>
      <w:i/>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DC6B82"/>
    <w:rPr>
      <w:color w:val="56575A"/>
      <w:sz w:val="20"/>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DC6B82"/>
    <w:pPr>
      <w:spacing w:after="0"/>
      <w:jc w:val="right"/>
    </w:pPr>
    <w:rPr>
      <w:sz w:val="18"/>
      <w:szCs w:val="18"/>
    </w:rPr>
  </w:style>
  <w:style w:type="character" w:customStyle="1" w:styleId="BodyTextChar">
    <w:name w:val="Body Text Char"/>
    <w:basedOn w:val="DefaultParagraphFont"/>
    <w:link w:val="BodyText"/>
    <w:rsid w:val="00DC6B82"/>
    <w:rPr>
      <w:rFonts w:ascii="Arial" w:hAnsi="Arial"/>
      <w:color w:val="56575A"/>
    </w:rPr>
  </w:style>
  <w:style w:type="character" w:customStyle="1" w:styleId="TableContentChar">
    <w:name w:val="Table Content Char"/>
    <w:basedOn w:val="BodyTextChar"/>
    <w:link w:val="TableContent"/>
    <w:rsid w:val="00DC6B82"/>
    <w:rPr>
      <w:rFonts w:ascii="Arial" w:hAnsi="Arial"/>
      <w:color w:val="56575A"/>
      <w:sz w:val="18"/>
      <w:szCs w:val="18"/>
    </w:rPr>
  </w:style>
  <w:style w:type="character" w:customStyle="1" w:styleId="FootnoteTextChar">
    <w:name w:val="Footnote Text Char"/>
    <w:basedOn w:val="DefaultParagraphFont"/>
    <w:link w:val="FootnoteText"/>
    <w:uiPriority w:val="9"/>
    <w:rsid w:val="00DC6B82"/>
    <w:rPr>
      <w:rFonts w:ascii="Arial" w:hAnsi="Arial"/>
      <w:color w:val="56575A"/>
      <w:sz w:val="20"/>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 w:type="table" w:styleId="PlainTable1">
    <w:name w:val="Plain Table 1"/>
    <w:basedOn w:val="TableNormal"/>
    <w:rsid w:val="003017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3058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LightList-Accent1"/>
    <w:uiPriority w:val="99"/>
    <w:rsid w:val="00D97A93"/>
    <w:rPr>
      <w:rFonts w:ascii="Arial Narrow" w:hAnsi="Arial Narrow"/>
      <w:sz w:val="20"/>
      <w:szCs w:val="20"/>
    </w:rP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1">
    <w:name w:val="Light List Accent 1"/>
    <w:basedOn w:val="TableNormal"/>
    <w:semiHidden/>
    <w:unhideWhenUsed/>
    <w:rsid w:val="00D97A9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caption0">
    <w:name w:val="Table caption"/>
    <w:basedOn w:val="BodyText"/>
    <w:link w:val="TablecaptionChar"/>
    <w:qFormat/>
    <w:rsid w:val="00DC6B82"/>
    <w:rPr>
      <w:i/>
      <w:sz w:val="22"/>
    </w:rPr>
  </w:style>
  <w:style w:type="paragraph" w:customStyle="1" w:styleId="Figurecaption">
    <w:name w:val="Figure caption"/>
    <w:basedOn w:val="Tablecaption0"/>
    <w:link w:val="FigurecaptionChar"/>
    <w:qFormat/>
    <w:rsid w:val="008E4610"/>
  </w:style>
  <w:style w:type="character" w:customStyle="1" w:styleId="TablecaptionChar">
    <w:name w:val="Table caption Char"/>
    <w:basedOn w:val="BodyTextChar"/>
    <w:link w:val="Tablecaption0"/>
    <w:rsid w:val="00DC6B82"/>
    <w:rPr>
      <w:rFonts w:ascii="Arial" w:hAnsi="Arial"/>
      <w:i/>
      <w:color w:val="56575A"/>
      <w:sz w:val="22"/>
    </w:rPr>
  </w:style>
  <w:style w:type="character" w:customStyle="1" w:styleId="FigurecaptionChar">
    <w:name w:val="Figure caption Char"/>
    <w:basedOn w:val="TablecaptionChar"/>
    <w:link w:val="Figurecaption"/>
    <w:rsid w:val="008E4610"/>
    <w:rPr>
      <w:rFonts w:ascii="Times New Roman" w:hAnsi="Times New Roman"/>
      <w:i/>
      <w:color w:val="56575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3</cp:revision>
  <dcterms:created xsi:type="dcterms:W3CDTF">2023-01-11T00:03:00Z</dcterms:created>
  <dcterms:modified xsi:type="dcterms:W3CDTF">2023-11-10T19:36:00Z</dcterms:modified>
</cp:coreProperties>
</file>