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Default="006B3F1F" w:rsidP="00A631A3">
      <w:pPr>
        <w:pStyle w:val="Ttulo"/>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rsidRPr="00A11F7A" w14:paraId="2A071708" w14:textId="77777777" w:rsidTr="00197B90">
        <w:trPr>
          <w:tblHeader/>
          <w:jc w:val="center"/>
        </w:trPr>
        <w:tc>
          <w:tcPr>
            <w:tcW w:w="5148" w:type="dxa"/>
            <w:tcBorders>
              <w:top w:val="nil"/>
              <w:left w:val="nil"/>
              <w:bottom w:val="nil"/>
              <w:right w:val="nil"/>
            </w:tcBorders>
          </w:tcPr>
          <w:p w14:paraId="38043A10" w14:textId="13DF6FE6" w:rsidR="007031CC" w:rsidRPr="00D62A4A" w:rsidRDefault="00DE3E21" w:rsidP="005A2C27">
            <w:pPr>
              <w:pStyle w:val="AuthorName"/>
            </w:pPr>
            <w:r>
              <w:t xml:space="preserve">Maxwell Júnior </w:t>
            </w:r>
          </w:p>
          <w:p w14:paraId="121951C2" w14:textId="70360697" w:rsidR="007031CC" w:rsidRDefault="00A11F7A" w:rsidP="005A2C27">
            <w:pPr>
              <w:pStyle w:val="AuthorAffiliation"/>
            </w:pPr>
            <w:r w:rsidRPr="00A11F7A">
              <w:t>79457</w:t>
            </w:r>
          </w:p>
          <w:p w14:paraId="63A7B85A" w14:textId="16D21202" w:rsidR="00A11F7A" w:rsidRPr="00D62A4A" w:rsidRDefault="00A11F7A" w:rsidP="005A2C27">
            <w:pPr>
              <w:pStyle w:val="AuthorAffiliation"/>
            </w:pPr>
            <w:r>
              <w:t>Group 15</w:t>
            </w:r>
          </w:p>
          <w:p w14:paraId="70623E7D" w14:textId="3C2247D7" w:rsidR="007031CC" w:rsidRPr="00D62A4A" w:rsidRDefault="00A11F7A" w:rsidP="005A2C27">
            <w:pPr>
              <w:pStyle w:val="AuthorAffiliation"/>
            </w:pPr>
            <w:r>
              <w:t>IST - Alameda</w:t>
            </w:r>
          </w:p>
        </w:tc>
        <w:tc>
          <w:tcPr>
            <w:tcW w:w="5148" w:type="dxa"/>
            <w:tcBorders>
              <w:top w:val="nil"/>
              <w:left w:val="nil"/>
              <w:bottom w:val="nil"/>
              <w:right w:val="nil"/>
            </w:tcBorders>
          </w:tcPr>
          <w:p w14:paraId="04043866" w14:textId="4301E064" w:rsidR="007031CC" w:rsidRPr="00D62A4A" w:rsidRDefault="00DE3E21" w:rsidP="005A2C27">
            <w:pPr>
              <w:pStyle w:val="AuthorName"/>
            </w:pPr>
            <w:r>
              <w:t xml:space="preserve">Margarida </w:t>
            </w:r>
            <w:proofErr w:type="spellStart"/>
            <w:r>
              <w:t>Morais</w:t>
            </w:r>
            <w:proofErr w:type="spellEnd"/>
            <w:r>
              <w:t xml:space="preserve"> </w:t>
            </w:r>
          </w:p>
          <w:p w14:paraId="2AEB1998" w14:textId="36EFD550" w:rsidR="007031CC" w:rsidRPr="00D62A4A" w:rsidRDefault="00A11F7A" w:rsidP="005A2C27">
            <w:pPr>
              <w:pStyle w:val="AuthorAffiliation"/>
            </w:pPr>
            <w:r w:rsidRPr="00A11F7A">
              <w:t>86473</w:t>
            </w:r>
          </w:p>
          <w:p w14:paraId="66F00F9B" w14:textId="77777777" w:rsidR="007031CC" w:rsidRDefault="00A11F7A" w:rsidP="005A2C27">
            <w:pPr>
              <w:pStyle w:val="AuthorAffiliation"/>
            </w:pPr>
            <w:r>
              <w:t>Group 15</w:t>
            </w:r>
          </w:p>
          <w:p w14:paraId="1841A2BB" w14:textId="4B93CD68" w:rsidR="00A11F7A" w:rsidRPr="00D62A4A" w:rsidRDefault="00A11F7A" w:rsidP="005A2C27">
            <w:pPr>
              <w:pStyle w:val="AuthorAffiliation"/>
            </w:pPr>
            <w:r>
              <w:t>IST- Alameda</w:t>
            </w:r>
          </w:p>
        </w:tc>
        <w:tc>
          <w:tcPr>
            <w:tcW w:w="5148" w:type="dxa"/>
            <w:tcBorders>
              <w:top w:val="nil"/>
              <w:left w:val="nil"/>
              <w:bottom w:val="nil"/>
              <w:right w:val="nil"/>
            </w:tcBorders>
          </w:tcPr>
          <w:p w14:paraId="290C907D" w14:textId="6344A2CC" w:rsidR="007031CC" w:rsidRPr="00A11F7A" w:rsidRDefault="00DE3E21" w:rsidP="005A2C27">
            <w:pPr>
              <w:pStyle w:val="AuthorName"/>
              <w:rPr>
                <w:lang w:val="pt-PT"/>
              </w:rPr>
            </w:pPr>
            <w:r w:rsidRPr="00A11F7A">
              <w:rPr>
                <w:lang w:val="pt-PT"/>
              </w:rPr>
              <w:t>Yasser Zacarias</w:t>
            </w:r>
          </w:p>
          <w:p w14:paraId="620FD9DC" w14:textId="79DD3E72" w:rsidR="007031CC" w:rsidRPr="00A11F7A" w:rsidRDefault="00A11F7A" w:rsidP="005A2C27">
            <w:pPr>
              <w:pStyle w:val="AuthorAffiliation"/>
              <w:rPr>
                <w:lang w:val="pt-PT"/>
              </w:rPr>
            </w:pPr>
            <w:r w:rsidRPr="00A11F7A">
              <w:rPr>
                <w:lang w:val="pt-PT"/>
              </w:rPr>
              <w:t>88647</w:t>
            </w:r>
          </w:p>
          <w:p w14:paraId="1525AD95" w14:textId="7530D416" w:rsidR="007031CC" w:rsidRPr="00A11F7A" w:rsidRDefault="00A11F7A" w:rsidP="005A2C27">
            <w:pPr>
              <w:pStyle w:val="AuthorAffiliation"/>
              <w:rPr>
                <w:lang w:val="pt-PT"/>
              </w:rPr>
            </w:pPr>
            <w:proofErr w:type="spellStart"/>
            <w:r w:rsidRPr="00A11F7A">
              <w:rPr>
                <w:lang w:val="pt-PT"/>
              </w:rPr>
              <w:t>Group</w:t>
            </w:r>
            <w:proofErr w:type="spellEnd"/>
            <w:r w:rsidRPr="00A11F7A">
              <w:rPr>
                <w:lang w:val="pt-PT"/>
              </w:rPr>
              <w:t xml:space="preserve"> 15</w:t>
            </w:r>
          </w:p>
          <w:p w14:paraId="6180ECBE" w14:textId="6B4F58FF" w:rsidR="007031CC" w:rsidRPr="00A11F7A" w:rsidRDefault="00A11F7A" w:rsidP="005A2C27">
            <w:pPr>
              <w:pStyle w:val="AuthorAffiliation"/>
              <w:rPr>
                <w:lang w:val="pt-PT"/>
              </w:rPr>
            </w:pPr>
            <w:r w:rsidRPr="00A11F7A">
              <w:rPr>
                <w:lang w:val="pt-PT"/>
              </w:rPr>
              <w:t>IST - Alameda</w:t>
            </w:r>
          </w:p>
        </w:tc>
      </w:tr>
    </w:tbl>
    <w:p w14:paraId="6D0B57DC" w14:textId="77777777" w:rsidR="006B3F1F" w:rsidRPr="00A11F7A" w:rsidRDefault="006B3F1F">
      <w:pPr>
        <w:pStyle w:val="Author"/>
        <w:rPr>
          <w:sz w:val="20"/>
          <w:lang w:val="pt-PT"/>
        </w:rPr>
      </w:pPr>
    </w:p>
    <w:p w14:paraId="67367779" w14:textId="77777777" w:rsidR="006B3F1F" w:rsidRPr="00A11F7A" w:rsidRDefault="006B3F1F" w:rsidP="00F100EF">
      <w:pPr>
        <w:pStyle w:val="Author"/>
        <w:jc w:val="both"/>
        <w:rPr>
          <w:sz w:val="20"/>
          <w:lang w:val="pt-PT"/>
        </w:rPr>
        <w:sectPr w:rsidR="006B3F1F" w:rsidRPr="00A11F7A"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Ttulo1"/>
        <w:rPr>
          <w:rStyle w:val="Hiperligao"/>
        </w:rPr>
      </w:pPr>
      <w:r>
        <w:t>INTRODUCTION</w:t>
      </w:r>
    </w:p>
    <w:p w14:paraId="195C3503"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 and searching information through websites (i.e. Wikipedia).</w:t>
      </w:r>
    </w:p>
    <w:p w14:paraId="016A6B8A" w14:textId="77777777" w:rsidR="00F94824" w:rsidRPr="00F94824" w:rsidRDefault="00F94824" w:rsidP="00F94824">
      <w:pPr>
        <w:pStyle w:val="Ttulo1"/>
        <w:rPr>
          <w:rFonts w:ascii="Times New Roman" w:hAnsi="Times New Roman"/>
          <w:b w:val="0"/>
          <w:caps w:val="0"/>
          <w:kern w:val="0"/>
          <w:sz w:val="20"/>
        </w:rPr>
      </w:pPr>
      <w:r w:rsidRPr="00F94824">
        <w:rPr>
          <w:rFonts w:ascii="Times New Roman" w:hAnsi="Times New Roman"/>
          <w:b w:val="0"/>
          <w:caps w:val="0"/>
          <w:kern w:val="0"/>
          <w:sz w:val="20"/>
        </w:rPr>
        <w:tab/>
        <w:t>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life or help you to learn a new skill.</w:t>
      </w:r>
    </w:p>
    <w:p w14:paraId="6E268065" w14:textId="61875B86" w:rsidR="00F94824" w:rsidRDefault="00F94824" w:rsidP="00F94824">
      <w:pPr>
        <w:pStyle w:val="Ttulo1"/>
        <w:spacing w:before="0"/>
        <w:rPr>
          <w:rFonts w:ascii="Times New Roman" w:hAnsi="Times New Roman"/>
          <w:b w:val="0"/>
          <w:caps w:val="0"/>
          <w:kern w:val="0"/>
          <w:sz w:val="20"/>
        </w:rPr>
      </w:pPr>
      <w:r w:rsidRPr="00F94824">
        <w:rPr>
          <w:rFonts w:ascii="Times New Roman" w:hAnsi="Times New Roman"/>
          <w:b w:val="0"/>
          <w:caps w:val="0"/>
          <w:kern w:val="0"/>
          <w:sz w:val="20"/>
        </w:rPr>
        <w:tab/>
        <w:t xml:space="preserve">Our </w:t>
      </w:r>
      <w:r w:rsidR="00213D44">
        <w:rPr>
          <w:rFonts w:ascii="Times New Roman" w:hAnsi="Times New Roman"/>
          <w:b w:val="0"/>
          <w:caps w:val="0"/>
          <w:kern w:val="0"/>
          <w:sz w:val="20"/>
        </w:rPr>
        <w:t>desired outcome is</w:t>
      </w:r>
      <w:r w:rsidR="00D6080D">
        <w:rPr>
          <w:rFonts w:ascii="Times New Roman" w:hAnsi="Times New Roman"/>
          <w:b w:val="0"/>
          <w:caps w:val="0"/>
          <w:kern w:val="0"/>
          <w:sz w:val="20"/>
        </w:rPr>
        <w:t xml:space="preserve"> </w:t>
      </w:r>
      <w:r w:rsidR="00D6080D" w:rsidRPr="00F94824">
        <w:rPr>
          <w:rFonts w:ascii="Times New Roman" w:hAnsi="Times New Roman"/>
          <w:b w:val="0"/>
          <w:caps w:val="0"/>
          <w:kern w:val="0"/>
          <w:sz w:val="20"/>
        </w:rPr>
        <w:t>understanding</w:t>
      </w:r>
      <w:r w:rsidRPr="00F94824">
        <w:rPr>
          <w:rFonts w:ascii="Times New Roman" w:hAnsi="Times New Roman"/>
          <w:b w:val="0"/>
          <w:caps w:val="0"/>
          <w:kern w:val="0"/>
          <w:sz w:val="20"/>
        </w:rPr>
        <w:t xml:space="preserve"> how different these habits are between different countries throughout Europe, and</w:t>
      </w:r>
      <w:r w:rsidR="00213D44">
        <w:rPr>
          <w:rFonts w:ascii="Times New Roman" w:hAnsi="Times New Roman"/>
          <w:b w:val="0"/>
          <w:caps w:val="0"/>
          <w:kern w:val="0"/>
          <w:sz w:val="20"/>
        </w:rPr>
        <w:t xml:space="preserve"> also try to find whether are correlations between</w:t>
      </w:r>
      <w:r w:rsidR="00D6080D">
        <w:rPr>
          <w:rFonts w:ascii="Times New Roman" w:hAnsi="Times New Roman"/>
          <w:b w:val="0"/>
          <w:caps w:val="0"/>
          <w:kern w:val="0"/>
          <w:sz w:val="20"/>
        </w:rPr>
        <w:t xml:space="preserve"> them or not. </w:t>
      </w:r>
      <w:r w:rsidR="00213D44">
        <w:rPr>
          <w:rFonts w:ascii="Times New Roman" w:hAnsi="Times New Roman"/>
          <w:b w:val="0"/>
          <w:caps w:val="0"/>
          <w:kern w:val="0"/>
          <w:sz w:val="20"/>
        </w:rPr>
        <w:t xml:space="preserve"> </w:t>
      </w:r>
      <w:r w:rsidRPr="00F94824">
        <w:rPr>
          <w:rFonts w:ascii="Times New Roman" w:hAnsi="Times New Roman"/>
          <w:b w:val="0"/>
          <w:caps w:val="0"/>
          <w:kern w:val="0"/>
          <w:sz w:val="20"/>
        </w:rPr>
        <w:t xml:space="preserve"> if it has an impact in the overall picture of the demographics indicators such as the level of dropout or even high achievement in education system. </w:t>
      </w:r>
    </w:p>
    <w:p w14:paraId="71F957ED" w14:textId="3567DC10" w:rsidR="0073006B" w:rsidRDefault="0073006B" w:rsidP="00DD50F8">
      <w:pPr>
        <w:pStyle w:val="Ttulo1"/>
        <w:spacing w:before="0"/>
        <w:ind w:firstLine="720"/>
        <w:rPr>
          <w:rFonts w:ascii="Times New Roman" w:hAnsi="Times New Roman"/>
          <w:b w:val="0"/>
          <w:caps w:val="0"/>
          <w:kern w:val="0"/>
          <w:sz w:val="20"/>
        </w:rPr>
      </w:pPr>
      <w:r w:rsidRPr="0073006B">
        <w:rPr>
          <w:rFonts w:ascii="Times New Roman" w:hAnsi="Times New Roman"/>
          <w:b w:val="0"/>
          <w:caps w:val="0"/>
          <w:kern w:val="0"/>
          <w:sz w:val="20"/>
        </w:rPr>
        <w:t xml:space="preserve">Initially there were many questions about the subject that we wanted </w:t>
      </w:r>
      <w:r>
        <w:rPr>
          <w:rFonts w:ascii="Times New Roman" w:hAnsi="Times New Roman"/>
          <w:b w:val="0"/>
          <w:caps w:val="0"/>
          <w:kern w:val="0"/>
          <w:sz w:val="20"/>
        </w:rPr>
        <w:t>to answer through the visualizations, but a</w:t>
      </w:r>
      <w:r w:rsidRPr="0073006B">
        <w:rPr>
          <w:rFonts w:ascii="Times New Roman" w:hAnsi="Times New Roman"/>
          <w:b w:val="0"/>
          <w:caps w:val="0"/>
          <w:kern w:val="0"/>
          <w:sz w:val="20"/>
        </w:rPr>
        <w:t xml:space="preserve">fter further study of the topic, we realized that there was a need to </w:t>
      </w:r>
      <w:r>
        <w:rPr>
          <w:rFonts w:ascii="Times New Roman" w:hAnsi="Times New Roman"/>
          <w:b w:val="0"/>
          <w:caps w:val="0"/>
          <w:kern w:val="0"/>
          <w:sz w:val="20"/>
        </w:rPr>
        <w:t xml:space="preserve">narrow our </w:t>
      </w:r>
      <w:r w:rsidRPr="0073006B">
        <w:rPr>
          <w:rFonts w:ascii="Times New Roman" w:hAnsi="Times New Roman"/>
          <w:b w:val="0"/>
          <w:caps w:val="0"/>
          <w:kern w:val="0"/>
          <w:sz w:val="20"/>
        </w:rPr>
        <w:t>scope that would be feasible given our data limitations</w:t>
      </w:r>
      <w:r w:rsidR="00DD50F8">
        <w:rPr>
          <w:rFonts w:ascii="Times New Roman" w:hAnsi="Times New Roman"/>
          <w:b w:val="0"/>
          <w:caps w:val="0"/>
          <w:kern w:val="0"/>
          <w:sz w:val="20"/>
        </w:rPr>
        <w:t xml:space="preserve">, </w:t>
      </w:r>
      <w:r w:rsidRPr="0073006B">
        <w:rPr>
          <w:rFonts w:ascii="Times New Roman" w:hAnsi="Times New Roman"/>
          <w:b w:val="0"/>
          <w:caps w:val="0"/>
          <w:kern w:val="0"/>
          <w:sz w:val="20"/>
        </w:rPr>
        <w:t>and only to focus on the most important</w:t>
      </w:r>
      <w:r w:rsidR="00DD50F8">
        <w:rPr>
          <w:rFonts w:ascii="Times New Roman" w:hAnsi="Times New Roman"/>
          <w:b w:val="0"/>
          <w:caps w:val="0"/>
          <w:kern w:val="0"/>
          <w:sz w:val="20"/>
        </w:rPr>
        <w:t xml:space="preserve"> questions.</w:t>
      </w:r>
    </w:p>
    <w:p w14:paraId="6C721F49" w14:textId="6E9440E8" w:rsidR="00DD50F8" w:rsidRDefault="00DD50F8" w:rsidP="00DD50F8">
      <w:pPr>
        <w:ind w:firstLine="720"/>
      </w:pPr>
      <w:r>
        <w:t>With this in mind, we decided to come out with the questions below, that should be answered by correlating reading habits metrics and some demographic indicators.</w:t>
      </w:r>
    </w:p>
    <w:p w14:paraId="37653B07" w14:textId="77777777" w:rsidR="00DD50F8" w:rsidRPr="00DD50F8" w:rsidRDefault="00DD50F8" w:rsidP="00DD50F8">
      <w:pPr>
        <w:pStyle w:val="PargrafodaLista"/>
        <w:numPr>
          <w:ilvl w:val="0"/>
          <w:numId w:val="48"/>
        </w:numPr>
      </w:pPr>
      <w:r w:rsidRPr="00DD50F8">
        <w:t>How many hours, in average, do the countries in EU spend reading?</w:t>
      </w:r>
    </w:p>
    <w:p w14:paraId="57FFEA40" w14:textId="143D4A71" w:rsidR="00DD50F8" w:rsidRPr="00DD50F8" w:rsidRDefault="00DD50F8" w:rsidP="00DD50F8">
      <w:pPr>
        <w:pStyle w:val="PargrafodaLista"/>
        <w:numPr>
          <w:ilvl w:val="0"/>
          <w:numId w:val="48"/>
        </w:numPr>
      </w:pPr>
      <w:r>
        <w:t>What is the a</w:t>
      </w:r>
      <w:r w:rsidRPr="00DD50F8">
        <w:t>verage income for education for level?</w:t>
      </w:r>
    </w:p>
    <w:p w14:paraId="488B08E7" w14:textId="08C4FED3" w:rsidR="00DD50F8" w:rsidRDefault="005F4DBA" w:rsidP="00DD50F8">
      <w:pPr>
        <w:pStyle w:val="PargrafodaLista"/>
        <w:numPr>
          <w:ilvl w:val="0"/>
          <w:numId w:val="48"/>
        </w:numPr>
      </w:pPr>
      <w:r>
        <w:t>What is c</w:t>
      </w:r>
      <w:r w:rsidRPr="005F4DBA">
        <w:t>ountry reading habit and dropout rate</w:t>
      </w:r>
      <w:r>
        <w:t>?</w:t>
      </w:r>
    </w:p>
    <w:p w14:paraId="08708B9E" w14:textId="61F16722" w:rsidR="005F4DBA" w:rsidRPr="00DD50F8" w:rsidRDefault="005F4DBA" w:rsidP="00DD50F8">
      <w:pPr>
        <w:pStyle w:val="PargrafodaLista"/>
        <w:numPr>
          <w:ilvl w:val="0"/>
          <w:numId w:val="48"/>
        </w:numPr>
      </w:pPr>
      <w:r w:rsidRPr="005F4DBA">
        <w:t>Household expenditure in books</w:t>
      </w:r>
      <w:r>
        <w:t>?</w:t>
      </w:r>
      <w:bookmarkStart w:id="0" w:name="_GoBack"/>
      <w:bookmarkEnd w:id="0"/>
    </w:p>
    <w:p w14:paraId="4AC8339D" w14:textId="77777777" w:rsidR="006B3F1F" w:rsidRDefault="006B3F1F">
      <w:pPr>
        <w:pStyle w:val="Ttulo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Ttul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Ttul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Ttul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703C1" w:rsidP="008C41ED">
      <w:pPr>
        <w:rPr>
          <w:color w:val="000000"/>
        </w:rPr>
      </w:pPr>
      <w:hyperlink r:id="rId8" w:history="1">
        <w:r w:rsidR="005C0FDD">
          <w:rPr>
            <w:rStyle w:val="Hiperligao"/>
          </w:rPr>
          <w:t>http://acm.org/publications/policies/copyright_policy</w:t>
        </w:r>
      </w:hyperlink>
    </w:p>
    <w:p w14:paraId="63EC85FA" w14:textId="77777777" w:rsidR="006B3F1F" w:rsidRDefault="006B3F1F">
      <w:pPr>
        <w:pStyle w:val="Ttulo2"/>
      </w:pPr>
      <w:r>
        <w:lastRenderedPageBreak/>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r w:rsidR="006269FF">
        <w:fldChar w:fldCharType="begin"/>
      </w:r>
      <w:r w:rsidR="006269FF">
        <w:instrText xml:space="preserve"> SEQ Figure \* ARABIC </w:instrText>
      </w:r>
      <w:r w:rsidR="006269FF">
        <w:fldChar w:fldCharType="separate"/>
      </w:r>
      <w:r w:rsidR="002028D3">
        <w:rPr>
          <w:noProof/>
        </w:rPr>
        <w:t>1</w:t>
      </w:r>
      <w:r w:rsidR="006269FF">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1" w:name="_Ref279755490"/>
      <w:r>
        <w:t xml:space="preserve">Table </w:t>
      </w:r>
      <w:r w:rsidR="006269FF">
        <w:fldChar w:fldCharType="begin"/>
      </w:r>
      <w:r w:rsidR="006269FF">
        <w:instrText xml:space="preserve"> SEQ Table \* ARABIC </w:instrText>
      </w:r>
      <w:r w:rsidR="006269FF">
        <w:fldChar w:fldCharType="separate"/>
      </w:r>
      <w:r w:rsidR="002028D3">
        <w:rPr>
          <w:noProof/>
        </w:rPr>
        <w:t>1</w:t>
      </w:r>
      <w:r w:rsidR="006269FF">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0"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Ttul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Ttul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1"/>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r w:rsidR="006269FF">
        <w:fldChar w:fldCharType="begin"/>
      </w:r>
      <w:r w:rsidR="006269FF">
        <w:instrText xml:space="preserve"> SEQ Figure \* ARABIC </w:instrText>
      </w:r>
      <w:r w:rsidR="006269FF">
        <w:fldChar w:fldCharType="separate"/>
      </w:r>
      <w:r w:rsidR="002028D3">
        <w:rPr>
          <w:noProof/>
        </w:rPr>
        <w:t>2</w:t>
      </w:r>
      <w:r w:rsidR="006269FF">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3"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703C1" w:rsidP="00526FB1">
      <w:pPr>
        <w:rPr>
          <w:rStyle w:val="Hiperligao"/>
          <w:color w:val="000000"/>
        </w:rPr>
      </w:pPr>
      <w:hyperlink r:id="rId14"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Ttul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703C1" w:rsidP="00853A06">
      <w:hyperlink r:id="rId15"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6" w:history="1">
        <w:r w:rsidRPr="003F70AB">
          <w:rPr>
            <w:rStyle w:val="Hiperligao"/>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7" w:history="1">
        <w:r w:rsidRPr="003F70AB">
          <w:rPr>
            <w:rStyle w:val="Hiperligao"/>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8" w:history="1">
        <w:r w:rsidRPr="003F70AB">
          <w:rPr>
            <w:rStyle w:val="Hiperligao"/>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19" w:history="1">
        <w:r w:rsidR="004E6530" w:rsidRPr="003F70AB">
          <w:rPr>
            <w:rStyle w:val="Hiperligao"/>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20" w:history="1">
        <w:r w:rsidRPr="003F70AB">
          <w:rPr>
            <w:rStyle w:val="Hiperligao"/>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BD6F8" w14:textId="77777777" w:rsidR="00D703C1" w:rsidRDefault="00D703C1">
      <w:r>
        <w:separator/>
      </w:r>
    </w:p>
  </w:endnote>
  <w:endnote w:type="continuationSeparator" w:id="0">
    <w:p w14:paraId="794539CD" w14:textId="77777777" w:rsidR="00D703C1" w:rsidRDefault="00D7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645D" w14:textId="77777777" w:rsidR="00D703C1" w:rsidRDefault="00D703C1" w:rsidP="00443E9F">
      <w:pPr>
        <w:spacing w:after="0"/>
      </w:pPr>
      <w:r>
        <w:separator/>
      </w:r>
    </w:p>
  </w:footnote>
  <w:footnote w:type="continuationSeparator" w:id="0">
    <w:p w14:paraId="388F8ECB" w14:textId="77777777" w:rsidR="00D703C1" w:rsidRDefault="00D703C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8E11C0E"/>
    <w:multiLevelType w:val="hybridMultilevel"/>
    <w:tmpl w:val="FB76879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77922DC"/>
    <w:multiLevelType w:val="hybridMultilevel"/>
    <w:tmpl w:val="063A1E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8"/>
  </w:num>
  <w:num w:numId="30">
    <w:abstractNumId w:val="32"/>
  </w:num>
  <w:num w:numId="31">
    <w:abstractNumId w:val="15"/>
  </w:num>
  <w:num w:numId="32">
    <w:abstractNumId w:val="36"/>
  </w:num>
  <w:num w:numId="33">
    <w:abstractNumId w:val="0"/>
  </w:num>
  <w:num w:numId="34">
    <w:abstractNumId w:val="31"/>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8"/>
  </w:num>
  <w:num w:numId="45">
    <w:abstractNumId w:val="34"/>
  </w:num>
  <w:num w:numId="46">
    <w:abstractNumId w:val="37"/>
  </w:num>
  <w:num w:numId="47">
    <w:abstractNumId w:val="1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3D44"/>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5F4DBA"/>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006B"/>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11F7A"/>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80D"/>
    <w:rsid w:val="00D60FA7"/>
    <w:rsid w:val="00D65617"/>
    <w:rsid w:val="00D703C1"/>
    <w:rsid w:val="00D84763"/>
    <w:rsid w:val="00D90F52"/>
    <w:rsid w:val="00D93431"/>
    <w:rsid w:val="00DB7B90"/>
    <w:rsid w:val="00DD50F8"/>
    <w:rsid w:val="00DE1746"/>
    <w:rsid w:val="00DE3B36"/>
    <w:rsid w:val="00DE3E21"/>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4FD0"/>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94824"/>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B70C974-6833-7B49-8704-BDAF6A86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DD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1335800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93196147">
      <w:bodyDiv w:val="1"/>
      <w:marLeft w:val="0"/>
      <w:marRight w:val="0"/>
      <w:marTop w:val="0"/>
      <w:marBottom w:val="0"/>
      <w:divBdr>
        <w:top w:val="none" w:sz="0" w:space="0" w:color="auto"/>
        <w:left w:val="none" w:sz="0" w:space="0" w:color="auto"/>
        <w:bottom w:val="none" w:sz="0" w:space="0" w:color="auto"/>
        <w:right w:val="none" w:sz="0" w:space="0" w:color="auto"/>
      </w:divBdr>
    </w:div>
    <w:div w:id="152936773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publications/policies/copyright_policy" TargetMode="External"/><Relationship Id="rId13" Type="http://schemas.openxmlformats.org/officeDocument/2006/relationships/hyperlink" Target="http://chi2016.acm.org/accessibility" TargetMode="External"/><Relationship Id="rId18" Type="http://schemas.openxmlformats.org/officeDocument/2006/relationships/hyperlink" Target="http://dx.doi.org/10.1007/s00779-014-0773-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igaccess.org/welcome-to-sigaccess/resources/accessible-writing-guide/" TargetMode="External"/><Relationship Id="rId2" Type="http://schemas.openxmlformats.org/officeDocument/2006/relationships/numbering" Target="numbering.xml"/><Relationship Id="rId16" Type="http://schemas.openxmlformats.org/officeDocument/2006/relationships/hyperlink" Target="http://www.acm.org/class/how_to_use.html%20" TargetMode="External"/><Relationship Id="rId20"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cm.org/publications/submissions/latex_style" TargetMode="External"/><Relationship Id="rId10" Type="http://schemas.openxmlformats.org/officeDocument/2006/relationships/hyperlink" Target="http://acm.org/publications/submissions/latex_style" TargetMode="External"/><Relationship Id="rId19" Type="http://schemas.openxmlformats.org/officeDocument/2006/relationships/hyperlink" Target="http://doi.acm.org/10.1145/503376.50337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ridanprinting.com/typedept/ACM-distilling-setting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EFE4-2419-DF4A-BF2A-7263AB8F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2825</Words>
  <Characters>15256</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18045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aldeia 01</cp:lastModifiedBy>
  <cp:revision>4</cp:revision>
  <cp:lastPrinted>2015-02-13T20:42:00Z</cp:lastPrinted>
  <dcterms:created xsi:type="dcterms:W3CDTF">2015-02-13T20:42:00Z</dcterms:created>
  <dcterms:modified xsi:type="dcterms:W3CDTF">2019-12-09T23:52:00Z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