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spacing w:after="200" w:line="276" w:lineRule="auto"/>
        <w:jc w:val="center"/>
        <w:rPr>
          <w:vertAlign w:val="baseline"/>
        </w:rPr>
      </w:pPr>
      <w:bookmarkStart w:colFirst="0" w:colLast="0" w:name="_cbk0nz5ujxgw" w:id="0"/>
      <w:bookmarkEnd w:id="0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Задача №1 </w:t>
      </w:r>
    </w:p>
    <w:p w:rsidR="00000000" w:rsidDel="00000000" w:rsidP="00000000" w:rsidRDefault="00000000" w:rsidRPr="00000000" w14:paraId="00000002">
      <w:pPr>
        <w:widowControl w:val="0"/>
        <w:spacing w:after="0" w:before="200" w:line="276" w:lineRule="auto"/>
        <w:ind w:left="30.249977111816406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Партнер: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Федеральная служба государственной статистики (Росстат)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0.249977111816406" w:right="1698.787841796875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Название: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портрета российского мигранта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Краткое описание проблематики: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.449989318847656" w:right="21.431884765625" w:firstLine="1.1199951171875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Существование множества разрозненных источников информации по социально-демографическим характеристикам мигрантов и отсутствие механизмов их объединения и согласования.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5654296875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Контекст: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.449974060058594" w:right="15.352783203125" w:firstLine="20.72002410888672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категория лиц, по которым публикуются социально-демографические характеристики, попадает под определения мигранта (смена места жительства на срок 9 месяцев и более), то атрибуты этих данных можно сопоставить/дополнить с другими подобными сведениями.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457763671875" w:line="276" w:lineRule="auto"/>
        <w:ind w:left="6.450004577636719" w:right="12.29736328125" w:firstLine="27.719993591308594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Пример: информация о числе поступивших студентов по регионам приема/выхода и данные Росстата о количестве мигрантов, сменивших место жительства по причине учебы.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5654296875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Цель анализа: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.650001525878906" w:right="7.34375" w:firstLine="4.47998046875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Объединение разрозненных источников данных с большим разнообразием атрибутов.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547119140625" w:line="276" w:lineRule="auto"/>
        <w:ind w:left="26.32999420166015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.449989318847656" w:right="23.83544921875" w:firstLine="6.720008850097656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Возможность создания портера мигранта, миграционного портрета страны/субъекта РФ.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55322265625" w:line="276" w:lineRule="auto"/>
        <w:ind w:left="25.48999786376953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Формат и структура представления решения: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.489967346191406" w:right="7.01171875" w:hanging="10.639991760253906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перечень показателей по социально-демографическим характеристикам мигрантов, собираемых и публикуемых федеральными органами исполнительной власти в настоящее время;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.489967346191406" w:right="22.7490234375" w:hanging="10.639991760253906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перечень дополнительных показателей, которые возможно начать разрабатывать на регулярной основе в ближайшие годы, обосновать возможность их сбора;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описание методологии данных показателей;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.489967346191406" w:right="23.1494140625" w:hanging="10.639991760253906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единая платформа для размещения официальных данных о миграции населения федеральных органов исполнительной власти Российской Федерации, поддерживающая возможности визуализации и построения карт.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5684814453125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Критерии оценки итогового продукта/результата: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полнота собранных статистических данных;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учет выявленных различий данных;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особенностей используемых методологий.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26.32999420166015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Ссылки на открытые источники данных: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МВД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28125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ФАДН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083984375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Минюст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28125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Минтруд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083984375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Минпросвещения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28125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083984375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Минздрав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28125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Минкультуры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083984375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ПФР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28125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МИД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083984375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Пограничная служба ФСБ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328125" w:line="276" w:lineRule="auto"/>
        <w:ind w:left="395.009956359863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ЕГР ЗАГС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1083984375" w:line="276" w:lineRule="auto"/>
        <w:ind w:left="395.0099563598633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ff"/>
          <w:sz w:val="28"/>
          <w:szCs w:val="28"/>
          <w:u w:val="single"/>
          <w:shd w:fill="auto" w:val="clear"/>
          <w:vertAlign w:val="baseline"/>
          <w:rtl w:val="0"/>
        </w:rPr>
        <w:t xml:space="preserve">ФНС</w:t>
      </w:r>
    </w:p>
    <w:p w:rsidR="00000000" w:rsidDel="00000000" w:rsidP="00000000" w:rsidRDefault="00000000" w:rsidRPr="00000000" w14:paraId="00000024">
      <w:pPr>
        <w:widowControl w:val="0"/>
        <w:spacing w:before="200" w:lineRule="auto"/>
        <w:ind w:left="26.329994201660156" w:firstLine="0"/>
        <w:rPr>
          <w:rFonts w:ascii="Play" w:cs="Play" w:eastAsia="Play" w:hAnsi="Play"/>
          <w:color w:val="0000ff"/>
          <w:sz w:val="28"/>
          <w:szCs w:val="28"/>
          <w:u w:val="single"/>
        </w:rPr>
      </w:pPr>
      <w:hyperlink r:id="rId6">
        <w:r w:rsidDel="00000000" w:rsidR="00000000" w:rsidRPr="00000000">
          <w:rPr>
            <w:rFonts w:ascii="Play" w:cs="Play" w:eastAsia="Play" w:hAnsi="Play"/>
            <w:b w:val="1"/>
            <w:color w:val="1155cc"/>
            <w:sz w:val="28"/>
            <w:szCs w:val="28"/>
            <w:u w:val="single"/>
            <w:rtl w:val="0"/>
          </w:rPr>
          <w:t xml:space="preserve">Видео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Play" w:cs="Play" w:eastAsia="Play" w:hAnsi="Play"/>
          <w:b w:val="1"/>
          <w:color w:val="073763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widowControl w:val="0"/>
        <w:spacing w:line="276" w:lineRule="auto"/>
        <w:jc w:val="center"/>
        <w:rPr>
          <w:vertAlign w:val="baseline"/>
        </w:rPr>
      </w:pPr>
      <w:bookmarkStart w:colFirst="0" w:colLast="0" w:name="_coi4iqkiqs2v" w:id="1"/>
      <w:bookmarkEnd w:id="1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Задача №2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91845703125" w:line="276" w:lineRule="auto"/>
        <w:ind w:left="30.249977111816406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Партнер: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Федеральная служба государственной статистики (Росстат)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84423828125" w:line="276" w:lineRule="auto"/>
        <w:ind w:left="12.329978942871094" w:right="21.214599609375" w:firstLine="17.919998168945312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Название: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Анализ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данных по показателям целей устойчивого развития (ЦУР) на национальном уровне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5654296875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Краткое описание проблематики: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04998779296875" w:right="15.05615234375" w:firstLine="9.519996643066406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Задачи ЦУР определены в повестке дня на период до 2030 года как «амбициозные и глобальные», которые каждое государство адаптирует с учетом собственных национальных задач и показателей, “руководствуясь глобальными амбициями, но с учетом национальных особенностей”. Однако только 230 показателей ЦУР будут использоваться для оценки прогресса на глобальном уровне. На данный момент осуществляется только мониторинг сбора данных показателей, однако их динамика, а также связь между показателями (а следовательно, различными сферами жизни страны) не исследуется.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559326171875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Цель анализа: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.650001525878906" w:right="7.34375" w:firstLine="4.47998046875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Анализ и визуализация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данных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по показателям ЦУР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5654296875" w:line="276" w:lineRule="auto"/>
        <w:ind w:left="26.32999420166015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.449989318847656" w:right="20.494384765625" w:firstLine="6.720008850097656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Выгрузка всех размещенных в ЕМИСС показателей ЦУР и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анализ их динамики («Портретирование сфер жизни общества»), а также взаимосвязи между показателями. В идеале — построить прогноз развития отдельных показателей. Самые значимые: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0.494384765625" w:hanging="360"/>
        <w:jc w:val="both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Ликвидация нищеты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0.494384765625" w:hanging="360"/>
        <w:jc w:val="both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Ликвидация голода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0.494384765625" w:hanging="360"/>
        <w:jc w:val="both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Качество образования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20.494384765625" w:hanging="360"/>
        <w:jc w:val="both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Достойная работа и экономический рост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4608154296875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Критерии оценки итогового продукта/результата: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корректность полученных данных; </w:t>
      </w:r>
    </w:p>
    <w:p w:rsidR="00000000" w:rsidDel="00000000" w:rsidP="00000000" w:rsidRDefault="00000000" w:rsidRPr="00000000" w14:paraId="00000035">
      <w:pPr>
        <w:widowControl w:val="0"/>
        <w:ind w:left="21.8499755859375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— полнота аналитики, логичность;</w:t>
      </w:r>
    </w:p>
    <w:p w:rsidR="00000000" w:rsidDel="00000000" w:rsidP="00000000" w:rsidRDefault="00000000" w:rsidRPr="00000000" w14:paraId="00000036">
      <w:pPr>
        <w:widowControl w:val="0"/>
        <w:ind w:left="21.8499755859375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— содержательная интерпретация;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— информативность и качество визуализации.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9132080078125" w:line="276" w:lineRule="auto"/>
        <w:ind w:left="26.32999420166015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Ссылки на открытые источники данных: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.0099563598633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https://www.fedstat.ru/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.0099563598633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1155cc"/>
          <w:sz w:val="28"/>
          <w:szCs w:val="28"/>
          <w:u w:val="single"/>
          <w:shd w:fill="auto" w:val="clear"/>
          <w:vertAlign w:val="baseline"/>
          <w:rtl w:val="0"/>
        </w:rPr>
        <w:t xml:space="preserve">https://rosstat.gov.ru/sdg/data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.0099563598633" w:right="0" w:firstLine="0"/>
        <w:jc w:val="left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hyperlink r:id="rId7">
        <w:r w:rsidDel="00000000" w:rsidR="00000000" w:rsidRPr="00000000">
          <w:rPr>
            <w:rFonts w:ascii="Play" w:cs="Play" w:eastAsia="Play" w:hAnsi="Play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https://reestr.digital.gov.ru/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.0099563598633" w:right="0" w:firstLine="0"/>
        <w:jc w:val="left"/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rFonts w:ascii="Play" w:cs="Play" w:eastAsia="Play" w:hAnsi="Play"/>
            <w:b w:val="1"/>
            <w:color w:val="1155cc"/>
            <w:sz w:val="28"/>
            <w:szCs w:val="28"/>
            <w:u w:val="single"/>
            <w:rtl w:val="0"/>
          </w:rPr>
          <w:t xml:space="preserve">Видео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widowControl w:val="0"/>
        <w:spacing w:before="46.11114501953125" w:line="276" w:lineRule="auto"/>
        <w:ind w:left="395.0099563598633" w:firstLine="0"/>
        <w:jc w:val="center"/>
        <w:rPr>
          <w:vertAlign w:val="baseline"/>
        </w:rPr>
      </w:pPr>
      <w:bookmarkStart w:colFirst="0" w:colLast="0" w:name="_3uqra0vjz6w4" w:id="2"/>
      <w:bookmarkEnd w:id="2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Задача №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0.249977111816406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Партнер: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 компаний ЭФКО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0.249977111816406" w:right="511.64794921875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Название: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Анализ мотивов потребителей «за» и «против» растительного мяса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.249977111816406" w:right="511.64794921875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Контекст: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04998779296875" w:right="21.688232421875" w:firstLine="9.519996643066406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Стремительный рост численности населения Земли и ориентация на здоровое питание формируют новые тренды на осознанное потребление продукции, производство которой не вредит планете. Например, производство растительного мяса требует в 14 раз меньше земли, в десятки раз меньше воды, в 8 раз сокращаются выбросы углекислого газа в атмосферу по сравнению с производством говядины. Подробнее с этой темой можно познакомиться в лекции исполнительного директора ГК «ЭФКО» Сергея Иванова: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2.489967346191406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https://www.instagram.com/tv/CQvi3pEoXg9/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Краткое описание проблематики: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.52997589111328" w:right="20.135498046875" w:hanging="17.080001831054688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Жители Сибири в большинстве своем являются мясоедами. ГК «ЭФКО» как производителю инновационных продуктов питания и растительного мяса под брендом Hi! (от англ. Healthy Innovation – здоровые инновации) важно понять, какими причинами руководствуются жители Сибири, формируя мнение в поддержку или против растительного мяса.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2841796875" w:line="276" w:lineRule="auto"/>
        <w:ind w:left="26.32999420166015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.16999816894531" w:right="27.005615234375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аргументов в поддержку и возражений на тему потребления растительного мяса.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253662109375" w:line="276" w:lineRule="auto"/>
        <w:ind w:left="25.48999786376953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Формат и структура представления решения: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.449989318847656" w:right="0" w:firstLine="1.1199951171875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Собранные статистические данные в графическом визуально-понятном оформлении, отвечающие на следующие вопросы: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.449989318847656" w:right="0" w:firstLine="1.1199951171875"/>
        <w:jc w:val="left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.3699951171875" w:right="24.3505859375" w:firstLine="4.47998046875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Перечень и базовые характеристики веганских и вегетарианских сообществ в Томск.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.449989318847656" w:right="28.011474609375" w:hanging="5.600013732910156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Среди вегетарианцев Томска больше мужчин или женщин? Описать социально-демографический портрет «типичного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вегетарианца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.16999816894531" w:right="34.425048828125" w:hanging="12.320022583007812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Насколько активны томичи в крупных федеральных группах, посвященных вегетарианству и осознанному питанию?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.20996856689453" w:right="54.43603515625" w:hanging="10.359992980957031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Можно ли выделить локации/культурные заведения или заведения общепита, которые наиболее популярны среди томских вегетарианцев?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.329978942871094" w:right="20.833740234375" w:firstLine="9.519996643066406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Можно ли выделить конкретных лидеров мнений? Если да, то кто они? Описать их социально-демографический портрет (можно и целевую аудиторию на усмотрение участников)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.16999816894531" w:right="32.601318359375" w:hanging="12.320022583007812"/>
        <w:jc w:val="left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Наиболее яркие обсуждения за и против растительного питания, в том числе мяса (если удалось обнаружить). </w:t>
      </w:r>
      <w:hyperlink r:id="rId9">
        <w:r w:rsidDel="00000000" w:rsidR="00000000" w:rsidRPr="00000000">
          <w:rPr>
            <w:rFonts w:ascii="Play" w:cs="Play" w:eastAsia="Play" w:hAnsi="Play"/>
            <w:b w:val="0"/>
            <w:i w:val="0"/>
            <w:smallCaps w:val="0"/>
            <w:strike w:val="0"/>
            <w:color w:val="1155cc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https://www.instagram.com/tv/CQvi3pEoXg9/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.16999816894531" w:right="27.7001953125" w:hanging="12.320022583007812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Какими аргументами томичи обычно поддерживают идею попробовать или ввести в свой рацион растительное мясо?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.16999816894531" w:right="33.486328125" w:hanging="12.320022583007812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Какими аргументами томские вегетарианцы обычно обоснуют свой отказ от мяса?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Какие аргументы обычно называют противники растительного мяса?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.489967346191406" w:right="17.005615234375" w:hanging="10.639991760253906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Какие контраргументы можно привести на указанные возражения против растительного мяса?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14990234375" w:line="276" w:lineRule="auto"/>
        <w:ind w:left="34.16999816894531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Возможные другие вопросы на усмотрение участников.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4912109375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Критерии оценки итогового продукта / результата: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количество собранных аргументов «за» и «против»;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.489967346191406" w:right="15.84228515625" w:hanging="10.639991760253906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количество и качество приведенных контраргументов на возражения против растительного мяса;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.449989318847656" w:right="38.402099609375" w:hanging="5.600013732910156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описание целевого портрета (социально-демографических характеристик) субъектов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полнота статистических данных;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особенности используемых методологий.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387451171875" w:line="276" w:lineRule="auto"/>
        <w:ind w:left="27.449989318847656" w:right="2.646484375" w:firstLine="6.720008850097656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оценки итоговой базы данных особое внимание уделяется приведенным контраргументам на возражения против растительного мяса: их количество и содержание.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624755859375" w:line="276" w:lineRule="auto"/>
        <w:ind w:left="26.32999420166015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Ссылки на открытые источники данных: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.16999816894531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Публикации в СМИ.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847900390625" w:line="276" w:lineRule="auto"/>
        <w:ind w:left="27.449989318847656" w:right="45.816650390625" w:firstLine="1.67999267578125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Открытые паблики в социальной сети Вконтакте, связанные с вегетарианством, осознанным питанием и растительным мясом.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32080078125" w:line="276" w:lineRule="auto"/>
        <w:ind w:left="34.16999816894531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Примеры: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22076416015625" w:line="276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sz w:val="29"/>
          <w:szCs w:val="29"/>
          <w:u w:val="none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highlight w:val="white"/>
          <w:u w:val="single"/>
          <w:vertAlign w:val="baseline"/>
          <w:rtl w:val="0"/>
        </w:rPr>
        <w:t xml:space="preserve">HI!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sz w:val="29"/>
          <w:szCs w:val="29"/>
          <w:u w:val="none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highlight w:val="white"/>
          <w:u w:val="single"/>
          <w:vertAlign w:val="baseline"/>
          <w:rtl w:val="0"/>
        </w:rPr>
        <w:t xml:space="preserve">Едим лучше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73763"/>
          <w:sz w:val="29"/>
          <w:szCs w:val="29"/>
          <w:highlight w:val="white"/>
          <w:u w:val="none"/>
          <w:vertAlign w:val="baseline"/>
          <w:rtl w:val="0"/>
        </w:rPr>
        <w:t xml:space="preserve">(и другие социальные сети)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73763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710.555419921875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sz w:val="29"/>
          <w:szCs w:val="29"/>
          <w:u w:val="none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highlight w:val="white"/>
          <w:u w:val="single"/>
          <w:vertAlign w:val="baseline"/>
          <w:rtl w:val="0"/>
        </w:rPr>
        <w:t xml:space="preserve">VEGETARIAN портал о здоровом образе жизни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73763"/>
          <w:sz w:val="29"/>
          <w:szCs w:val="29"/>
          <w:highlight w:val="white"/>
          <w:u w:val="none"/>
          <w:vertAlign w:val="baseline"/>
          <w:rtl w:val="0"/>
        </w:rPr>
        <w:t xml:space="preserve">(и другие социальные сети)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73763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highlight w:val="white"/>
          <w:u w:val="single"/>
          <w:vertAlign w:val="baseline"/>
          <w:rtl w:val="0"/>
        </w:rPr>
        <w:t xml:space="preserve">Вегетарианство - норма жизни!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sz w:val="29"/>
          <w:szCs w:val="29"/>
          <w:u w:val="none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highlight w:val="white"/>
          <w:u w:val="single"/>
          <w:vertAlign w:val="baseline"/>
          <w:rtl w:val="0"/>
        </w:rPr>
        <w:t xml:space="preserve">VEGAN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sz w:val="29"/>
          <w:szCs w:val="29"/>
          <w:u w:val="none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highlight w:val="white"/>
          <w:u w:val="single"/>
          <w:vertAlign w:val="baseline"/>
          <w:rtl w:val="0"/>
        </w:rPr>
        <w:t xml:space="preserve">Вегетарианцы/Веганы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76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sz w:val="29"/>
          <w:szCs w:val="29"/>
          <w:u w:val="none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highlight w:val="white"/>
          <w:u w:val="single"/>
          <w:vertAlign w:val="baseline"/>
          <w:rtl w:val="0"/>
        </w:rPr>
        <w:t xml:space="preserve">VEGUSTO! Вегетарианство, рецепты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sz w:val="29"/>
          <w:szCs w:val="29"/>
          <w:u w:val="none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highlight w:val="white"/>
          <w:u w:val="single"/>
          <w:vertAlign w:val="baseline"/>
          <w:rtl w:val="0"/>
        </w:rPr>
        <w:t xml:space="preserve">Вкусное вегетарианство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lay" w:cs="Play" w:eastAsia="Play" w:hAnsi="Play"/>
          <w:b w:val="0"/>
          <w:i w:val="0"/>
          <w:smallCaps w:val="0"/>
          <w:strike w:val="0"/>
          <w:sz w:val="29"/>
          <w:szCs w:val="29"/>
          <w:u w:val="none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highlight w:val="white"/>
          <w:u w:val="single"/>
          <w:vertAlign w:val="baseline"/>
          <w:rtl w:val="0"/>
        </w:rPr>
        <w:t xml:space="preserve">Артём Хачатрян | Врач | Натуропат | Вегетарианец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9"/>
          <w:szCs w:val="29"/>
          <w:u w:val="single"/>
          <w:shd w:fill="auto" w:val="clear"/>
          <w:vertAlign w:val="baseline"/>
          <w:rtl w:val="0"/>
        </w:rPr>
        <w:t xml:space="preserve">ДЖАГАННАТ | Томск: Товары для здоровья и красоты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Play" w:cs="Play" w:eastAsia="Play" w:hAnsi="Play"/>
          <w:b w:val="1"/>
          <w:color w:val="073763"/>
          <w:sz w:val="36"/>
          <w:szCs w:val="36"/>
        </w:rPr>
      </w:pPr>
      <w:hyperlink r:id="rId10">
        <w:r w:rsidDel="00000000" w:rsidR="00000000" w:rsidRPr="00000000">
          <w:rPr>
            <w:rFonts w:ascii="Play" w:cs="Play" w:eastAsia="Play" w:hAnsi="Play"/>
            <w:b w:val="1"/>
            <w:color w:val="1155cc"/>
            <w:sz w:val="28"/>
            <w:szCs w:val="28"/>
            <w:u w:val="single"/>
            <w:rtl w:val="0"/>
          </w:rPr>
          <w:t xml:space="preserve">Видео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widowControl w:val="0"/>
        <w:spacing w:line="276" w:lineRule="auto"/>
        <w:jc w:val="center"/>
        <w:rPr>
          <w:vertAlign w:val="baseline"/>
        </w:rPr>
      </w:pPr>
      <w:bookmarkStart w:colFirst="0" w:colLast="0" w:name="_mqm9oxbxzdlo" w:id="3"/>
      <w:bookmarkEnd w:id="3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Задача №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43310546875" w:line="276" w:lineRule="auto"/>
        <w:ind w:left="30.249977111816406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Партнер: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 компаний ЭФКО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84912109375" w:line="276" w:lineRule="auto"/>
        <w:ind w:left="34.16999816894531" w:right="19.47021484375" w:hanging="3.9200210571289062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Название: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возможностей профессиональной реализации студентов и выпускников биологических, химических, биотехнологических факультетов ВУЗов Томской области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4619140625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Краткое описание проблематики: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.449974060058594" w:right="2.689208984375" w:firstLine="15.120010375976562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Студенты идут учиться на биологический, химический, биотехнологический факультеты, считая, что в будущем смогут заниматься наукой, новыми технологиями, сделать свой вклад в продовольственной, нефтегазовой, фармацевтической и других сферах. Но зачастую реальность такова, что на рынке труда мало возможностей для самореализации в этих направлениях деятельности, мало шансов, даже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трудоустроившись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видеть истинную полезность своей работы.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4619140625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Цель: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.52997589111328" w:right="26.90673828125" w:hanging="1.399993896484375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Определить реальные возможности трудоустройства и профессиональной реализации студентов и выпускников биологических, химических, биотехнологических факультетов ВУЗов Томской области.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42529296875" w:line="276" w:lineRule="auto"/>
        <w:ind w:left="26.32999420166015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Ожидаемый результат: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.48999786376953" w:right="103.67454068241577" w:firstLine="8.680000305175781"/>
        <w:jc w:val="left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Презентация с выводами, касательно позиции выпускников на рынке труда.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825.69091796875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Формат и структура представления решения: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44189453125" w:line="276" w:lineRule="auto"/>
        <w:ind w:left="27.449989318847656" w:right="0" w:firstLine="1.1199951171875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Собранные статистические данные в графическом визуально-понятном оформлении, отвечающие на следующие вопросы: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333740234375" w:line="276" w:lineRule="auto"/>
        <w:ind w:left="34.16999816894531" w:right="26.697998046875" w:hanging="12.320022583007812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 каких сферах/отраслях и каких компаниях могут работать томские выпускники биологических, химических, биотехнологических факультетов?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.449974060058594" w:right="27.481689453125" w:firstLine="8.400001525878906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Насколько представлены на томском рынке труда предложения по работе с других регионах по этим направлениям? Какие это регионы и компании?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.52997589111328" w:right="50.6103515625" w:hanging="8.680000305175781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Какие условия для студентов и выпускников биологических, химических, биотехнологических факультетов, включая социальные компенсации, предлагают работодатели, представленные на томском рынке труда?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.16999816894531" w:right="45.753173828125" w:hanging="12.320022583007812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Какие условия для научных работников, включая социальные компенсации, предлагают работодатели?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В каких студенческих сообществах рассказывают о карьерных возможностях?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.449974060058594" w:right="48.65966796875" w:firstLine="8.400001525878906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 какую заработную плату в среднем выходят выпускники биологических, химических, биотехнологических факультетов на первую работу?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.449989318847656" w:right="57.80029296875" w:hanging="5.600013732910156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Где в основном ищут вакансии выпускники и студенты (сайты, объявления в соц. сетях и др.)?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.449989318847656" w:right="19.755859375" w:hanging="5.600013732910156"/>
        <w:jc w:val="both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Насколько представленные вакансии ЭФКО привлекательны для студентов и выпускников биологических, химических, биотехнологических факультетов в сравнении с другими компаниями? Какие основные плюсы и какие основные минусы условий в вакансиях ЭФКО?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44970703125" w:line="276" w:lineRule="auto"/>
        <w:ind w:left="24.650001525878906" w:right="30.462646484375" w:hanging="7.000007629394531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Добавление других аспектов исследования приветствуется на усмотрение авторов работы.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3681640625" w:line="276" w:lineRule="auto"/>
        <w:ind w:left="30.24997711181640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Критерии оценки итогового продукта / результата: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полнота собранных статистических данных;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учет выявленных различий данных;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особенности используемых методологий.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18505859375" w:line="276" w:lineRule="auto"/>
        <w:ind w:left="26.329994201660156" w:right="0" w:firstLine="0"/>
        <w:jc w:val="left"/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Ссылки на открытые источники данных:</w:t>
      </w:r>
      <w:r w:rsidDel="00000000" w:rsidR="00000000" w:rsidRPr="00000000">
        <w:rPr>
          <w:rFonts w:ascii="Play" w:cs="Play" w:eastAsia="Play" w:hAnsi="Play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.3500671386719" w:right="24.71435546875" w:hanging="338.34007263183594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Сайты интернет-рекрутмента (например,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HeadHunter, Superjob и Rabota.ru и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7"/>
          <w:szCs w:val="27"/>
          <w:highlight w:val="white"/>
          <w:u w:val="none"/>
          <w:vertAlign w:val="baseline"/>
          <w:rtl w:val="0"/>
        </w:rPr>
        <w:t xml:space="preserve">др.)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6220703125" w:line="276" w:lineRule="auto"/>
        <w:ind w:left="395.0099563598633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563c1"/>
          <w:sz w:val="28"/>
          <w:szCs w:val="28"/>
          <w:u w:val="single"/>
          <w:shd w:fill="auto" w:val="clear"/>
          <w:vertAlign w:val="baseline"/>
          <w:rtl w:val="0"/>
        </w:rPr>
        <w:t xml:space="preserve">Федеральная служба государственной статистики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.0099563598633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Сайты молодежных центров занятости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5.0099563598633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Студенческие паблики в социальных сетях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Play" w:cs="Play" w:eastAsia="Play" w:hAnsi="Pla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Play" w:cs="Play" w:eastAsia="Play" w:hAnsi="Play"/>
            <w:b w:val="1"/>
            <w:color w:val="1155cc"/>
            <w:sz w:val="28"/>
            <w:szCs w:val="28"/>
            <w:u w:val="single"/>
            <w:rtl w:val="0"/>
          </w:rPr>
          <w:t xml:space="preserve">Видео</w:t>
        </w:r>
      </w:hyperlink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widowControl w:val="0"/>
        <w:spacing w:line="276" w:lineRule="auto"/>
        <w:rPr/>
      </w:pPr>
      <w:bookmarkStart w:colFirst="0" w:colLast="0" w:name="_vtsrsitzz98e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Задача №5 </w:t>
      </w:r>
    </w:p>
    <w:p w:rsidR="00000000" w:rsidDel="00000000" w:rsidP="00000000" w:rsidRDefault="00000000" w:rsidRPr="00000000" w14:paraId="00000089">
      <w:pPr>
        <w:widowControl w:val="0"/>
        <w:spacing w:before="63.91845703125" w:lineRule="auto"/>
        <w:ind w:left="30.249977111816406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Партнеры: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Томский государственный университет, Яндекс.Облако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222.84423828125" w:lineRule="auto"/>
        <w:ind w:left="12.329978942871094" w:right="21.214599609375" w:firstLine="17.919998168945312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Название: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Оценка рынка труда IT- и гуманитарных специалистов в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215.45654296875" w:lineRule="auto"/>
        <w:ind w:left="30.249977111816406" w:firstLine="0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Краткое описание проблематики: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C">
      <w:pPr>
        <w:widowControl w:val="0"/>
        <w:ind w:left="19.04998779296875" w:right="15.05615234375" w:firstLine="9.519996643066406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Имеющиеся образовательные программы университетов зачастую носят характер классического образования, зачастую оторванного от рынка. Это связано в первую очередь с тем, что программы не ориентируются на требования потенциальных работодателей, а на привычные шаблоны. Особенно это касается технического и  гуманитарного образования. В связи с этим, выпускники являются невостребованными специалистами, нуждающимися в доращивании навыка, что требует значительного времени. Так, высшее образование становится менее востребованным, на смену приходит дополнительное и неформальное образование (например, онлайн-курсы). В связи с этим остро встает проблема оценки рынка с целью дальнейшей переработки программ. Нужно понять, какие специалисты наиболее востребованы на рынке, какие квалификационные (умения и знания) к ним предъявляются.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167.34619140625" w:lineRule="auto"/>
        <w:ind w:left="30.249977111816406" w:firstLine="0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Цель (можно выбрать одну из):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E">
      <w:pPr>
        <w:widowControl w:val="0"/>
        <w:ind w:left="30.52997589111328" w:right="29.99999999999924" w:hanging="1.399993896484375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Проанализировать и выявить квалификационные требования и условия работы на рынке (по отраслям) к: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3"/>
        </w:numPr>
        <w:ind w:left="720" w:right="29.99999999999924" w:hanging="360"/>
        <w:jc w:val="both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IT-специалистам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3"/>
        </w:numPr>
        <w:ind w:left="720" w:right="29.99999999999924" w:hanging="360"/>
        <w:jc w:val="both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Гуманитарным специалистам</w:t>
      </w:r>
    </w:p>
    <w:p w:rsidR="00000000" w:rsidDel="00000000" w:rsidP="00000000" w:rsidRDefault="00000000" w:rsidRPr="00000000" w14:paraId="00000091">
      <w:pPr>
        <w:widowControl w:val="0"/>
        <w:spacing w:before="167.342529296875" w:lineRule="auto"/>
        <w:ind w:left="26.329994201660156" w:right="29.99999999999924" w:firstLine="0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Ожидаемый результат: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2">
      <w:pPr>
        <w:widowControl w:val="0"/>
        <w:ind w:left="25.48999786376953" w:right="29.99999999999924" w:firstLine="8.680000305175781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Презентация с выводами, содержательно отражающих отраслевую и профессиональную структуру рынка труда, а также требования и условия работы специалистов. Можно дополнить оценкой рынка образовательных программ, насколько он закрывает существующие потребности рынка труда.</w:t>
      </w:r>
    </w:p>
    <w:p w:rsidR="00000000" w:rsidDel="00000000" w:rsidP="00000000" w:rsidRDefault="00000000" w:rsidRPr="00000000" w14:paraId="00000093">
      <w:pPr>
        <w:widowControl w:val="0"/>
        <w:ind w:left="25.48999786376953" w:right="825.69091796875" w:firstLine="8.680000305175781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left="25.48999786376953" w:right="825.69091796875" w:firstLine="8.680000305175781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Критерии оценки итогового продукта/результата: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5">
      <w:pPr>
        <w:widowControl w:val="0"/>
        <w:ind w:left="21.8499755859375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— полнота собранных данных; </w:t>
      </w:r>
    </w:p>
    <w:p w:rsidR="00000000" w:rsidDel="00000000" w:rsidP="00000000" w:rsidRDefault="00000000" w:rsidRPr="00000000" w14:paraId="00000096">
      <w:pPr>
        <w:widowControl w:val="0"/>
        <w:ind w:left="21.8499755859375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— полнота аналитики, логичность;</w:t>
      </w:r>
    </w:p>
    <w:p w:rsidR="00000000" w:rsidDel="00000000" w:rsidP="00000000" w:rsidRDefault="00000000" w:rsidRPr="00000000" w14:paraId="00000097">
      <w:pPr>
        <w:widowControl w:val="0"/>
        <w:ind w:left="21.8499755859375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— содержательная интерпретация;</w:t>
      </w:r>
    </w:p>
    <w:p w:rsidR="00000000" w:rsidDel="00000000" w:rsidP="00000000" w:rsidRDefault="00000000" w:rsidRPr="00000000" w14:paraId="00000098">
      <w:pPr>
        <w:widowControl w:val="0"/>
        <w:ind w:left="21.8499755859375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— информативность и качество визуализации. </w:t>
      </w:r>
    </w:p>
    <w:p w:rsidR="00000000" w:rsidDel="00000000" w:rsidP="00000000" w:rsidRDefault="00000000" w:rsidRPr="00000000" w14:paraId="00000099">
      <w:pPr>
        <w:widowControl w:val="0"/>
        <w:spacing w:before="245.79132080078125" w:lineRule="auto"/>
        <w:ind w:left="26.329994201660156" w:firstLine="0"/>
        <w:rPr>
          <w:rFonts w:ascii="Play" w:cs="Play" w:eastAsia="Play" w:hAnsi="Play"/>
          <w:b w:val="1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Ссылки на открытые источники данных:</w:t>
      </w: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"/>
        </w:numPr>
        <w:ind w:left="720" w:right="24.71435546875" w:hanging="360"/>
        <w:rPr>
          <w:rFonts w:ascii="Play" w:cs="Play" w:eastAsia="Play" w:hAnsi="Play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Сайты интернет-рекрутмента (например, </w:t>
      </w:r>
      <w:r w:rsidDel="00000000" w:rsidR="00000000" w:rsidRPr="00000000">
        <w:rPr>
          <w:rFonts w:ascii="Play" w:cs="Play" w:eastAsia="Play" w:hAnsi="Play"/>
          <w:sz w:val="27"/>
          <w:szCs w:val="27"/>
          <w:highlight w:val="white"/>
          <w:rtl w:val="0"/>
        </w:rPr>
        <w:t xml:space="preserve">HeadHunter, Superjob и Rabota.ru и</w:t>
      </w:r>
      <w:r w:rsidDel="00000000" w:rsidR="00000000" w:rsidRPr="00000000">
        <w:rPr>
          <w:rFonts w:ascii="Play" w:cs="Play" w:eastAsia="Play" w:hAnsi="Play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7"/>
          <w:szCs w:val="27"/>
          <w:highlight w:val="white"/>
          <w:rtl w:val="0"/>
        </w:rPr>
        <w:t xml:space="preserve">др.)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B">
      <w:pPr>
        <w:widowControl w:val="0"/>
        <w:ind w:left="0" w:right="24.71435546875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widowControl w:val="0"/>
        <w:spacing w:line="276" w:lineRule="auto"/>
        <w:rPr/>
      </w:pPr>
      <w:bookmarkStart w:colFirst="0" w:colLast="0" w:name="_d0m2gxw0ah2l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Задача №6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Партнер: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Национальная Ассоциация Университетского Киберспорта (Н.А.У.К.А.)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Название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: Киберспорт (пилот)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Контекст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: Правительство РФ планирует к концу 2022 года запустить в ряде вузов образовательные программы в области киберспорта. Компьютерные игры планируется использовать для развития когнитивных способностей, креативности, а также навыков командной работы у студентов. С этой целью важно проанализировать потенциальную аудиторию.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Цель анализа: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описание портрета пользователя, интересующегося киберспортом/состоящего в сообществе по киберспорту.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Формат решения: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Аналитический отчет, отвечающий на следующие вопросы: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Перечень и базовые характеристики киберспортивных сообществ в России.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Среди фанатов киберспорта больше мужчин или женщин? Описать социально-демографический портрет.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Насколько активны пользователи в крупных группах, посвященных киберспорту?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Можно ли выделить конкретных лидеров мнений? Если да, то кто они? Описать их социально-демографический портрет и целевую аудиторию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Описать (классифицировать) интересы пользователей на основе анализа подписок;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92913385826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- Оценить уровень сплоченности киберспортивного онлайн-сообщества в России.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Эксель с перечнем размеченных сообществ.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Дашборд, отражающие данные по киберспортивному онлайн-сообществу в России (например, географию, социально-демографические хар-ки и т.п.)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.8499755859375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Критерии оценки итогового продукта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полнота собранных статистических данных,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содержательная интерпретация полученных результатов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Play" w:cs="Play" w:eastAsia="Play" w:hAnsi="Play"/>
          <w:sz w:val="28"/>
          <w:szCs w:val="28"/>
          <w:u w:val="none"/>
        </w:rPr>
      </w:pP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наличие описания используемых методологий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Fonts w:ascii="Play" w:cs="Play" w:eastAsia="Play" w:hAnsi="Play"/>
          <w:b w:val="1"/>
          <w:sz w:val="28"/>
          <w:szCs w:val="28"/>
          <w:u w:val="single"/>
          <w:rtl w:val="0"/>
        </w:rPr>
        <w:t xml:space="preserve">Ссылки на открытые источники данных:</w:t>
      </w:r>
      <w:r w:rsidDel="00000000" w:rsidR="00000000" w:rsidRPr="00000000">
        <w:rPr>
          <w:rFonts w:ascii="Play" w:cs="Play" w:eastAsia="Play" w:hAnsi="Play"/>
          <w:sz w:val="28"/>
          <w:szCs w:val="28"/>
          <w:rtl w:val="0"/>
        </w:rPr>
        <w:t xml:space="preserve"> cybersport.ru, ВКонтакте.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left="0" w:right="24.71435546875" w:firstLine="0"/>
        <w:rPr>
          <w:rFonts w:ascii="Play" w:cs="Play" w:eastAsia="Play" w:hAnsi="Play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873.0708661417325" w:top="873.0708661417325" w:left="873.0708661417325" w:right="873.07086614173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="240" w:lineRule="auto"/>
      <w:jc w:val="center"/>
    </w:pPr>
    <w:rPr>
      <w:rFonts w:ascii="Play" w:cs="Play" w:eastAsia="Play" w:hAnsi="Play"/>
      <w:b w:val="1"/>
      <w:color w:val="073763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-Q40ba1CCM4" TargetMode="External"/><Relationship Id="rId10" Type="http://schemas.openxmlformats.org/officeDocument/2006/relationships/hyperlink" Target="https://youtu.be/gbWisNKBoFU" TargetMode="External"/><Relationship Id="rId9" Type="http://schemas.openxmlformats.org/officeDocument/2006/relationships/hyperlink" Target="https://www.instagram.com/tv/CQvi3pEoXg9/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mI8lJ-IbfrY" TargetMode="External"/><Relationship Id="rId7" Type="http://schemas.openxmlformats.org/officeDocument/2006/relationships/hyperlink" Target="https://reestr.digital.gov.ru/" TargetMode="External"/><Relationship Id="rId8" Type="http://schemas.openxmlformats.org/officeDocument/2006/relationships/hyperlink" Target="https://youtu.be/s-DiSBrKAc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