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4.png" ContentType="image/png"/>
  <Override PartName="/word/media/rId4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простейшие модели боевых действий – модели Ланчестера. С помощью рассмотренного примера научиться решать задачи такого типа.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войсками;</w:t>
      </w:r>
    </w:p>
    <w:p>
      <w:pPr>
        <w:numPr>
          <w:ilvl w:val="0"/>
          <w:numId w:val="1002"/>
        </w:numPr>
      </w:pPr>
      <w:r>
        <w:t xml:space="preserve">Модель ведения боевых действий с участием регулярных войск и партизанских отрядов.</w:t>
      </w:r>
    </w:p>
    <w:p>
      <w:pPr>
        <w:pStyle w:val="Compact"/>
        <w:numPr>
          <w:ilvl w:val="0"/>
          <w:numId w:val="1003"/>
        </w:numPr>
      </w:pPr>
      <w:r>
        <w:t xml:space="preserve">Определить победителя в каждом из случаев.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— математическая формула для расчета относительных сил пары сражающихся сторон — подразделений вооруженных сил [1].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 [1].</w:t>
      </w:r>
    </w:p>
    <w:p>
      <w:pPr>
        <w:pStyle w:val="BodyText"/>
      </w:pPr>
      <w:r>
        <w:t xml:space="preserve">Рассмотрим три случая ведения боевых действий:</w:t>
      </w:r>
      <w:r>
        <w:br/>
      </w:r>
      <w:r>
        <w:t xml:space="preserve">1. Боевые действия между регулярными войсками;</w:t>
      </w:r>
      <w:r>
        <w:br/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отрядов;</w:t>
      </w:r>
      <w:r>
        <w:br/>
      </w:r>
      <w:r>
        <w:t xml:space="preserve">3. Боевые действия между партизанскими отрядами.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pStyle w:val="Compact"/>
        <w:numPr>
          <w:ilvl w:val="0"/>
          <w:numId w:val="1004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системе все величины имеют тот же смысл, что и в системе в 1 случае.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сделанных в предыдущем случае, имеет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Я выполняю свой вариант лабораторной работы №38 по данной формуле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s</m:t>
                </m:r>
                <m:r>
                  <m:t>t</m:t>
                </m:r>
                <m:r>
                  <m:t>u</m:t>
                </m:r>
                <m:r>
                  <m:t>d</m:t>
                </m:r>
                <m:r>
                  <m:t>e</m:t>
                </m:r>
                <m:r>
                  <m:t>n</m:t>
                </m:r>
                <m:r>
                  <m:t>t</m:t>
                </m:r>
              </m:sub>
            </m:sSub>
            <m:r>
              <m:t>m</m:t>
            </m:r>
            <m:r>
              <m:t>o</m:t>
            </m:r>
            <m:r>
              <m:t>d</m:t>
            </m:r>
            <m:sSub>
              <m:e>
                <m:r>
                  <m:t>K</m:t>
                </m:r>
              </m:e>
              <m:sub>
                <m:r>
                  <m:t>o</m:t>
                </m:r>
                <m:r>
                  <m:t>f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i</m:t>
                </m:r>
                <m:r>
                  <m:t>a</m:t>
                </m:r>
                <m:r>
                  <m:t>n</m:t>
                </m:r>
                <m:r>
                  <m:t>t</m:t>
                </m:r>
                <m:r>
                  <m:t>s</m:t>
                </m:r>
              </m:sub>
            </m:sSub>
          </m:e>
        </m:d>
      </m:oMath>
      <w:r>
        <w:t xml:space="preserve"> </w:t>
      </w:r>
      <w:r>
        <w:t xml:space="preserve">+ 1 = (1032216537 % 70) + 1 = 38.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882</m:t>
        </m:r>
        <m:r>
          <m:t>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747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считаем, что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непрерывные функции.</w:t>
      </w:r>
    </w:p>
    <w:p>
      <w:pPr>
        <w:pStyle w:val="Compact"/>
        <w:numPr>
          <w:ilvl w:val="0"/>
          <w:numId w:val="1005"/>
        </w:numPr>
      </w:pPr>
      <w:r>
        <w:t xml:space="preserve">Модель боевых действий между регулярными войсками: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</m:oMath>
    </w:p>
    <w:p>
      <w:pPr>
        <w:pStyle w:val="Compact"/>
        <w:numPr>
          <w:ilvl w:val="0"/>
          <w:numId w:val="1006"/>
        </w:numPr>
      </w:pPr>
      <w:r>
        <w:t xml:space="preserve">Модель ведения боевых действий с участием регулярных войск и партизанских отрядов: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bookmarkEnd w:id="23"/>
    <w:bookmarkStart w:id="33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 [2].</w:t>
      </w:r>
    </w:p>
    <w:p>
      <w:pPr>
        <w:pStyle w:val="BodyText"/>
      </w:pPr>
      <w:r>
        <w:t xml:space="preserve">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 (рис.1):</w:t>
      </w:r>
    </w:p>
    <w:p>
      <w:pPr>
        <w:pStyle w:val="CaptionedFigure"/>
      </w:pPr>
      <w:r>
        <w:drawing>
          <wp:inline>
            <wp:extent cx="4693920" cy="4507230"/>
            <wp:effectExtent b="0" l="0" r="0" t="0"/>
            <wp:docPr descr="Код для двух случаев" title="" id="25" name="Picture"/>
            <a:graphic>
              <a:graphicData uri="http://schemas.openxmlformats.org/drawingml/2006/picture">
                <pic:pic>
                  <pic:nvPicPr>
                    <pic:cNvPr descr="image/4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двух случаев</w:t>
      </w:r>
    </w:p>
    <w:p>
      <w:pPr>
        <w:pStyle w:val="BodyText"/>
      </w:pPr>
      <w:r>
        <w:t xml:space="preserve">Получим следующие графики (рис.2 - рис.3):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между регулярными войсками" title="" id="28" name="Picture"/>
            <a:graphic>
              <a:graphicData uri="http://schemas.openxmlformats.org/drawingml/2006/picture">
                <pic:pic>
                  <pic:nvPicPr>
                    <pic:cNvPr descr="image/lab3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lab3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с участием регулярных войск и партизанских отрядов</w:t>
      </w:r>
    </w:p>
    <w:bookmarkEnd w:id="33"/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 [3]. Решение задачи для двух случаев (рис.4):</w:t>
      </w:r>
    </w:p>
    <w:p>
      <w:pPr>
        <w:pStyle w:val="CaptionedFigure"/>
      </w:pPr>
      <w:r>
        <w:drawing>
          <wp:inline>
            <wp:extent cx="4267200" cy="3529659"/>
            <wp:effectExtent b="0" l="0" r="0" t="0"/>
            <wp:docPr descr="Код в OpenModelica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2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Из рис.5 видно (1 случай),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</w:t>
      </w:r>
    </w:p>
    <w:p>
      <w:pPr>
        <w:pStyle w:val="CaptionedFigure"/>
      </w:pPr>
      <w:r>
        <w:drawing>
          <wp:inline>
            <wp:extent cx="5067300" cy="2440910"/>
            <wp:effectExtent b="0" l="0" r="0" t="0"/>
            <wp:docPr descr="Модель боевых действий между регулярными войсками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4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BodyText"/>
      </w:pPr>
      <w:r>
        <w:t xml:space="preserve">Из рис.6 видно (2 случай),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</w:t>
      </w:r>
    </w:p>
    <w:p>
      <w:pPr>
        <w:pStyle w:val="CaptionedFigure"/>
      </w:pPr>
      <w:r>
        <w:drawing>
          <wp:inline>
            <wp:extent cx="5067300" cy="2433491"/>
            <wp:effectExtent b="0" l="0" r="0" t="0"/>
            <wp:docPr descr="Модель ведения боевых действий с участием регулярных войск и партизанских отрядов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3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ведения боевых действий с участием регулярных войск и партизанских отрядов</w:t>
      </w:r>
    </w:p>
    <w:bookmarkEnd w:id="43"/>
    <w:bookmarkStart w:id="44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Из анализа графиков первой модели видно, что графики, созданные с помощью Julia и OpenModelica, очень похожи друг на друга, хотя могут иметь некоторые различия из-за разных графических ресурсов и настроек масштаба. То же самое наблюдается и на графиках, отражающих столкновение регулярной армии с силами партизан во второй модели. В обоих случаях армия X выходит победителем.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ЛР№3 я рассмотрела простейшие модели боевых действий – модели Ланчестера. С помощью рассмотренного примера научилась решать задачи такого типа. Смогла решить задачу о модели боевых действий, а также все поставленные задачи.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Решение дифференциальных уравнений. [Электронный ресурс]. М. URL:</w:t>
      </w:r>
      <w:r>
        <w:t xml:space="preserve"> </w:t>
      </w:r>
      <w:hyperlink r:id="rId47">
        <w:r>
          <w:rPr>
            <w:rStyle w:val="Hyperlink"/>
          </w:rPr>
          <w:t xml:space="preserve">wolframalpha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7"/>
        </w:numPr>
      </w:pPr>
      <w:r>
        <w:t xml:space="preserve">Документация по Julia. [Электронный ресурс]. М. URL:</w:t>
      </w:r>
      <w:r>
        <w:t xml:space="preserve"> </w:t>
      </w:r>
      <w:hyperlink r:id="rId48">
        <w:r>
          <w:rPr>
            <w:rStyle w:val="Hyperlink"/>
          </w:rPr>
          <w:t xml:space="preserve">Julia 1.10 Documentation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7"/>
        </w:numPr>
      </w:pPr>
      <w:r>
        <w:t xml:space="preserve">Документация по OpenModelica. [Электронный ресурс]. М. URL:</w:t>
      </w:r>
      <w:r>
        <w:t xml:space="preserve"> </w:t>
      </w:r>
      <w:hyperlink r:id="rId49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(Дата обращения: 15.02.2024).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48" Target="https://docs.julialang.org/en/v1/" TargetMode="External" /><Relationship Type="http://schemas.openxmlformats.org/officeDocument/2006/relationships/hyperlink" Id="rId49" Target="https://openmodelica.org/" TargetMode="External" /><Relationship Type="http://schemas.openxmlformats.org/officeDocument/2006/relationships/hyperlink" Id="rId47" Target="https://www.wolframalph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julialang.org/en/v1/" TargetMode="External" /><Relationship Type="http://schemas.openxmlformats.org/officeDocument/2006/relationships/hyperlink" Id="rId49" Target="https://openmodelica.org/" TargetMode="External" /><Relationship Type="http://schemas.openxmlformats.org/officeDocument/2006/relationships/hyperlink" Id="rId47" Target="https://www.wolframalph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Щербак Маргарита Романовна, НПИбд-02-21</dc:creator>
  <dc:language>ru-RU</dc:language>
  <cp:keywords/>
  <dcterms:created xsi:type="dcterms:W3CDTF">2024-02-23T15:17:45Z</dcterms:created>
  <dcterms:modified xsi:type="dcterms:W3CDTF">2024-02-23T15:17:45Z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Модель боевых действий. Вариант №38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