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23.png" ContentType="image/png"/>
  <Override PartName="/word/media/rId39.png" ContentType="image/png"/>
  <Override PartName="/word/media/rId42.png" ContentType="image/png"/>
  <Override PartName="/word/media/rId29.png" ContentType="image/png"/>
  <Override PartName="/word/media/rId26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  <w:r>
        <w:br/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№38</w:t>
      </w:r>
    </w:p>
    <w:p>
      <w:pPr>
        <w:pStyle w:val="Author"/>
      </w:pPr>
      <w:r>
        <w:t xml:space="preserve">Щербак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Романовна,</w:t>
      </w:r>
      <w:r>
        <w:t xml:space="preserve"> </w:t>
      </w:r>
      <w:r>
        <w:t xml:space="preserve">НПИбд-02-21</w:t>
      </w:r>
    </w:p>
    <w:p>
      <w:pPr>
        <w:pStyle w:val="Date"/>
      </w:pP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математическую модель конкуренции двух фирм. С помощью рассмотренной модели и теоретических сведений научиться строить модели такого типа.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–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–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Данное уравнение имеет два стационарных решения, которые соответствуют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f>
                <m:fPr>
                  <m:type m:val="bar"/>
                </m:fPr>
                <m:num>
                  <m:r>
                    <m:t>τ</m:t>
                  </m:r>
                </m:num>
                <m:den>
                  <m:r>
                    <m:t>δ</m:t>
                  </m:r>
                </m:den>
              </m:f>
            </m:e>
          </m:d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≪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≪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</w:t>
      </w:r>
      <w:r>
        <w:t xml:space="preserve"> </w:t>
      </w:r>
      <w:r>
        <w:t xml:space="preserve">[@mathemodels_of_competition]</w:t>
      </w:r>
      <w:r>
        <w:t xml:space="preserve">.</w:t>
      </w:r>
    </w:p>
    <w:bookmarkEnd w:id="21"/>
    <w:bookmarkStart w:id="4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задание.-вариант-38"/>
    <w:p>
      <w:pPr>
        <w:pStyle w:val="Heading2"/>
      </w:pPr>
      <w:r>
        <w:t xml:space="preserve">Задание. Вариант 38</w:t>
      </w:r>
    </w:p>
    <w:p>
      <w:pPr>
        <w:pStyle w:val="FirstParagraph"/>
      </w:pPr>
      <w:r>
        <w:t xml:space="preserve">Случай 1. 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Считаем, что в рамках</w:t>
      </w:r>
      <w:r>
        <w:t xml:space="preserve"> </w:t>
      </w:r>
      <w:r>
        <w:t xml:space="preserve">нашей модели конкурентная борьба ведётся только рыночными методами. То есть,</w:t>
      </w:r>
      <w:r>
        <w:t xml:space="preserve"> </w:t>
      </w:r>
      <w:r>
        <w:t xml:space="preserve">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каким-либо иным</w:t>
      </w:r>
      <w:r>
        <w:t xml:space="preserve"> </w:t>
      </w:r>
      <w:r>
        <w:t xml:space="preserve">способом.) Будем считать, что постоянные издержки пренебрежимо малы, и в</w:t>
      </w:r>
      <w:r>
        <w:t xml:space="preserve"> </w:t>
      </w:r>
      <w:r>
        <w:t xml:space="preserve">модели учитывать не будем. В этом случае динамика изменения объемов продаж</w:t>
      </w:r>
      <w:r>
        <w:t xml:space="preserve"> </w:t>
      </w:r>
      <w:r>
        <w:t xml:space="preserve">фирмы 1 и фирмы 2 описывается следующей системой уравнений: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</m:oMath>
      <w:r>
        <w:t xml:space="preserve">=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</m:oMath>
      <w:r>
        <w:t xml:space="preserve">=</w:t>
      </w:r>
      <m:oMath>
        <m:f>
          <m:fPr>
            <m:type m:val="bar"/>
          </m:fPr>
          <m:num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где</w:t>
      </w:r>
    </w:p>
    <w:p>
      <w:pPr>
        <w:pStyle w:val="BodyText"/>
      </w:pP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=</w:t>
      </w:r>
      <m:oMath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;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=</w:t>
      </w:r>
      <m:oMath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;</w:t>
      </w:r>
      <w:r>
        <w:t xml:space="preserve"> </w:t>
      </w:r>
      <m:oMath>
        <m:r>
          <m:t>b</m:t>
        </m:r>
      </m:oMath>
      <w:r>
        <w:t xml:space="preserve">=</w:t>
      </w:r>
      <m:oMath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;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=</w:t>
      </w:r>
      <m:oMath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acc>
              <m:accPr>
                <m:chr m:val="̃"/>
              </m:accPr>
              <m:e>
                <m:r>
                  <m:t>p</m:t>
                </m:r>
              </m:e>
            </m:acc>
          </m:den>
        </m:f>
      </m:oMath>
      <w:r>
        <w:t xml:space="preserve">;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=</w:t>
      </w:r>
      <m:oMath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acc>
              <m:accPr>
                <m:chr m:val="̃"/>
              </m:accPr>
              <m:e>
                <m:r>
                  <m:t>p</m:t>
                </m:r>
              </m:e>
            </m:acc>
          </m:den>
        </m:f>
      </m:oMath>
    </w:p>
    <w:p>
      <w:pPr>
        <w:pStyle w:val="BodyText"/>
      </w:pPr>
      <w:r>
        <w:t xml:space="preserve">Также введена нормировка</w:t>
      </w:r>
      <w:r>
        <w:t xml:space="preserve"> </w:t>
      </w:r>
      <m:oMath>
        <m:r>
          <m:t>t</m:t>
        </m:r>
      </m:oMath>
      <w:r>
        <w:t xml:space="preserve">=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</w:t>
      </w:r>
    </w:p>
    <w:p>
      <w:pPr>
        <w:pStyle w:val="BodyText"/>
      </w:pPr>
      <w:r>
        <w:t xml:space="preserve">Случай 2. Рассмотрим модель, когда, помимо экономического фактора</w:t>
      </w:r>
      <w:r>
        <w:t xml:space="preserve"> </w:t>
      </w:r>
      <w:r>
        <w:t xml:space="preserve">влияния (изменение себестоимости, производственного цикла, использование</w:t>
      </w:r>
      <w:r>
        <w:t xml:space="preserve"> </w:t>
      </w:r>
      <w:r>
        <w:t xml:space="preserve">кредита и т.п.), используются еще и социально-психологические факторы –</w:t>
      </w:r>
      <w:r>
        <w:t xml:space="preserve"> </w:t>
      </w:r>
      <w:r>
        <w:t xml:space="preserve">формирование общественного предпочтения одного товара другому, не зависимо от</w:t>
      </w:r>
      <w:r>
        <w:t xml:space="preserve"> </w:t>
      </w:r>
      <w:r>
        <w:t xml:space="preserve">их качества и цены. В этом случае взаимодействие двух фирм будет зависеть друг</w:t>
      </w:r>
      <w:r>
        <w:t xml:space="preserve"> </w:t>
      </w:r>
      <w:r>
        <w:t xml:space="preserve">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</w:t>
      </w:r>
      <w:r>
        <w:t xml:space="preserve"> </w:t>
      </w:r>
      <w:r>
        <w:t xml:space="preserve">рамках рассматриваемой модели динамика изменения объемов продаж фирмы 1 и</w:t>
      </w:r>
      <w:r>
        <w:t xml:space="preserve"> </w:t>
      </w:r>
      <w:r>
        <w:t xml:space="preserve">фирмы 2 описывается следующей системой уравнений: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</m:oMath>
      <w:r>
        <w:t xml:space="preserve">=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</m:oMath>
      <w:r>
        <w:t xml:space="preserve">=</w:t>
      </w:r>
      <m:oMath>
        <m:f>
          <m:fPr>
            <m:type m:val="bar"/>
          </m:fPr>
          <m:num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b</m:t>
                </m:r>
              </m:num>
              <m:den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</m:den>
            </m:f>
            <m:r>
              <m:rPr>
                <m:sty m:val="p"/>
              </m:rPr>
              <m:t>+</m:t>
            </m:r>
            <m:r>
              <m:t>0.00083</m:t>
            </m:r>
          </m:e>
        </m:d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Для обоих случаев рассмотрим задачу со следующими начальными условиями и параметрами:</w:t>
      </w:r>
      <w:r>
        <w:t xml:space="preserve"> </w:t>
      </w: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1</m:t>
            </m:r>
          </m:sup>
        </m:sSubSup>
      </m:oMath>
      <w:r>
        <w:t xml:space="preserve">=</w:t>
      </w:r>
      <m:oMath>
        <m:r>
          <m:t>3.9</m:t>
        </m:r>
      </m:oMath>
      <w:r>
        <w:t xml:space="preserve">,</w:t>
      </w:r>
      <w:r>
        <w:t xml:space="preserve"> </w:t>
      </w: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2</m:t>
            </m:r>
          </m:sup>
        </m:sSubSup>
      </m:oMath>
      <w:r>
        <w:t xml:space="preserve">=</w:t>
      </w:r>
      <m:oMath>
        <m:r>
          <m:t>2.9</m:t>
        </m:r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=</w:t>
      </w:r>
      <m:oMath>
        <m:r>
          <m:t>25</m:t>
        </m:r>
      </m:oMath>
      <w:r>
        <w:t xml:space="preserve">,</w:t>
      </w:r>
      <w:r>
        <w:t xml:space="preserve"> </w:t>
      </w:r>
      <m:oMath>
        <m:r>
          <m:t>N</m:t>
        </m:r>
      </m:oMath>
      <w:r>
        <w:t xml:space="preserve">=</w:t>
      </w:r>
      <m:oMath>
        <m:r>
          <m:t>39</m:t>
        </m:r>
      </m:oMath>
      <w:r>
        <w:t xml:space="preserve">,</w:t>
      </w:r>
      <w:r>
        <w:t xml:space="preserve"> </w:t>
      </w:r>
      <m:oMath>
        <m:r>
          <m:t>q</m:t>
        </m:r>
      </m:oMath>
      <w:r>
        <w:t xml:space="preserve">=</w:t>
      </w:r>
      <m:oMath>
        <m:r>
          <m:t>1</m:t>
        </m:r>
      </m:oMath>
      <w:r>
        <w:t xml:space="preserve">,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</m:oMath>
      <w:r>
        <w:t xml:space="preserve">=</w:t>
      </w:r>
      <m:oMath>
        <m:r>
          <m:t>29</m:t>
        </m:r>
      </m:oMath>
      <w:r>
        <w:t xml:space="preserve">,</w:t>
      </w:r>
      <w:r>
        <w:t xml:space="preserve"> </w:t>
      </w:r>
      <m:oMath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=</w:t>
      </w:r>
      <m:oMath>
        <m:r>
          <m:t>19</m:t>
        </m:r>
      </m:oMath>
      <w:r>
        <w:t xml:space="preserve">,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</m:oMath>
      <w:r>
        <w:t xml:space="preserve">=</w:t>
      </w:r>
      <m:oMath>
        <m:r>
          <m:t>6.9</m:t>
        </m:r>
      </m:oMath>
      <w:r>
        <w:t xml:space="preserve">,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</m:oMath>
      <w:r>
        <w:t xml:space="preserve">=</w:t>
      </w:r>
      <m:oMath>
        <m:r>
          <m:t>15.9</m:t>
        </m:r>
      </m:oMath>
      <w:r>
        <w:t xml:space="preserve">.</w:t>
      </w:r>
    </w:p>
    <w:p>
      <w:pPr>
        <w:pStyle w:val="BodyText"/>
      </w:pPr>
      <w:r>
        <w:t xml:space="preserve">Замечание:</w:t>
      </w:r>
    </w:p>
    <w:p>
      <w:pPr>
        <w:pStyle w:val="BodyText"/>
      </w:pPr>
      <w:r>
        <w:t xml:space="preserve">Значения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,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указаны в тысячах единиц, а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t xml:space="preserve"> </w:t>
      </w:r>
      <w:r>
        <w:t xml:space="preserve">указаны в млн. единиц.</w:t>
      </w:r>
    </w:p>
    <w:p>
      <w:pPr>
        <w:pStyle w:val="BodyText"/>
      </w:pPr>
      <w:r>
        <w:t xml:space="preserve">Обозначения: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</w:p>
    <w:p>
      <w:pPr>
        <w:pStyle w:val="BodyText"/>
      </w:pP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θ</m:t>
        </m:r>
      </m:oMath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</w:p>
    <w:p>
      <w:pPr>
        <w:pStyle w:val="Compact"/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 учета постоянных издержек и с введенной нормировкой для случая 1.</w:t>
      </w:r>
    </w:p>
    <w:p>
      <w:pPr>
        <w:pStyle w:val="Compact"/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 учета постоянных издержек и с введенной нормировкой для случая 2.</w:t>
      </w:r>
    </w:p>
    <w:bookmarkEnd w:id="22"/>
    <w:bookmarkStart w:id="35" w:name="julia"/>
    <w:p>
      <w:pPr>
        <w:pStyle w:val="Heading2"/>
      </w:pPr>
      <w:r>
        <w:t xml:space="preserve">Julia</w:t>
      </w:r>
    </w:p>
    <w:p>
      <w:pPr>
        <w:pStyle w:val="FirstParagraph"/>
      </w:pPr>
      <w:r>
        <w:t xml:space="preserve">Julia – это высокоуровневый язык программирования с динамической типизацией, созданный для эффективных математических вычислений и написания программ общего назначения</w:t>
      </w:r>
      <w:r>
        <w:t xml:space="preserve"> </w:t>
      </w:r>
      <w:r>
        <w:t xml:space="preserve">[@julialang]</w:t>
      </w:r>
      <w:r>
        <w:t xml:space="preserve">. Для решения дифференциального уравнения, описанного в постановке задачи лабораторной работы, можно использовать библиотеку DifferentialEquations. Для построения графиков можно воспользоваться библиотекой Plots.</w:t>
      </w:r>
    </w:p>
    <w:p>
      <w:pPr>
        <w:pStyle w:val="BodyText"/>
      </w:pPr>
      <w:r>
        <w:t xml:space="preserve">Код программы для первого случая (рис.1):</w:t>
      </w:r>
    </w:p>
    <w:p>
      <w:pPr>
        <w:pStyle w:val="CaptionedFigure"/>
      </w:pPr>
      <w:r>
        <w:drawing>
          <wp:inline>
            <wp:extent cx="5334000" cy="5627614"/>
            <wp:effectExtent b="0" l="0" r="0" t="0"/>
            <wp:docPr descr="код на Julia для 1 случа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7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на Julia для 1 случая</w:t>
      </w:r>
    </w:p>
    <w:p>
      <w:pPr>
        <w:pStyle w:val="BodyText"/>
      </w:pPr>
      <w:r>
        <w:t xml:space="preserve">По графику видно, что рост оборотных средств предприятий идет независимо друг от друга. Каждая фирма достигает свое максимальное значение объема продаж и остается на рынке с этим значением, то есть каждая фирма захватывает свою часть рынка потребителей, которая не изменяется (рис.2).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график конкуренции двух фирм для 1 случая, построенный на языке Julia" title="" id="27" name="Picture"/>
            <a:graphic>
              <a:graphicData uri="http://schemas.openxmlformats.org/drawingml/2006/picture">
                <pic:pic>
                  <pic:nvPicPr>
                    <pic:cNvPr descr="image/lab8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конкуренции двух фирм для 1 случая, построенный на языке Julia</w:t>
      </w:r>
    </w:p>
    <w:p>
      <w:pPr>
        <w:pStyle w:val="BodyText"/>
      </w:pPr>
      <w:r>
        <w:t xml:space="preserve">Код программы для второго случая (рис.3):</w:t>
      </w:r>
    </w:p>
    <w:p>
      <w:pPr>
        <w:pStyle w:val="CaptionedFigure"/>
      </w:pPr>
      <w:r>
        <w:drawing>
          <wp:inline>
            <wp:extent cx="5334000" cy="5653548"/>
            <wp:effectExtent b="0" l="0" r="0" t="0"/>
            <wp:docPr descr="код на Julia для 2 случая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3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на Julia для 2 случая</w:t>
      </w:r>
    </w:p>
    <w:p>
      <w:pPr>
        <w:pStyle w:val="BodyText"/>
      </w:pPr>
      <w:r>
        <w:t xml:space="preserve">По графику видно, что первая фирма, несмотря на начальный рост, достигнув своего максимального объема продаж, начитает нести убытки и, в итоге, терпит банкротство. Динамика роста объемов оборотных средств второй фирмы остается без изменения: достигнув максимального значения, остается на этом уровне (рис.4).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график конкуренции двух фирм для 2 случая, построенный на языке Julia" title="" id="33" name="Picture"/>
            <a:graphic>
              <a:graphicData uri="http://schemas.openxmlformats.org/drawingml/2006/picture">
                <pic:pic>
                  <pic:nvPicPr>
                    <pic:cNvPr descr="image/lab8_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конкуренции двух фирм для 2 случая, построенный на языке Julia</w:t>
      </w:r>
    </w:p>
    <w:bookmarkEnd w:id="35"/>
    <w:bookmarkStart w:id="45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OpenModelica – это свободное программное обеспечение для моделирования и анализа сложных динамических систем, основанное на языке Modelica. OpenModelica приближается по функциональности к таким инструментам, как Matlab Simulink и Scilab xCos, но обладает более удобным представлением системы уравнений</w:t>
      </w:r>
      <w:r>
        <w:t xml:space="preserve"> </w:t>
      </w:r>
      <w:r>
        <w:t xml:space="preserve">[@modelica]</w:t>
      </w:r>
      <w:r>
        <w:t xml:space="preserve">. Написала код в OpenModelica (рис.5).</w:t>
      </w:r>
    </w:p>
    <w:p>
      <w:pPr>
        <w:pStyle w:val="CaptionedFigure"/>
      </w:pPr>
      <w:r>
        <w:drawing>
          <wp:inline>
            <wp:extent cx="5255393" cy="5130265"/>
            <wp:effectExtent b="0" l="0" r="0" t="0"/>
            <wp:docPr descr="код в OpenModelica" title="" id="37" name="Picture"/>
            <a:graphic>
              <a:graphicData uri="http://schemas.openxmlformats.org/drawingml/2006/picture">
                <pic:pic>
                  <pic:nvPicPr>
                    <pic:cNvPr descr="image/0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513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 OpenModelica</w:t>
      </w:r>
    </w:p>
    <w:p>
      <w:pPr>
        <w:pStyle w:val="BodyText"/>
      </w:pPr>
      <w:r>
        <w:t xml:space="preserve">Получила графики конкуренции двух фирм для двух случаев (рис.6 - рис.7).</w:t>
      </w:r>
    </w:p>
    <w:p>
      <w:pPr>
        <w:pStyle w:val="CaptionedFigure"/>
      </w:pPr>
      <w:r>
        <w:drawing>
          <wp:inline>
            <wp:extent cx="5334000" cy="2828869"/>
            <wp:effectExtent b="0" l="0" r="0" t="0"/>
            <wp:docPr descr="график конкуренции двух фирм для 1 случая" title="" id="40" name="Picture"/>
            <a:graphic>
              <a:graphicData uri="http://schemas.openxmlformats.org/drawingml/2006/picture">
                <pic:pic>
                  <pic:nvPicPr>
                    <pic:cNvPr descr="image/1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8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конкуренции двух фирм для 1 случая</w:t>
      </w:r>
    </w:p>
    <w:p>
      <w:pPr>
        <w:pStyle w:val="CaptionedFigure"/>
      </w:pPr>
      <w:r>
        <w:drawing>
          <wp:inline>
            <wp:extent cx="5334000" cy="2817962"/>
            <wp:effectExtent b="0" l="0" r="0" t="0"/>
            <wp:docPr descr="график конкуренции двух фирм для 2 случая" title="" id="43" name="Picture"/>
            <a:graphic>
              <a:graphicData uri="http://schemas.openxmlformats.org/drawingml/2006/picture">
                <pic:pic>
                  <pic:nvPicPr>
                    <pic:cNvPr descr="image/1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7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конкуренции двух фирм для 2 случая</w:t>
      </w:r>
    </w:p>
    <w:bookmarkEnd w:id="45"/>
    <w:bookmarkEnd w:id="46"/>
    <w:bookmarkStart w:id="47" w:name="анализ-и-сравнение-результатов"/>
    <w:p>
      <w:pPr>
        <w:pStyle w:val="Heading1"/>
      </w:pPr>
      <w:r>
        <w:t xml:space="preserve">Анализ и сравнение результатов</w:t>
      </w:r>
    </w:p>
    <w:p>
      <w:pPr>
        <w:pStyle w:val="FirstParagraph"/>
      </w:pPr>
      <w:r>
        <w:t xml:space="preserve">В результате работы я построила графики изменения оборотных средств для двух фирм для случаев, когда конкурентная борьба ведётся только рыночными методами и когда помимо экономического фактора влияния используются еще и социально-психологические факторы на языках Julia и Modelica. Графики идентичны.</w:t>
      </w:r>
    </w:p>
    <w:bookmarkEnd w:id="47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Таким образом, в ходе ЛР№8 я рассмотрела математическую модель конкуренции двух фирм. С помощью рассмотренной модели и теоретических сведений научилась строить модели такого типа.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23" Target="media/rId23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 Математическое моделирование</dc:title>
  <dc:creator>Щербак Маргарита Романовна, НПИбд-02-21</dc:creator>
  <dc:language>ru-RU</dc:language>
  <cp:keywords/>
  <dcterms:created xsi:type="dcterms:W3CDTF">2024-03-23T10:59:21Z</dcterms:created>
  <dcterms:modified xsi:type="dcterms:W3CDTF">2024-03-23T10:59:21Z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iography">
    <vt:lpwstr>bib/cite.bib</vt:lpwstr>
  </property>
  <property fmtid="{D5CDD505-2E9C-101B-9397-08002B2CF9AE}" pid="5" name="csl">
    <vt:lpwstr>pandoc/csl/gost-r-7-0-5-2008-numeric.csl</vt:lpwstr>
  </property>
  <property fmtid="{D5CDD505-2E9C-101B-9397-08002B2CF9AE}" pid="6" name="date">
    <vt:lpwstr>2024</vt:lpwstr>
  </property>
  <property fmtid="{D5CDD505-2E9C-101B-9397-08002B2CF9AE}" pid="7" name="documentclass">
    <vt:lpwstr>scrreprt</vt:lpwstr>
  </property>
  <property fmtid="{D5CDD505-2E9C-101B-9397-08002B2CF9AE}" pid="8" name="figureTitle">
    <vt:lpwstr>Скриншот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lotTitle">
    <vt:lpwstr>Список таблиц</vt:lpwstr>
  </property>
  <property fmtid="{D5CDD505-2E9C-101B-9397-08002B2CF9AE}" pid="18" name="mainfont">
    <vt:lpwstr>PT Serif</vt:lpwstr>
  </property>
  <property fmtid="{D5CDD505-2E9C-101B-9397-08002B2CF9AE}" pid="19" name="mainfontoptions">
    <vt:lpwstr>Ligatures=TeX</vt:lpwstr>
  </property>
  <property fmtid="{D5CDD505-2E9C-101B-9397-08002B2CF9AE}" pid="20" name="monofont">
    <vt:lpwstr>PT Mono</vt:lpwstr>
  </property>
  <property fmtid="{D5CDD505-2E9C-101B-9397-08002B2CF9AE}" pid="21" name="monofontoptions">
    <vt:lpwstr>Scale=MatchLowercase,Scale=0.9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romanfont">
    <vt:lpwstr>PT Serif</vt:lpwstr>
  </property>
  <property fmtid="{D5CDD505-2E9C-101B-9397-08002B2CF9AE}" pid="26" name="romanfontoptions">
    <vt:lpwstr>Ligatures=TeX</vt:lpwstr>
  </property>
  <property fmtid="{D5CDD505-2E9C-101B-9397-08002B2CF9AE}" pid="27" name="sansfont">
    <vt:lpwstr>PT Sans</vt:lpwstr>
  </property>
  <property fmtid="{D5CDD505-2E9C-101B-9397-08002B2CF9AE}" pid="28" name="sansfontoptions">
    <vt:lpwstr>Ligatures=TeX,Scale=MatchLowercase</vt:lpwstr>
  </property>
  <property fmtid="{D5CDD505-2E9C-101B-9397-08002B2CF9AE}" pid="29" name="subtitle">
    <vt:lpwstr>Модель конкуренции двух фирм. Вариант №38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