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Revenue grew </w:t>
      </w:r>
      <w:r>
        <w:rPr>
          <w:b/>
        </w:rPr>
        <w:t>twelve percent</w:t>
      </w:r>
      <w:r>
        <w:t xml:space="preserve"> while costs stayed </w:t>
      </w:r>
      <w:r>
        <w:rPr>
          <w:i/>
        </w:rPr>
        <w:t>flat</w:t>
      </w:r>
      <w:r>
        <w:t>.</w:t>
      </w:r>
    </w:p>
    <w:p>
      <w:pPr>
        <w:pStyle w:val="Heading2"/>
      </w:pPr>
      <w:r>
        <w:t>Highlights</w:t>
      </w:r>
    </w:p>
    <w:p>
      <w:pPr>
        <w:pStyle w:val="ListBullet"/>
      </w:pPr>
      <w:r>
        <w:t>New office in Lisbon</w:t>
      </w:r>
    </w:p>
    <w:p>
      <w:pPr>
        <w:pStyle w:val="ListBullet"/>
      </w:pPr>
      <w:r>
        <w:t>Hired 14 engineers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EMEA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APAC</w:t>
            </w:r>
          </w:p>
        </w:tc>
        <w:tc>
          <w:tcPr>
            <w:tcW w:type="dxa" w:w="4320"/>
          </w:tcPr>
          <w:p>
            <w:r>
              <w:t>950</w:t>
            </w:r>
          </w:p>
        </w:tc>
      </w:tr>
    </w:tbl>
    <w:p>
      <w:r>
        <w:t>Ünïcödé &amp; &lt;special&gt; "chars" —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Ada Lovelace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