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60A2" w14:textId="77777777" w:rsidR="003158F4" w:rsidRPr="00274D4F" w:rsidRDefault="003158F4" w:rsidP="00A75638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7318F659" w14:textId="77777777" w:rsidR="003158F4" w:rsidRPr="003158F4" w:rsidRDefault="003158F4" w:rsidP="00A75638">
      <w:pPr>
        <w:pStyle w:val="Ttulo1"/>
        <w:pBdr>
          <w:top w:val="single" w:sz="4" w:space="0" w:color="FF0000"/>
          <w:bottom w:val="single" w:sz="4" w:space="1" w:color="FF0000"/>
        </w:pBdr>
        <w:jc w:val="center"/>
        <w:rPr>
          <w:rFonts w:ascii="Tahoma" w:hAnsi="Tahoma" w:cs="Tahoma"/>
          <w:b/>
          <w:color w:val="EE0000"/>
        </w:rPr>
      </w:pPr>
      <w:r w:rsidRPr="003158F4">
        <w:rPr>
          <w:rFonts w:ascii="Tahoma" w:hAnsi="Tahoma" w:cs="Tahoma"/>
          <w:b/>
          <w:color w:val="EE0000"/>
        </w:rPr>
        <w:t>RENTABILIDAD Y POLÍTICA DE DESCUENTOS EN SUPERSTORE</w:t>
      </w:r>
    </w:p>
    <w:p w14:paraId="1FAFA9D2" w14:textId="77777777" w:rsidR="003158F4" w:rsidRPr="003158F4" w:rsidRDefault="003158F4" w:rsidP="00A75638">
      <w:pPr>
        <w:pStyle w:val="Ttulo1"/>
        <w:pBdr>
          <w:top w:val="single" w:sz="4" w:space="0" w:color="FF0000"/>
          <w:bottom w:val="single" w:sz="4" w:space="1" w:color="FF0000"/>
        </w:pBdr>
        <w:jc w:val="center"/>
        <w:rPr>
          <w:rFonts w:ascii="Tahoma" w:hAnsi="Tahoma" w:cs="Tahoma"/>
          <w:color w:val="EE0000"/>
        </w:rPr>
      </w:pPr>
      <w:r w:rsidRPr="003158F4">
        <w:rPr>
          <w:rFonts w:ascii="Tahoma" w:hAnsi="Tahoma" w:cs="Tahoma"/>
          <w:color w:val="EE0000"/>
        </w:rPr>
        <w:t>Informe de presentación de datos</w:t>
      </w:r>
    </w:p>
    <w:p w14:paraId="3112AFF0" w14:textId="77777777" w:rsidR="003158F4" w:rsidRPr="00274D4F" w:rsidRDefault="003158F4" w:rsidP="00A75638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34F44B14" w14:textId="77777777" w:rsidR="003158F4" w:rsidRPr="00274D4F" w:rsidRDefault="003158F4" w:rsidP="00A75638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6729A74A" w14:textId="77777777" w:rsidR="000A3562" w:rsidRDefault="000A3562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 w14:paraId="71B55223" w14:textId="128EF80F" w:rsidR="000A3562" w:rsidRPr="003158F4" w:rsidRDefault="000A3562" w:rsidP="000A3562">
      <w:pPr>
        <w:rPr>
          <w:rFonts w:ascii="Tahoma" w:hAnsi="Tahoma" w:cs="Tahoma"/>
        </w:rPr>
      </w:pPr>
      <w:r w:rsidRPr="003158F4">
        <w:rPr>
          <w:rFonts w:ascii="Tahoma" w:hAnsi="Tahoma" w:cs="Tahoma"/>
        </w:rPr>
        <w:t>NOMBRE: Diego Martínez González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CARRERA: Analista Programador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ASIGNATURA: Visualización de Datos (TIEL16) · EVA2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PROFESOR:</w:t>
      </w:r>
      <w:r w:rsidR="003158F4">
        <w:rPr>
          <w:rFonts w:ascii="Tahoma" w:hAnsi="Tahoma" w:cs="Tahoma"/>
        </w:rPr>
        <w:br/>
      </w:r>
      <w:r w:rsidRPr="003158F4">
        <w:rPr>
          <w:rFonts w:ascii="Tahoma" w:hAnsi="Tahoma" w:cs="Tahoma"/>
        </w:rPr>
        <w:t>FECHA: 26-10-2026</w:t>
      </w:r>
    </w:p>
    <w:p>
      <w:r>
        <w:br w:type="page"/>
      </w:r>
    </w:p>
    <w:p>
      <w:pPr>
        <w:keepNext/>
        <w:spacing w:after="160"/>
        <w:jc w:val="center"/>
        <w:outlineLvl w:val="0"/>
      </w:pPr>
      <w:r>
        <w:rPr>
          <w:rFonts w:ascii="Tahoma" w:hAnsi="Tahoma" w:cs="Tahoma"/>
          <w:color w:val="EE0000"/>
          <w:sz w:val="36"/>
        </w:rPr>
        <w:t>1 Contexto</w:t>
      </w:r>
    </w:p>
    <w:p>
      <w:pPr>
        <w:spacing w:after="120"/>
      </w:pPr>
      <w:r>
        <w:rPr>
          <w:rFonts w:ascii="Tahoma" w:hAnsi="Tahoma" w:cs="Tahoma"/>
          <w:sz w:val="22"/>
        </w:rPr>
        <w:t>Superstore es una tienda minorista de Estados Unidos que vende muebles, artículos de oficina y tecnología. El dataset tiene una fila por línea de pedido entre 2014 y 2017, con fecha, cliente, producto, región, venta, cantidad, descuento y utilidad.</w:t>
      </w:r>
    </w:p>
    <w:tbl>
      <w:tblPr>
        <w:tblW w:type="auto" w:w="0"/>
        <w:tbl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F2F2F2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Pregunta central.</w:t>
            </w:r>
            <w:r>
              <w:rPr>
                <w:rFonts w:ascii="Tahoma" w:hAnsi="Tahoma" w:cs="Tahoma"/>
                <w:sz w:val="21"/>
              </w:rPr>
              <w:t xml:space="preserve"> Las ventas suben cada año, pero ¿la empresa gana dinero con todo lo que vende? El informe busca dónde se pierde utilidad y qué decisiones ayudarían a recuperarla.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sz w:val="22"/>
        </w:rPr>
        <w:t>Dataset:</w:t>
      </w:r>
      <w:r>
        <w:rPr>
          <w:rFonts w:ascii="Tahoma" w:hAnsi="Tahoma" w:cs="Tahoma"/>
          <w:sz w:val="22"/>
        </w:rPr>
        <w:t xml:space="preserve"> Sample - Superstore (Kaggle) (https://www.kaggle.com/datasets/vivek468/superstore-dataset-final). 9.994 líneas de pedido, 21 columnas, periodo 03-01-2014 a 30-12-2017. </w:t>
      </w:r>
      <w:r>
        <w:rPr>
          <w:rFonts w:ascii="Tahoma" w:hAnsi="Tahoma" w:cs="Tahoma"/>
          <w:b/>
          <w:sz w:val="22"/>
        </w:rPr>
        <w:t>Herramienta:</w:t>
      </w:r>
      <w:r>
        <w:rPr>
          <w:rFonts w:ascii="Tahoma" w:hAnsi="Tahoma" w:cs="Tahoma"/>
          <w:sz w:val="22"/>
        </w:rPr>
        <w:t xml:space="preserve"> Python (pandas, matplotlib, seaborn) y una app en Streamlit: </w:t>
      </w:r>
      <w:hyperlink r:id="rId11">
        <w:r>
          <w:rPr>
            <w:rFonts w:ascii="Tahoma" w:hAnsi="Tahoma" w:cs="Tahoma"/>
            <w:color w:val="0563C1"/>
            <w:sz w:val="22"/>
            <w:u w:val="single"/>
          </w:rPr>
          <w:t>https://eva2-superstore-cf6parf9rmnwtmifgxebqn.streamlit.app/</w:t>
        </w:r>
      </w:hyperlink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1.1 Preguntas que responde el informe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634"/>
        <w:gridCol w:w="2634"/>
        <w:gridCol w:w="2634"/>
        <w:gridCol w:w="2634"/>
      </w:tblGrid>
      <w:tr>
        <w:trPr>
          <w:tblHeader/>
        </w:trPr>
        <w:tc>
          <w:tcPr>
            <w:tcW w:type="dxa" w:w="454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Tipo (tabla U1.4)</w:t>
            </w:r>
          </w:p>
        </w:tc>
        <w:tc>
          <w:tcPr>
            <w:tcW w:type="dxa" w:w="4535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Pregunta de negocio</w:t>
            </w:r>
          </w:p>
        </w:tc>
        <w:tc>
          <w:tcPr>
            <w:tcW w:type="dxa" w:w="3288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Gráfico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Comparación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¿Qué líneas de producto venden mucho pero no dejan utilidad?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Barras horizontales ordenadas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Tendencia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¿Cómo evolucionan las ventas y en qué meses se concentran?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Líneas superpuestas por año (gráfico estacional)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Relación (con dimensiones adicionales)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¿El descuento está destruyendo el margen?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Dispersión con color, tamaño y línea de tendencia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Composición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¿Cómo se componen las ventas de cada región según el descuento aplicado?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Barras apiladas al 100 %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Comparación avanzada (dos dimensiones)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¿En qué combinaciones de región y producto se pierde dinero?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Mapa de calor con escala divergente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60"/>
        <w:jc w:val="center"/>
        <w:outlineLvl w:val="0"/>
      </w:pPr>
      <w:r>
        <w:rPr>
          <w:rFonts w:ascii="Tahoma" w:hAnsi="Tahoma" w:cs="Tahoma"/>
          <w:color w:val="EE0000"/>
          <w:sz w:val="36"/>
        </w:rPr>
        <w:t>2 Preparación de datos</w:t>
      </w:r>
    </w:p>
    <w:p>
      <w:pPr>
        <w:spacing w:after="120"/>
      </w:pPr>
      <w:r>
        <w:rPr>
          <w:rFonts w:ascii="Tahoma" w:hAnsi="Tahoma" w:cs="Tahoma"/>
          <w:sz w:val="22"/>
        </w:rPr>
        <w:t xml:space="preserve">El dataset se revisó en tres dimensiones: </w:t>
      </w:r>
      <w:r>
        <w:rPr>
          <w:rFonts w:ascii="Tahoma" w:hAnsi="Tahoma" w:cs="Tahoma"/>
          <w:b/>
          <w:sz w:val="22"/>
        </w:rPr>
        <w:t>integridad</w:t>
      </w:r>
      <w:r>
        <w:rPr>
          <w:rFonts w:ascii="Tahoma" w:hAnsi="Tahoma" w:cs="Tahoma"/>
          <w:sz w:val="22"/>
        </w:rPr>
        <w:t xml:space="preserve"> (registros completos y sin duplicar), </w:t>
      </w:r>
      <w:r>
        <w:rPr>
          <w:rFonts w:ascii="Tahoma" w:hAnsi="Tahoma" w:cs="Tahoma"/>
          <w:b/>
          <w:sz w:val="22"/>
        </w:rPr>
        <w:t>calidad</w:t>
      </w:r>
      <w:r>
        <w:rPr>
          <w:rFonts w:ascii="Tahoma" w:hAnsi="Tahoma" w:cs="Tahoma"/>
          <w:sz w:val="22"/>
        </w:rPr>
        <w:t xml:space="preserve"> (valores correctos y útiles) y </w:t>
      </w:r>
      <w:r>
        <w:rPr>
          <w:rFonts w:ascii="Tahoma" w:hAnsi="Tahoma" w:cs="Tahoma"/>
          <w:b/>
          <w:sz w:val="22"/>
        </w:rPr>
        <w:t>homologación</w:t>
      </w:r>
      <w:r>
        <w:rPr>
          <w:rFonts w:ascii="Tahoma" w:hAnsi="Tahoma" w:cs="Tahoma"/>
          <w:sz w:val="22"/>
        </w:rPr>
        <w:t xml:space="preserve"> (una misma cosa escrita siempre igual). No hay valores nulos (0), pero sí problemas menos visibles. Se documentaron 11 decisiones; la limpieza deja 9.993 filas de las 9.994 originales.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/>
        </w:trPr>
        <w:tc>
          <w:tcPr>
            <w:tcW w:type="dxa" w:w="1247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2494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6"/>
              </w:rPr>
              <w:t>Problema detectado</w:t>
            </w:r>
          </w:p>
        </w:tc>
        <w:tc>
          <w:tcPr>
            <w:tcW w:type="dxa" w:w="737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6"/>
              </w:rPr>
              <w:t>Filas</w:t>
            </w:r>
          </w:p>
        </w:tc>
        <w:tc>
          <w:tcPr>
            <w:tcW w:type="dxa" w:w="2268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798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6"/>
              </w:rPr>
              <w:t>Justificación e implicancia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Integridad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El CSV viene en Latin-1, no en UTF-8: leerlo con la configuración por defecto de pandas falla (UnicodeDecodeError). Además hay espacios no separables (\xa0) en nombres de producto.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225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Leer con encoding='latin-1' y reemplazar \xa0 por un espacio normal.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Sin esto el archivo no carga, y los nombres con \xa0 no coinciden al buscar o agrupar por texto. </w:t>
            </w:r>
            <w:r>
              <w:rPr>
                <w:rFonts w:ascii="Tahoma" w:hAnsi="Tahoma" w:cs="Tahoma"/>
                <w:i/>
                <w:sz w:val="16"/>
              </w:rPr>
              <w:t>Ninguna pérdida de datos; solo se normaliza el texto.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Homologación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Nombres de producto con espacios al final (ej. 'Iceberg Mobile Mega Data/Printer Cart ').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16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Aplicar strip() a todas las columnas de texto.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Dos escrituras del mismo producto se contarían como productos distintos. </w:t>
            </w:r>
            <w:r>
              <w:rPr>
                <w:rFonts w:ascii="Tahoma" w:hAnsi="Tahoma" w:cs="Tahoma"/>
                <w:i/>
                <w:sz w:val="16"/>
              </w:rPr>
              <w:t>Ninguna pérdida de datos.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Calidad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Códigos postales de 4 dígitos: perdieron el 0 inicial al guardarse como número (estados del noreste: Massachusetts, New Jersey, Connecticut, entre otros).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438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Tratar el código postal como texto y completarlo a 5 dígitos con zfill(5).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Un código postal es un identificador, no una cantidad. Mal formado, no cruza con fuentes externas. </w:t>
            </w:r>
            <w:r>
              <w:rPr>
                <w:rFonts w:ascii="Tahoma" w:hAnsi="Tahoma" w:cs="Tahoma"/>
                <w:i/>
                <w:sz w:val="16"/>
              </w:rPr>
              <w:t>Afecta solo a la región East: si no se corrige, cualquier cruce geográfico la sub-representa.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Integridad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Fechas guardadas como texto en formato mes/día/año (estadounidense).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9.994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Convertir a datetime con formato explícito '%m/%d/%Y' y validar que la fecha de envío no sea anterior a la de pedido (casos inválidos encontrados: 0).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Con formato implícito, '11/8/2016' podría leerse como 11 de agosto (formato chileno). El formato explícito evita esa ambigüedad. </w:t>
            </w:r>
            <w:r>
              <w:rPr>
                <w:rFonts w:ascii="Tahoma" w:hAnsi="Tahoma" w:cs="Tahoma"/>
                <w:i/>
                <w:sz w:val="16"/>
              </w:rPr>
              <w:t>Ninguna pérdida de datos.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Integridad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Una fila idéntica a otra en todos los campos salvo el Row ID (pedido US-2014-150119).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Eliminar la copia.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Es el mismo registro cargado dos veces: duplicaría su venta y su pérdida. </w:t>
            </w:r>
            <w:r>
              <w:rPr>
                <w:rFonts w:ascii="Tahoma" w:hAnsi="Tahoma" w:cs="Tahoma"/>
                <w:i/>
                <w:sz w:val="16"/>
              </w:rPr>
              <w:t>Se elimina 1 fila (0,01%).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Integridad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Mismo pedido y producto en dos líneas, pero con cantidades distintas.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Conservar ambas líneas.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No son duplicados: difieren en cantidad y venta, y son compatibles con dos líneas reales de un mismo pedido. </w:t>
            </w:r>
            <w:r>
              <w:rPr>
                <w:rFonts w:ascii="Tahoma" w:hAnsi="Tahoma" w:cs="Tahoma"/>
                <w:i/>
                <w:sz w:val="16"/>
              </w:rPr>
              <w:t>Eliminarlas borraría ventas reales.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Homologación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Un mismo Product ID aparece con nombres de producto distintos.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32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No usar Product ID como llave de producto; el análisis se hace a nivel de subcategoría. Se marcan las filas con la columna 'ID ambiguo'.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Agrupar por ID mezclaría productos distintos; agrupar por nombre partiría un ID. La subcategoría no tiene esta ambigüedad. </w:t>
            </w:r>
            <w:r>
              <w:rPr>
                <w:rFonts w:ascii="Tahoma" w:hAnsi="Tahoma" w:cs="Tahoma"/>
                <w:i/>
                <w:sz w:val="16"/>
              </w:rPr>
              <w:t>Las conclusiones no bajan a nivel de producto individual.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Calidad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'Country' tiene un solo valor (United States) en todas las filas.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9.993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Eliminar la columna.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Una columna constante no aporta información. </w:t>
            </w:r>
            <w:r>
              <w:rPr>
                <w:rFonts w:ascii="Tahoma" w:hAnsi="Tahoma" w:cs="Tahoma"/>
                <w:i/>
                <w:sz w:val="16"/>
              </w:rPr>
              <w:t>Ninguna.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Ética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La regla IQR (1,5×) marca 1,881 filas de Profit como atípicas (19% del total); 604 de ellas son pérdidas.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1.881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Conservarlas todas y solo marcarlas (columna 'Atípico IQR').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No son errores de digitación: son ventas reales con descuentos altos. Esas filas concentran el 90% de las pérdidas del negocio. </w:t>
            </w:r>
            <w:r>
              <w:rPr>
                <w:rFonts w:ascii="Tahoma" w:hAnsi="Tahoma" w:cs="Tahoma"/>
                <w:i/>
                <w:sz w:val="16"/>
              </w:rPr>
              <w:t>Eliminarlas haría ver un negocio más rentable de lo que es y escondería el problema de descuentos.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Calidad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Faltan variables para responder las preguntas de negocio.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9.993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Crear Año, Mes, Días de envío, Margen (Profit/Sales) y Tramo de descuento.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El margen permite comparar rentabilidad entre segmentos de distinto tamaño. </w:t>
            </w:r>
            <w:r>
              <w:rPr>
                <w:rFonts w:ascii="Tahoma" w:hAnsi="Tahoma" w:cs="Tahoma"/>
                <w:i/>
                <w:sz w:val="16"/>
              </w:rPr>
              <w:t>Ninguna pérdida de datos.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Ética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11 estados tienen menos de 30 filas (ej. Wyoming: 1, West Virginia: 4).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140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>No sacar conclusiones a nivel de estado; el análisis geográfico se hace por región.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rFonts w:ascii="Tahoma" w:hAnsi="Tahoma" w:cs="Tahoma"/>
                <w:sz w:val="16"/>
              </w:rPr>
              <w:t xml:space="preserve">Con tan pocas filas, un solo pedido cambia el margen del estado completo. </w:t>
            </w:r>
            <w:r>
              <w:rPr>
                <w:rFonts w:ascii="Tahoma" w:hAnsi="Tahoma" w:cs="Tahoma"/>
                <w:i/>
                <w:sz w:val="16"/>
              </w:rPr>
              <w:t>Esos estados quedan sub-representados: ninguna decisión debería tomarse sobre ellos con este dataset.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color w:val="595959"/>
          <w:sz w:val="18"/>
        </w:rPr>
        <w:t>Las filas afectadas cuentan registros revisados o transformados, no eliminados. Solo se eliminó 1 fila (el duplicado exacto). Ninguna región pierde representación.</w:t>
      </w:r>
    </w:p>
    <w:p>
      <w:r>
        <w:br w:type="page"/>
      </w:r>
    </w:p>
    <w:p>
      <w:pPr>
        <w:keepNext/>
        <w:spacing w:after="160"/>
        <w:jc w:val="center"/>
        <w:outlineLvl w:val="0"/>
      </w:pPr>
      <w:r>
        <w:rPr>
          <w:rFonts w:ascii="Tahoma" w:hAnsi="Tahoma" w:cs="Tahoma"/>
          <w:color w:val="EE0000"/>
          <w:sz w:val="36"/>
        </w:rPr>
        <w:t>3 Visualizaciones e interpretación de negocio</w:t>
      </w:r>
    </w:p>
    <w:p>
      <w:pPr>
        <w:spacing w:after="120"/>
      </w:pPr>
      <w:r>
        <w:rPr>
          <w:rFonts w:ascii="Tahoma" w:hAnsi="Tahoma" w:cs="Tahoma"/>
          <w:sz w:val="22"/>
        </w:rPr>
        <w:t>Cada gráfico responde una pregunta distinta y termina en una decisión. Todos se construyeron con matplotlib y seaborn con una configuración común: fondo claro, grilla tenue, títulos que enuncian el hallazgo, montos en dólares con separador de miles chileno y una paleta validada para personas con daltonismo.</w:t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3.1 Comparación: ¿Qué líneas de producto venden mucho pero no dejan utilidad?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48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/>
          <w:color w:val="595959"/>
          <w:sz w:val="18"/>
        </w:rPr>
        <w:t>Figura 1. Barras horizontales ordenadas</w:t>
      </w:r>
    </w:p>
    <w:p>
      <w:pPr>
        <w:spacing w:after="120"/>
      </w:pPr>
      <w:r>
        <w:rPr>
          <w:rFonts w:ascii="Tahoma" w:hAnsi="Tahoma" w:cs="Tahoma"/>
          <w:b/>
          <w:sz w:val="22"/>
        </w:rPr>
        <w:t>Qué muestra.</w:t>
      </w:r>
      <w:r>
        <w:rPr>
          <w:rFonts w:ascii="Tahoma" w:hAnsi="Tahoma" w:cs="Tahoma"/>
          <w:sz w:val="22"/>
        </w:rPr>
        <w:t xml:space="preserve"> Tres subcategorías pierden dinero: Mesas (−US$ 17.725), Libreros e Insumos. Juntas venden US$ 368.519, así que no son productos marginales. Mesas es la cuarta subcategoría en ventas (US$ 206.966) y tiene el peor resultado, con un margen de −8,6 %.</w:t>
      </w:r>
    </w:p>
    <w:tbl>
      <w:tblPr>
        <w:tblW w:type="auto" w:w="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E8F3EC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Decisión que apoya.</w:t>
            </w:r>
            <w:r>
              <w:rPr>
                <w:rFonts w:ascii="Tahoma" w:hAnsi="Tahoma" w:cs="Tahoma"/>
                <w:sz w:val="21"/>
              </w:rPr>
              <w:t xml:space="preserve"> Revisar precios y descuentos de Mesas y Libreros antes de seguir impulsando su venta. Si el margen no mejora, conviene destinar el esfuerzo comercial a las que más utilidad dejan (Copiadoras, Teléfonos, Accesorios).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Por qué este gráfico.</w:t>
      </w:r>
      <w:r>
        <w:rPr>
          <w:rFonts w:ascii="Tahoma" w:hAnsi="Tahoma" w:cs="Tahoma"/>
          <w:color w:val="595959"/>
          <w:sz w:val="18"/>
        </w:rPr>
        <w:t xml:space="preserve"> Son 17 subcategorías con nombres largos, así que usé barras horizontales: los nombres caben sin rotarlos y, ordenadas por utilidad, el ranking se lee de arriba hacia abajo. El rojo marca las que pierden y el azul las que ganan.</w:t>
      </w: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Configuración.</w:t>
      </w:r>
      <w:r>
        <w:rPr>
          <w:rFonts w:ascii="Tahoma" w:hAnsi="Tahoma" w:cs="Tahoma"/>
          <w:color w:val="595959"/>
          <w:sz w:val="18"/>
        </w:rPr>
        <w:t xml:space="preserve"> Figura de 9 × 6,2 pulgadas; eje X en dólares con punto como separador de miles; línea vertical en cero; etiquetas de venta y margen solo en las barras con pérdida.</w:t>
      </w:r>
    </w:p>
    <w:p>
      <w:r>
        <w:br w:type="page"/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3.2 Tendencia: ¿Cómo evolucionan las ventas y en qué meses se concentran?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00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/>
          <w:color w:val="595959"/>
          <w:sz w:val="18"/>
        </w:rPr>
        <w:t>Figura 2. Líneas superpuestas por año (gráfico estacional)</w:t>
      </w:r>
    </w:p>
    <w:p>
      <w:pPr>
        <w:spacing w:after="120"/>
      </w:pPr>
      <w:r>
        <w:rPr>
          <w:rFonts w:ascii="Tahoma" w:hAnsi="Tahoma" w:cs="Tahoma"/>
          <w:b/>
          <w:sz w:val="22"/>
        </w:rPr>
        <w:t>Qué muestra.</w:t>
      </w:r>
      <w:r>
        <w:rPr>
          <w:rFonts w:ascii="Tahoma" w:hAnsi="Tahoma" w:cs="Tahoma"/>
          <w:sz w:val="22"/>
        </w:rPr>
        <w:t xml:space="preserve"> Las ventas bajan levemente en 2015 y luego crecen 29 % en 2016 y 20 % en 2017. Los cuatro años tienen el mismo patrón: septiembre, noviembre y diciembre son los meses más altos. Entre septiembre y diciembre se concentra el 52 % de las ventas; solo el último trimestre aporta el 38 %.</w:t>
      </w:r>
    </w:p>
    <w:tbl>
      <w:tblPr>
        <w:tblW w:type="auto" w:w="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E8F3EC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Decisión que apoya.</w:t>
            </w:r>
            <w:r>
              <w:rPr>
                <w:rFonts w:ascii="Tahoma" w:hAnsi="Tahoma" w:cs="Tahoma"/>
                <w:sz w:val="21"/>
              </w:rPr>
              <w:t xml:space="preserve"> Tener el inventario y el personal de bodega listos en agosto. Las campañas de febrero, el mes más bajo, podrían compensar parte de la caída de inicio de año.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Por qué este gráfico.</w:t>
      </w:r>
      <w:r>
        <w:rPr>
          <w:rFonts w:ascii="Tahoma" w:hAnsi="Tahoma" w:cs="Tahoma"/>
          <w:color w:val="595959"/>
          <w:sz w:val="18"/>
        </w:rPr>
        <w:t xml:space="preserve"> Una sola línea de 2014 a 2017 muestra el crecimiento, pero tapa la estacionalidad. Al superponer los cuatro años sobre los mismos 12 meses se ve cuánto sube cada año y qué meses repiten el peak.</w:t>
      </w: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Configuración.</w:t>
      </w:r>
      <w:r>
        <w:rPr>
          <w:rFonts w:ascii="Tahoma" w:hAnsi="Tahoma" w:cs="Tahoma"/>
          <w:color w:val="595959"/>
          <w:sz w:val="18"/>
        </w:rPr>
        <w:t xml:space="preserve"> Paleta de un solo tono en que el más oscuro es el año más reciente, porque los años son una variable ordenada; franja gris en septiembre–diciembre; el año rotulado al final de cada línea para no depender solo del color.</w:t>
      </w:r>
    </w:p>
    <w:p>
      <w:r>
        <w:br w:type="page"/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3.3 Relación (con dimensiones adicionales): ¿El descuento está destruyendo el margen?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/>
          <w:color w:val="595959"/>
          <w:sz w:val="18"/>
        </w:rPr>
        <w:t>Figura 3. Dispersión con color, tamaño y línea de tendencia</w:t>
      </w:r>
    </w:p>
    <w:p>
      <w:pPr>
        <w:spacing w:after="120"/>
      </w:pPr>
      <w:r>
        <w:rPr>
          <w:rFonts w:ascii="Tahoma" w:hAnsi="Tahoma" w:cs="Tahoma"/>
          <w:b/>
          <w:sz w:val="22"/>
        </w:rPr>
        <w:t>Qué muestra.</w:t>
      </w:r>
      <w:r>
        <w:rPr>
          <w:rFonts w:ascii="Tahoma" w:hAnsi="Tahoma" w:cs="Tahoma"/>
          <w:sz w:val="22"/>
        </w:rPr>
        <w:t xml:space="preserve"> Hasta 20 % de descuento el margen sigue siendo positivo. Sobre 20 %, el 97 % de las líneas pierde dinero. Esas líneas son solo el 14 % del total, pero restan US$ 135.364 a la utilidad: sin ellas la utilidad (US$ 286.409) sería 47 % mayor. La pérdida aparece en las tres categorías, así que el problema no es un producto sino la política de descuentos.</w:t>
      </w:r>
    </w:p>
    <w:tbl>
      <w:tblPr>
        <w:tblW w:type="auto" w:w="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E8F3EC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Decisión que apoya.</w:t>
            </w:r>
            <w:r>
              <w:rPr>
                <w:rFonts w:ascii="Tahoma" w:hAnsi="Tahoma" w:cs="Tahoma"/>
                <w:sz w:val="21"/>
              </w:rPr>
              <w:t xml:space="preserve"> Fijar un tope de 20 % para descuentos sin autorización y pedir aprobación de la gerencia comercial para cualquier descuento mayor.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Por qué este gráfico.</w:t>
      </w:r>
      <w:r>
        <w:rPr>
          <w:rFonts w:ascii="Tahoma" w:hAnsi="Tahoma" w:cs="Tahoma"/>
          <w:color w:val="595959"/>
          <w:sz w:val="18"/>
        </w:rPr>
        <w:t xml:space="preserve"> Para ver la relación entre dos variables numéricas (descuento y margen) corresponde una dispersión. Le agregué dos dimensiones: el color es la categoría y el tamaño del punto es el monto de la venta. La línea negra une el margen agregado de cada nivel de descuento, porque con 9.993 puntos el patrón se pierde a simple vista.</w:t>
      </w: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Configuración.</w:t>
      </w:r>
      <w:r>
        <w:rPr>
          <w:rFonts w:ascii="Tahoma" w:hAnsi="Tahoma" w:cs="Tahoma"/>
          <w:color w:val="595959"/>
          <w:sz w:val="18"/>
        </w:rPr>
        <w:t xml:space="preserve"> Transparencia de 55 % y un pequeño desplazamiento horizontal aleatorio (jitter), porque el descuento tiene solo 12 valores distintos y los puntos se superponen; fondo rojo bajo 0 % de margen; línea punteada en 20 %; dos leyendas, una para el color y otra para el tamaño.</w:t>
      </w:r>
    </w:p>
    <w:p>
      <w:r>
        <w:br w:type="page"/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3.4 Composición: ¿Cómo se componen las ventas de cada región según el descuento aplicado?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32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/>
          <w:color w:val="595959"/>
          <w:sz w:val="18"/>
        </w:rPr>
        <w:t>Figura 4. Barras apiladas al 100 %</w:t>
      </w:r>
    </w:p>
    <w:p>
      <w:pPr>
        <w:spacing w:after="120"/>
      </w:pPr>
      <w:r>
        <w:rPr>
          <w:rFonts w:ascii="Tahoma" w:hAnsi="Tahoma" w:cs="Tahoma"/>
          <w:b/>
          <w:sz w:val="22"/>
        </w:rPr>
        <w:t>Qué muestra.</w:t>
      </w:r>
      <w:r>
        <w:rPr>
          <w:rFonts w:ascii="Tahoma" w:hAnsi="Tahoma" w:cs="Tahoma"/>
          <w:sz w:val="22"/>
        </w:rPr>
        <w:t xml:space="preserve"> En Central el 26 % de las ventas se hace con más de 20 % de descuento. En Este es el 21 % y en Sur el 18 %. Oeste casi no los usa (2 %) y es la región con mejor margen.</w:t>
      </w:r>
    </w:p>
    <w:tbl>
      <w:tblPr>
        <w:tblW w:type="auto" w:w="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E8F3EC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Decisión que apoya.</w:t>
            </w:r>
            <w:r>
              <w:rPr>
                <w:rFonts w:ascii="Tahoma" w:hAnsi="Tahoma" w:cs="Tahoma"/>
                <w:sz w:val="21"/>
              </w:rPr>
              <w:t xml:space="preserve"> Llevar a Central y Este la práctica de Oeste, que vende con descuentos de hasta 20 %. Las metas de los vendedores deberían medir margen y no solo volumen.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Por qué este gráfico.</w:t>
      </w:r>
      <w:r>
        <w:rPr>
          <w:rFonts w:ascii="Tahoma" w:hAnsi="Tahoma" w:cs="Tahoma"/>
          <w:color w:val="595959"/>
          <w:sz w:val="18"/>
        </w:rPr>
        <w:t xml:space="preserve"> Quería comparar proporciones entre regiones que venden montos distintos, y la barra apilada al 100 % lo permite. Con tortas habría que comparar ángulos entre cuatro gráficos.</w:t>
      </w: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Configuración.</w:t>
      </w:r>
      <w:r>
        <w:rPr>
          <w:rFonts w:ascii="Tahoma" w:hAnsi="Tahoma" w:cs="Tahoma"/>
          <w:color w:val="595959"/>
          <w:sz w:val="18"/>
        </w:rPr>
        <w:t xml:space="preserve"> Escala de azul claro a oscuro, porque los tramos de descuento tienen un orden; regiones ordenadas por su participación de descuentos altos; porcentaje escrito en los tramos de 5 % o más.</w:t>
      </w:r>
    </w:p>
    <w:p>
      <w:r>
        <w:br w:type="page"/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3.5 Comparación avanzada (dos dimensiones): ¿En qué combinaciones de región y producto se pierde dinero?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55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5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/>
          <w:color w:val="595959"/>
          <w:sz w:val="18"/>
        </w:rPr>
        <w:t>Figura 5. Mapa de calor con escala divergente</w:t>
      </w:r>
    </w:p>
    <w:p>
      <w:pPr>
        <w:spacing w:after="120"/>
      </w:pPr>
      <w:r>
        <w:rPr>
          <w:rFonts w:ascii="Tahoma" w:hAnsi="Tahoma" w:cs="Tahoma"/>
          <w:b/>
          <w:sz w:val="22"/>
        </w:rPr>
        <w:t>Qué muestra.</w:t>
      </w:r>
      <w:r>
        <w:rPr>
          <w:rFonts w:ascii="Tahoma" w:hAnsi="Tahoma" w:cs="Tahoma"/>
          <w:sz w:val="22"/>
        </w:rPr>
        <w:t xml:space="preserve"> Hay 3 subcategorías que ganan en las otras tres regiones y pierden solo en Central: Decoración, Carpetas, Electrodomésticos. La pérdida se concentra en dos estados: Texas (descuento promedio 37 %, utilidad −US$ 25.729) e Illinois (descuento promedio 39 %, utilidad −US$ 12.608). El resto de los estados de Central suma US$ 78.044.</w:t>
      </w:r>
    </w:p>
    <w:tbl>
      <w:tblPr>
        <w:tblW w:type="auto" w:w="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0538"/>
      </w:tblGrid>
      <w:tr>
        <w:tc>
          <w:tcPr>
            <w:tcW w:type="dxa" w:w="10545"/>
            <w:shd w:val="clear" w:color="auto" w:fill="E8F3EC"/>
          </w:tcPr>
          <w:p>
            <w:pPr>
              <w:spacing w:after="0"/>
            </w:pPr>
            <w:r>
              <w:rPr>
                <w:rFonts w:ascii="Tahoma" w:hAnsi="Tahoma" w:cs="Tahoma"/>
                <w:b/>
                <w:sz w:val="21"/>
              </w:rPr>
              <w:t>Decisión que apoya.</w:t>
            </w:r>
            <w:r>
              <w:rPr>
                <w:rFonts w:ascii="Tahoma" w:hAnsi="Tahoma" w:cs="Tahoma"/>
                <w:sz w:val="21"/>
              </w:rPr>
              <w:t xml:space="preserve"> Revisar la política de descuentos de Texas e Illinois antes de evaluar a Central como región. Los datos apuntan a cómo se fijan los precios, no a los productos ni a las personas.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Por qué este gráfico.</w:t>
      </w:r>
      <w:r>
        <w:rPr>
          <w:rFonts w:ascii="Tahoma" w:hAnsi="Tahoma" w:cs="Tahoma"/>
          <w:color w:val="595959"/>
          <w:sz w:val="18"/>
        </w:rPr>
        <w:t xml:space="preserve"> Una tabla de 17 × 4 tiene 68 márgenes y es difícil de leer. El mapa de calor cruza subcategoría y región, y la escala divergente (rojo pérdida, gris cero, azul ganancia) deja ver de inmediato dónde se pierde. Es la visualización avanzada del informe.</w:t>
      </w:r>
    </w:p>
    <w:p>
      <w:pPr>
        <w:spacing w:after="120"/>
      </w:pPr>
      <w:r>
        <w:rPr>
          <w:rFonts w:ascii="Tahoma" w:hAnsi="Tahoma" w:cs="Tahoma"/>
          <w:b/>
          <w:color w:val="595959"/>
          <w:sz w:val="18"/>
        </w:rPr>
        <w:t>Configuración.</w:t>
      </w:r>
      <w:r>
        <w:rPr>
          <w:rFonts w:ascii="Tahoma" w:hAnsi="Tahoma" w:cs="Tahoma"/>
          <w:color w:val="595959"/>
          <w:sz w:val="18"/>
        </w:rPr>
        <w:t xml:space="preserve"> Escala divergente centrada en 0 % y acotada a ±30 %, para que los valores extremos no oculten las diferencias pequeñas; valor escrito en cada celda; subcategorías ordenadas por margen promedio.</w:t>
      </w:r>
    </w:p>
    <w:p>
      <w:r>
        <w:br w:type="page"/>
      </w:r>
    </w:p>
    <w:p>
      <w:pPr>
        <w:keepNext/>
        <w:spacing w:after="160"/>
        <w:jc w:val="center"/>
        <w:outlineLvl w:val="0"/>
      </w:pPr>
      <w:r>
        <w:rPr>
          <w:rFonts w:ascii="Tahoma" w:hAnsi="Tahoma" w:cs="Tahoma"/>
          <w:color w:val="EE0000"/>
          <w:sz w:val="36"/>
        </w:rPr>
        <w:t>4 Decisiones con implicancia ética</w:t>
      </w:r>
    </w:p>
    <w:p>
      <w:pPr>
        <w:spacing w:after="120"/>
      </w:pPr>
      <w:r>
        <w:rPr>
          <w:rFonts w:ascii="Tahoma" w:hAnsi="Tahoma" w:cs="Tahoma"/>
          <w:sz w:val="22"/>
        </w:rPr>
        <w:t>Limpiar y graficar obliga a decidir qué se muestra y qué no. Estas son las decisiones que podían cambiar las conclusiones.</w:t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4.1 Conservar los valores atípicos en vez de eliminarlos</w:t>
      </w:r>
    </w:p>
    <w:p>
      <w:pPr>
        <w:spacing w:after="120"/>
      </w:pPr>
      <w:r>
        <w:rPr>
          <w:rFonts w:ascii="Tahoma" w:hAnsi="Tahoma" w:cs="Tahoma"/>
          <w:b/>
          <w:sz w:val="22"/>
        </w:rPr>
        <w:t>Situación.</w:t>
      </w:r>
      <w:r>
        <w:rPr>
          <w:rFonts w:ascii="Tahoma" w:hAnsi="Tahoma" w:cs="Tahoma"/>
          <w:sz w:val="22"/>
        </w:rPr>
        <w:t xml:space="preserve"> La regla del rango intercuartil (IQR) marca 1.881 filas (19 % del dataset) como atípicas. Esas filas concentran el 90 % de todas las pérdidas.</w:t>
      </w:r>
    </w:p>
    <w:p>
      <w:pPr>
        <w:spacing w:after="120"/>
      </w:pPr>
      <w:r>
        <w:rPr>
          <w:rFonts w:ascii="Tahoma" w:hAnsi="Tahoma" w:cs="Tahoma"/>
          <w:b/>
          <w:sz w:val="22"/>
        </w:rPr>
        <w:t>Consecuencia.</w:t>
      </w:r>
      <w:r>
        <w:rPr>
          <w:rFonts w:ascii="Tahoma" w:hAnsi="Tahoma" w:cs="Tahoma"/>
          <w:sz w:val="22"/>
        </w:rPr>
        <w:t xml:space="preserve"> Si se hubieran eliminado, el margen de Central habría pasado de 7,9 % a 9,4 %, y la pérdida de las ventas con más de 20 % de descuento habría bajado de US$ 135.364 a US$ 9.756. El hallazgo principal casi desaparece. Por eso las dejé y solo las marqué: son ventas reales con descuentos altos, no errores de digitación.</w:t>
      </w:r>
    </w:p>
    <w:tbl>
      <w:tblPr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/>
        </w:trPr>
        <w:tc>
          <w:tcPr>
            <w:tcW w:type="dxa" w:w="1587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Región</w:t>
            </w:r>
          </w:p>
        </w:tc>
        <w:tc>
          <w:tcPr>
            <w:tcW w:type="dxa" w:w="1247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Filas</w:t>
            </w:r>
          </w:p>
        </w:tc>
        <w:tc>
          <w:tcPr>
            <w:tcW w:type="dxa" w:w="2154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Filas eliminadas</w:t>
            </w:r>
          </w:p>
        </w:tc>
        <w:tc>
          <w:tcPr>
            <w:tcW w:type="dxa" w:w="1701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Margen real</w:t>
            </w:r>
          </w:p>
        </w:tc>
        <w:tc>
          <w:tcPr>
            <w:tcW w:type="dxa" w:w="2154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Margen sin atípicos</w:t>
            </w:r>
          </w:p>
        </w:tc>
        <w:tc>
          <w:tcPr>
            <w:tcW w:type="dxa" w:w="1701"/>
            <w:shd w:val="clear" w:color="auto" w:fill="EE0000"/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FFFFFF"/>
                <w:sz w:val="18"/>
              </w:rPr>
              <w:t>Diferencia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Central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2.323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481 (20,7 %)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7,9 %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9,4 %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+1,5 pp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South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1.620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305 (18,8 %)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11,9 %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14,2 %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+2,2 pp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East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2.847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600 (21,1 %)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13,5 %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14,4 %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+0,9 pp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West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3.203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495 (15,5 %)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14,9 %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13,1 %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Tahoma" w:hAnsi="Tahoma" w:cs="Tahoma"/>
                <w:sz w:val="18"/>
              </w:rPr>
              <w:t>-1,9 pp</w:t>
            </w:r>
          </w:p>
        </w:tc>
      </w:tr>
    </w:tbl>
    <w:p>
      <w:pPr>
        <w:spacing w:after="40"/>
      </w:pP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4.2 No concluir a nivel de estado; analizar por región</w:t>
      </w:r>
    </w:p>
    <w:p>
      <w:pPr>
        <w:spacing w:after="120"/>
      </w:pPr>
      <w:r>
        <w:rPr>
          <w:rFonts w:ascii="Tahoma" w:hAnsi="Tahoma" w:cs="Tahoma"/>
          <w:b/>
          <w:sz w:val="22"/>
        </w:rPr>
        <w:t>Situación.</w:t>
      </w:r>
      <w:r>
        <w:rPr>
          <w:rFonts w:ascii="Tahoma" w:hAnsi="Tahoma" w:cs="Tahoma"/>
          <w:sz w:val="22"/>
        </w:rPr>
        <w:t xml:space="preserve"> 11 estados tienen menos de 30 líneas de pedido (Wyoming tiene 1, West Virginia 4, Maine 8).</w:t>
      </w:r>
    </w:p>
    <w:p>
      <w:pPr>
        <w:spacing w:after="120"/>
      </w:pPr>
      <w:r>
        <w:rPr>
          <w:rFonts w:ascii="Tahoma" w:hAnsi="Tahoma" w:cs="Tahoma"/>
          <w:b/>
          <w:sz w:val="22"/>
        </w:rPr>
        <w:t>Consecuencia.</w:t>
      </w:r>
      <w:r>
        <w:rPr>
          <w:rFonts w:ascii="Tahoma" w:hAnsi="Tahoma" w:cs="Tahoma"/>
          <w:sz w:val="22"/>
        </w:rPr>
        <w:t xml:space="preserve"> Con tan pocas filas, un solo pedido cambia el margen del estado completo, y un ranking los mostraría como los mejores o los peores sin evidencia suficiente. Quedan sub-representados: el informe lo declara y no recomienda decisiones sobre ellos. Texas e Illinois son la excepción, porque tienen datos de sobra para sostener la conclusión.</w:t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4.3 Separar la política de descuentos de la evaluación de personas</w:t>
      </w:r>
    </w:p>
    <w:p>
      <w:pPr>
        <w:spacing w:after="120"/>
      </w:pPr>
      <w:r>
        <w:rPr>
          <w:rFonts w:ascii="Tahoma" w:hAnsi="Tahoma" w:cs="Tahoma"/>
          <w:b/>
          <w:sz w:val="22"/>
        </w:rPr>
        <w:t>Situación.</w:t>
      </w:r>
      <w:r>
        <w:rPr>
          <w:rFonts w:ascii="Tahoma" w:hAnsi="Tahoma" w:cs="Tahoma"/>
          <w:sz w:val="22"/>
        </w:rPr>
        <w:t xml:space="preserve"> El mapa de calor apunta a la región Central, y alguien podría concluir que su equipo comercial lo está haciendo mal.</w:t>
      </w:r>
    </w:p>
    <w:p>
      <w:pPr>
        <w:spacing w:after="120"/>
      </w:pPr>
      <w:r>
        <w:rPr>
          <w:rFonts w:ascii="Tahoma" w:hAnsi="Tahoma" w:cs="Tahoma"/>
          <w:b/>
          <w:sz w:val="22"/>
        </w:rPr>
        <w:t>Consecuencia.</w:t>
      </w:r>
      <w:r>
        <w:rPr>
          <w:rFonts w:ascii="Tahoma" w:hAnsi="Tahoma" w:cs="Tahoma"/>
          <w:sz w:val="22"/>
        </w:rPr>
        <w:t xml:space="preserve"> El dataset no dice quién aprobó cada descuento ni por qué; pudo ser una instrucción de la gerencia o una respuesta a la competencia local. Por eso las recomendaciones apuntan a la regla de descuentos y no a un equipo: evaluar personas con estos datos iría más allá de lo que muestran.</w:t>
      </w:r>
    </w:p>
    <w:p>
      <w:pPr>
        <w:keepNext/>
        <w:spacing w:before="160" w:after="80"/>
        <w:outlineLvl w:val="1"/>
      </w:pPr>
      <w:r>
        <w:rPr>
          <w:rFonts w:ascii="Tahoma" w:hAnsi="Tahoma" w:cs="Tahoma"/>
          <w:color w:val="EE0000"/>
          <w:sz w:val="28"/>
        </w:rPr>
        <w:t>4.4 Declarar las transformaciones visuales</w:t>
      </w:r>
    </w:p>
    <w:p>
      <w:pPr>
        <w:spacing w:after="120"/>
      </w:pPr>
      <w:r>
        <w:rPr>
          <w:rFonts w:ascii="Tahoma" w:hAnsi="Tahoma" w:cs="Tahoma"/>
          <w:b/>
          <w:sz w:val="22"/>
        </w:rPr>
        <w:t>Situación.</w:t>
      </w:r>
      <w:r>
        <w:rPr>
          <w:rFonts w:ascii="Tahoma" w:hAnsi="Tahoma" w:cs="Tahoma"/>
          <w:sz w:val="22"/>
        </w:rPr>
        <w:t xml:space="preserve"> En la dispersión desplacé cada punto hasta ±1,2 puntos porcentuales en el eje del descuento (jitter) y limité el tamaño de los puntos a ventas de US$ 5.000.</w:t>
      </w:r>
    </w:p>
    <w:p>
      <w:pPr>
        <w:spacing w:after="120"/>
      </w:pPr>
      <w:r>
        <w:rPr>
          <w:rFonts w:ascii="Tahoma" w:hAnsi="Tahoma" w:cs="Tahoma"/>
          <w:b/>
          <w:sz w:val="22"/>
        </w:rPr>
        <w:t>Consecuencia.</w:t>
      </w:r>
      <w:r>
        <w:rPr>
          <w:rFonts w:ascii="Tahoma" w:hAnsi="Tahoma" w:cs="Tahoma"/>
          <w:sz w:val="22"/>
        </w:rPr>
        <w:t xml:space="preserve"> Sin esta aclaración alguien podría creer que existen descuentos de 19 % o 21 %. Todos los cálculos usan el descuento original, no el desplazado.</w:t>
      </w:r>
    </w:p>
    <w:p>
      <w:pPr>
        <w:keepNext/>
        <w:spacing w:after="160"/>
        <w:jc w:val="center"/>
        <w:outlineLvl w:val="0"/>
      </w:pPr>
      <w:r>
        <w:rPr>
          <w:rFonts w:ascii="Tahoma" w:hAnsi="Tahoma" w:cs="Tahoma"/>
          <w:color w:val="EE0000"/>
          <w:sz w:val="36"/>
        </w:rPr>
        <w:t>5 Conclusiones</w:t>
      </w:r>
    </w:p>
    <w:p>
      <w:pPr>
        <w:spacing w:after="80"/>
        <w:ind w:left="340" w:hanging="340"/>
      </w:pPr>
      <w:r>
        <w:rPr>
          <w:rFonts w:ascii="Tahoma" w:hAnsi="Tahoma" w:cs="Tahoma"/>
          <w:sz w:val="22"/>
        </w:rPr>
        <w:t>‐ Las ventas crecen, pero parte de ese crecimiento se logra con descuentos que generan pérdidas.</w:t>
      </w:r>
    </w:p>
    <w:p>
      <w:pPr>
        <w:spacing w:after="80"/>
        <w:ind w:left="340" w:hanging="340"/>
      </w:pPr>
      <w:r>
        <w:rPr>
          <w:rFonts w:ascii="Tahoma" w:hAnsi="Tahoma" w:cs="Tahoma"/>
          <w:sz w:val="22"/>
        </w:rPr>
        <w:t>‐ Las ventas con más de 20 % de descuento son el 14 % de las líneas y restan US$ 135.364 a la utilidad.</w:t>
      </w:r>
    </w:p>
    <w:p>
      <w:pPr>
        <w:spacing w:after="80"/>
        <w:ind w:left="340" w:hanging="340"/>
      </w:pPr>
      <w:r>
        <w:rPr>
          <w:rFonts w:ascii="Tahoma" w:hAnsi="Tahoma" w:cs="Tahoma"/>
          <w:sz w:val="22"/>
        </w:rPr>
        <w:t>‐ El problema es la política de descuentos y no una categoría; se concentra en Texas e Illinois.</w:t>
      </w:r>
    </w:p>
    <w:p>
      <w:pPr>
        <w:spacing w:after="80"/>
        <w:ind w:left="340" w:hanging="340"/>
      </w:pPr>
      <w:r>
        <w:rPr>
          <w:rFonts w:ascii="Tahoma" w:hAnsi="Tahoma" w:cs="Tahoma"/>
          <w:sz w:val="22"/>
        </w:rPr>
        <w:t>‐ Decisiones prioritarias: tope de 20 % con aprobación sobre ese nivel, revisión de precios de Mesas y Libreros, e inventario listo para septiembre–diciembre.</w:t>
      </w:r>
    </w:p>
    <w:p>
      <w:pPr>
        <w:spacing w:after="120"/>
      </w:pPr>
      <w:r>
        <w:rPr>
          <w:rFonts w:ascii="Tahoma" w:hAnsi="Tahoma" w:cs="Tahoma"/>
          <w:color w:val="595959"/>
          <w:sz w:val="18"/>
        </w:rPr>
        <w:t>Código fuente y app: el repositorio contiene src/limpieza.py (limpieza y bitácora), src/graficos.py (visualizaciones), src/textos.py (interpretaciones) y app.py (Streamlit). Este informe se genera con generar_informe_word.py desde el mismo código.</w:t>
      </w:r>
    </w:p>
    <w:p>
      <w:r>
        <w:br w:type="page"/>
      </w:r>
    </w:p>
    <w:p w14:paraId="61BEFEEC" w14:textId="56458CEE" w:rsidR="00A75638" w:rsidRPr="00A75638" w:rsidRDefault="009C0073" w:rsidP="00A75638">
      <w:pPr>
        <w:ind w:firstLine="2410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194BCBB0" wp14:editId="0B512062">
            <wp:extent cx="3683000" cy="4648200"/>
            <wp:effectExtent l="0" t="0" r="0" b="0"/>
            <wp:docPr id="164923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2971" name="Imagen 1649232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638" w:rsidRPr="00A75638" w:rsidSect="00A75638">
      <w:headerReference w:type="default" r:id="rId7"/>
      <w:footerReference w:type="default" r:id="rId8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E5C7" w14:textId="77777777" w:rsidR="003E7DF3" w:rsidRDefault="003E7DF3" w:rsidP="000A3562">
      <w:pPr>
        <w:spacing w:after="0" w:line="240" w:lineRule="auto"/>
      </w:pPr>
      <w:r>
        <w:separator/>
      </w:r>
    </w:p>
  </w:endnote>
  <w:endnote w:type="continuationSeparator" w:id="0">
    <w:p w14:paraId="1B055B60" w14:textId="77777777" w:rsidR="003E7DF3" w:rsidRDefault="003E7DF3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riad Pro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49652886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EC30" w14:textId="77777777" w:rsidR="003E7DF3" w:rsidRDefault="003E7DF3" w:rsidP="000A3562">
      <w:pPr>
        <w:spacing w:after="0" w:line="240" w:lineRule="auto"/>
      </w:pPr>
      <w:r>
        <w:separator/>
      </w:r>
    </w:p>
  </w:footnote>
  <w:footnote w:type="continuationSeparator" w:id="0">
    <w:p w14:paraId="154A37AC" w14:textId="77777777" w:rsidR="003E7DF3" w:rsidRDefault="003E7DF3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50E3F36A" w:rsidR="000A3562" w:rsidRDefault="000A3562" w:rsidP="00A937F6">
    <w:pPr>
      <w:pStyle w:val="Encabezado"/>
      <w:ind w:hanging="851"/>
    </w:pPr>
    <w:r>
      <w:rPr>
        <w:noProof/>
      </w:rPr>
      <w:drawing>
        <wp:inline distT="0" distB="0" distL="0" distR="0" wp14:anchorId="53FE1ACC" wp14:editId="4A4911EC">
          <wp:extent cx="7861005" cy="1481345"/>
          <wp:effectExtent l="0" t="0" r="635" b="5080"/>
          <wp:docPr id="14019447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94607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1005" cy="1481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A3562"/>
    <w:rsid w:val="002A7866"/>
    <w:rsid w:val="003158F4"/>
    <w:rsid w:val="003347AF"/>
    <w:rsid w:val="003E7DF3"/>
    <w:rsid w:val="004F3A1C"/>
    <w:rsid w:val="005275D5"/>
    <w:rsid w:val="00585080"/>
    <w:rsid w:val="00602DDB"/>
    <w:rsid w:val="00696697"/>
    <w:rsid w:val="007F70F8"/>
    <w:rsid w:val="00835578"/>
    <w:rsid w:val="00964B9E"/>
    <w:rsid w:val="009C0073"/>
    <w:rsid w:val="009F1AFE"/>
    <w:rsid w:val="00A75638"/>
    <w:rsid w:val="00A937F6"/>
    <w:rsid w:val="00AA6B6C"/>
    <w:rsid w:val="00D91976"/>
    <w:rsid w:val="00DD710C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yperlink" Target="https://eva2-superstore-cf6parf9rmnwtmifgxebqn.streamlit.app/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Rentabilidad y política de descuentos en Superstore</dc:title>
  <dc:subject>Visualización de Datos (TIEL16) · EVA2</dc:subject>
  <dc:creator>Diego Martínez González</dc:creator>
  <cp:keywords/>
  <dc:description/>
  <cp:lastModifiedBy>Vale Valdés</cp:lastModifiedBy>
  <cp:revision>10</cp:revision>
  <dcterms:created xsi:type="dcterms:W3CDTF">2026-05-26T14:52:00Z</dcterms:created>
  <dcterms:modified xsi:type="dcterms:W3CDTF">2026-06-09T13:18:00Z</dcterms:modified>
</cp:coreProperties>
</file>