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B03D2">
      <w:pPr>
        <w:spacing w:before="0" w:after="0"/>
        <w:ind w:left="5953"/>
        <w:jc w:val="left"/>
        <w:rPr>
          <w:color w:val="auto"/>
          <w:highlight w:val="none"/>
        </w:rPr>
      </w:pPr>
      <w:r>
        <w:rPr>
          <w:color w:val="auto"/>
          <w:highlight w:val="none"/>
        </w:rPr>
        <w:t>Disetujui</w:t>
      </w:r>
    </w:p>
    <w:p w14:paraId="38CBC218">
      <w:pPr>
        <w:spacing w:before="0" w:after="0"/>
        <w:ind w:left="5953"/>
        <w:jc w:val="left"/>
        <w:rPr>
          <w:color w:val="auto"/>
          <w:highlight w:val="none"/>
        </w:rPr>
      </w:pPr>
      <w:bookmarkStart w:id="0" w:name="_GoBack"/>
      <w:bookmarkEnd w:id="0"/>
      <w:r>
        <w:rPr>
          <w:color w:val="auto"/>
          <w:highlight w:val="none"/>
        </w:rPr>
        <w:t>Ketua Komisi Pembimbing</w:t>
      </w:r>
    </w:p>
    <w:p w14:paraId="05EC74E4">
      <w:pPr>
        <w:spacing w:before="0" w:after="0"/>
        <w:jc w:val="both"/>
        <w:rPr>
          <w:color w:val="auto"/>
          <w:highlight w:val="none"/>
        </w:rPr>
      </w:pPr>
    </w:p>
    <w:p w14:paraId="5C1C5AC5">
      <w:pPr>
        <w:spacing w:before="0" w:after="0"/>
        <w:jc w:val="both"/>
        <w:rPr>
          <w:color w:val="auto"/>
          <w:highlight w:val="none"/>
        </w:rPr>
      </w:pPr>
    </w:p>
    <w:p w14:paraId="2F8014D1">
      <w:pPr>
        <w:spacing w:before="0" w:after="0"/>
        <w:ind w:left="5953"/>
        <w:jc w:val="left"/>
        <w:rPr>
          <w:color w:val="auto"/>
          <w:highlight w:val="none"/>
        </w:rPr>
      </w:pPr>
      <w:r>
        <w:rPr>
          <w:color w:val="auto"/>
          <w:highlight w:val="none"/>
        </w:rPr>
        <w:t>Prof. Dr. Ir. Hardinsyah, MS</w:t>
      </w:r>
    </w:p>
    <w:p w14:paraId="47C78358">
      <w:pPr>
        <w:spacing w:before="0" w:after="360"/>
        <w:jc w:val="both"/>
        <w:rPr>
          <w:color w:val="auto"/>
          <w:highlight w:val="none"/>
        </w:rPr>
      </w:pPr>
    </w:p>
    <w:p w14:paraId="14155948">
      <w:pPr>
        <w:jc w:val="center"/>
        <w:rPr>
          <w:color w:val="auto"/>
          <w:highlight w:val="none"/>
        </w:rPr>
      </w:pPr>
      <w:r>
        <w:rPr>
          <w:color w:val="auto"/>
          <w:highlight w:val="none"/>
        </w:rPr>
        <w:drawing>
          <wp:inline distT="0" distB="0" distL="114300" distR="114300">
            <wp:extent cx="1223645" cy="122364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224000" cy="1224000"/>
                    </a:xfrm>
                    <a:prstGeom prst="rect">
                      <a:avLst/>
                    </a:prstGeom>
                  </pic:spPr>
                </pic:pic>
              </a:graphicData>
            </a:graphic>
          </wp:inline>
        </w:drawing>
      </w:r>
    </w:p>
    <w:p w14:paraId="5395C2DE">
      <w:pPr>
        <w:spacing w:before="0" w:after="120"/>
        <w:jc w:val="both"/>
        <w:rPr>
          <w:color w:val="auto"/>
          <w:highlight w:val="none"/>
        </w:rPr>
      </w:pPr>
    </w:p>
    <w:p w14:paraId="46A9F8DE">
      <w:pPr>
        <w:spacing w:before="0" w:after="0"/>
        <w:jc w:val="center"/>
        <w:rPr>
          <w:color w:val="auto"/>
          <w:highlight w:val="none"/>
        </w:rPr>
      </w:pPr>
      <w:r>
        <w:rPr>
          <w:b/>
          <w:color w:val="auto"/>
          <w:sz w:val="28"/>
          <w:highlight w:val="none"/>
        </w:rPr>
        <w:t>SEMINAR SEKOLAH PASCASARJANA</w:t>
      </w:r>
    </w:p>
    <w:p w14:paraId="7E23A731">
      <w:pPr>
        <w:spacing w:before="0" w:after="200"/>
        <w:jc w:val="center"/>
        <w:rPr>
          <w:color w:val="auto"/>
          <w:highlight w:val="none"/>
        </w:rPr>
      </w:pPr>
      <w:r>
        <w:rPr>
          <w:b/>
          <w:color w:val="auto"/>
          <w:sz w:val="28"/>
          <w:highlight w:val="none"/>
        </w:rPr>
        <w:t>INSTITUT PERTANIAN BOGOR</w:t>
      </w:r>
    </w:p>
    <w:p w14:paraId="39DABD14">
      <w:pPr>
        <w:pBdr>
          <w:bottom w:val="double" w:color="000000" w:sz="12" w:space="1"/>
        </w:pBdr>
        <w:spacing w:before="0" w:after="240"/>
        <w:jc w:val="both"/>
        <w:rPr>
          <w:color w:val="auto"/>
          <w:highlight w:val="none"/>
        </w:rPr>
      </w:pPr>
    </w:p>
    <w:tbl>
      <w:tblPr>
        <w:tblStyle w:val="12"/>
        <w:tblW w:w="0" w:type="auto"/>
        <w:jc w:val="center"/>
        <w:tblLayout w:type="fixed"/>
        <w:tblCellMar>
          <w:top w:w="0" w:type="dxa"/>
          <w:left w:w="108" w:type="dxa"/>
          <w:bottom w:w="0" w:type="dxa"/>
          <w:right w:w="108" w:type="dxa"/>
        </w:tblCellMar>
      </w:tblPr>
      <w:tblGrid>
        <w:gridCol w:w="2608"/>
        <w:gridCol w:w="283"/>
        <w:gridCol w:w="5896"/>
      </w:tblGrid>
      <w:tr w14:paraId="4430C5B6">
        <w:tblPrEx>
          <w:tblCellMar>
            <w:top w:w="0" w:type="dxa"/>
            <w:left w:w="108" w:type="dxa"/>
            <w:bottom w:w="0" w:type="dxa"/>
            <w:right w:w="108" w:type="dxa"/>
          </w:tblCellMar>
        </w:tblPrEx>
        <w:trPr>
          <w:jc w:val="center"/>
        </w:trPr>
        <w:tc>
          <w:tcPr>
            <w:tcW w:w="2608" w:type="dxa"/>
          </w:tcPr>
          <w:p w14:paraId="5B470C27">
            <w:pPr>
              <w:spacing w:after="60"/>
              <w:rPr>
                <w:color w:val="auto"/>
                <w:highlight w:val="none"/>
              </w:rPr>
            </w:pPr>
            <w:r>
              <w:rPr>
                <w:color w:val="auto"/>
                <w:highlight w:val="none"/>
              </w:rPr>
              <w:t>NAMA</w:t>
            </w:r>
          </w:p>
        </w:tc>
        <w:tc>
          <w:tcPr>
            <w:tcW w:w="283" w:type="dxa"/>
          </w:tcPr>
          <w:p w14:paraId="4F168DC8">
            <w:pPr>
              <w:spacing w:after="60"/>
              <w:rPr>
                <w:color w:val="auto"/>
                <w:highlight w:val="none"/>
              </w:rPr>
            </w:pPr>
            <w:r>
              <w:rPr>
                <w:color w:val="auto"/>
                <w:highlight w:val="none"/>
              </w:rPr>
              <w:t>:</w:t>
            </w:r>
          </w:p>
        </w:tc>
        <w:tc>
          <w:tcPr>
            <w:tcW w:w="5896" w:type="dxa"/>
          </w:tcPr>
          <w:p w14:paraId="51BB4B7A">
            <w:pPr>
              <w:spacing w:after="60"/>
              <w:jc w:val="left"/>
              <w:rPr>
                <w:color w:val="auto"/>
                <w:highlight w:val="none"/>
              </w:rPr>
            </w:pPr>
            <w:r>
              <w:rPr>
                <w:color w:val="auto"/>
                <w:highlight w:val="none"/>
              </w:rPr>
              <w:t>Marhamah</w:t>
            </w:r>
          </w:p>
        </w:tc>
      </w:tr>
      <w:tr w14:paraId="687C3947">
        <w:tblPrEx>
          <w:tblCellMar>
            <w:top w:w="0" w:type="dxa"/>
            <w:left w:w="108" w:type="dxa"/>
            <w:bottom w:w="0" w:type="dxa"/>
            <w:right w:w="108" w:type="dxa"/>
          </w:tblCellMar>
        </w:tblPrEx>
        <w:trPr>
          <w:jc w:val="center"/>
        </w:trPr>
        <w:tc>
          <w:tcPr>
            <w:tcW w:w="2608" w:type="dxa"/>
          </w:tcPr>
          <w:p w14:paraId="73993E40">
            <w:pPr>
              <w:spacing w:after="60"/>
              <w:rPr>
                <w:color w:val="auto"/>
                <w:highlight w:val="none"/>
              </w:rPr>
            </w:pPr>
            <w:r>
              <w:rPr>
                <w:color w:val="auto"/>
                <w:highlight w:val="none"/>
              </w:rPr>
              <w:t>NRP</w:t>
            </w:r>
          </w:p>
        </w:tc>
        <w:tc>
          <w:tcPr>
            <w:tcW w:w="283" w:type="dxa"/>
          </w:tcPr>
          <w:p w14:paraId="6CDD97A4">
            <w:pPr>
              <w:spacing w:after="60"/>
              <w:rPr>
                <w:color w:val="auto"/>
                <w:highlight w:val="none"/>
              </w:rPr>
            </w:pPr>
            <w:r>
              <w:rPr>
                <w:color w:val="auto"/>
                <w:highlight w:val="none"/>
              </w:rPr>
              <w:t>:</w:t>
            </w:r>
          </w:p>
        </w:tc>
        <w:tc>
          <w:tcPr>
            <w:tcW w:w="5896" w:type="dxa"/>
          </w:tcPr>
          <w:p w14:paraId="48BE33DD">
            <w:pPr>
              <w:spacing w:after="60"/>
              <w:jc w:val="left"/>
              <w:rPr>
                <w:rFonts w:hint="default"/>
                <w:color w:val="auto"/>
                <w:highlight w:val="none"/>
                <w:lang w:val="id-ID"/>
              </w:rPr>
            </w:pPr>
            <w:r>
              <w:rPr>
                <w:rFonts w:hint="default"/>
                <w:color w:val="auto"/>
                <w:highlight w:val="none"/>
                <w:lang w:val="id-ID"/>
              </w:rPr>
              <w:t>I1604221009</w:t>
            </w:r>
          </w:p>
        </w:tc>
      </w:tr>
      <w:tr w14:paraId="1DDBE58B">
        <w:tblPrEx>
          <w:tblCellMar>
            <w:top w:w="0" w:type="dxa"/>
            <w:left w:w="108" w:type="dxa"/>
            <w:bottom w:w="0" w:type="dxa"/>
            <w:right w:w="108" w:type="dxa"/>
          </w:tblCellMar>
        </w:tblPrEx>
        <w:trPr>
          <w:jc w:val="center"/>
        </w:trPr>
        <w:tc>
          <w:tcPr>
            <w:tcW w:w="2608" w:type="dxa"/>
          </w:tcPr>
          <w:p w14:paraId="20942904">
            <w:pPr>
              <w:spacing w:after="60"/>
              <w:rPr>
                <w:color w:val="auto"/>
                <w:highlight w:val="none"/>
              </w:rPr>
            </w:pPr>
            <w:r>
              <w:rPr>
                <w:color w:val="auto"/>
                <w:highlight w:val="none"/>
              </w:rPr>
              <w:t>PROGRAM STUDI</w:t>
            </w:r>
          </w:p>
        </w:tc>
        <w:tc>
          <w:tcPr>
            <w:tcW w:w="283" w:type="dxa"/>
          </w:tcPr>
          <w:p w14:paraId="2BB1768C">
            <w:pPr>
              <w:spacing w:after="60"/>
              <w:rPr>
                <w:color w:val="auto"/>
                <w:highlight w:val="none"/>
              </w:rPr>
            </w:pPr>
            <w:r>
              <w:rPr>
                <w:color w:val="auto"/>
                <w:highlight w:val="none"/>
              </w:rPr>
              <w:t>:</w:t>
            </w:r>
          </w:p>
        </w:tc>
        <w:tc>
          <w:tcPr>
            <w:tcW w:w="5896" w:type="dxa"/>
          </w:tcPr>
          <w:p w14:paraId="3478C498">
            <w:pPr>
              <w:spacing w:after="60"/>
              <w:jc w:val="left"/>
              <w:rPr>
                <w:color w:val="auto"/>
                <w:highlight w:val="none"/>
              </w:rPr>
            </w:pPr>
            <w:r>
              <w:rPr>
                <w:color w:val="auto"/>
                <w:highlight w:val="none"/>
              </w:rPr>
              <w:t>Ilmu Gizi</w:t>
            </w:r>
          </w:p>
        </w:tc>
      </w:tr>
      <w:tr w14:paraId="0CF05D30">
        <w:tblPrEx>
          <w:tblCellMar>
            <w:top w:w="0" w:type="dxa"/>
            <w:left w:w="108" w:type="dxa"/>
            <w:bottom w:w="0" w:type="dxa"/>
            <w:right w:w="108" w:type="dxa"/>
          </w:tblCellMar>
        </w:tblPrEx>
        <w:trPr>
          <w:jc w:val="center"/>
        </w:trPr>
        <w:tc>
          <w:tcPr>
            <w:tcW w:w="2608" w:type="dxa"/>
          </w:tcPr>
          <w:p w14:paraId="56AEC309">
            <w:pPr>
              <w:spacing w:after="60"/>
              <w:rPr>
                <w:color w:val="auto"/>
                <w:highlight w:val="none"/>
              </w:rPr>
            </w:pPr>
            <w:r>
              <w:rPr>
                <w:color w:val="auto"/>
                <w:highlight w:val="none"/>
              </w:rPr>
              <w:t>JUDUL PENELITIAN</w:t>
            </w:r>
          </w:p>
        </w:tc>
        <w:tc>
          <w:tcPr>
            <w:tcW w:w="283" w:type="dxa"/>
          </w:tcPr>
          <w:p w14:paraId="16DF50ED">
            <w:pPr>
              <w:spacing w:after="60"/>
              <w:rPr>
                <w:color w:val="auto"/>
                <w:highlight w:val="none"/>
              </w:rPr>
            </w:pPr>
            <w:r>
              <w:rPr>
                <w:color w:val="auto"/>
                <w:highlight w:val="none"/>
              </w:rPr>
              <w:t>:</w:t>
            </w:r>
          </w:p>
        </w:tc>
        <w:tc>
          <w:tcPr>
            <w:tcW w:w="5896" w:type="dxa"/>
          </w:tcPr>
          <w:p w14:paraId="7BDF7DF1">
            <w:pPr>
              <w:spacing w:after="60"/>
              <w:jc w:val="left"/>
              <w:rPr>
                <w:color w:val="auto"/>
                <w:highlight w:val="none"/>
              </w:rPr>
            </w:pPr>
            <w:r>
              <w:rPr>
                <w:color w:val="auto"/>
                <w:highlight w:val="none"/>
              </w:rPr>
              <w:t xml:space="preserve">Pengembangan </w:t>
            </w:r>
            <w:r>
              <w:rPr>
                <w:rFonts w:hint="default"/>
                <w:color w:val="auto"/>
                <w:highlight w:val="none"/>
                <w:lang w:val="id-ID"/>
              </w:rPr>
              <w:t xml:space="preserve">Media Edukasi Gizi </w:t>
            </w:r>
            <w:r>
              <w:rPr>
                <w:rFonts w:hint="default"/>
                <w:i/>
                <w:iCs/>
                <w:color w:val="auto"/>
                <w:highlight w:val="none"/>
                <w:lang w:val="id-ID"/>
              </w:rPr>
              <w:t>Online</w:t>
            </w:r>
            <w:r>
              <w:rPr>
                <w:rFonts w:hint="default"/>
                <w:color w:val="auto"/>
                <w:highlight w:val="none"/>
                <w:lang w:val="id-ID"/>
              </w:rPr>
              <w:t xml:space="preserve"> SHINING bagi Calon Pengantin : Evaluasi Proses Implementasi dan Pola Penggunaan Media Sosial</w:t>
            </w:r>
          </w:p>
        </w:tc>
      </w:tr>
      <w:tr w14:paraId="3439A236">
        <w:tblPrEx>
          <w:tblCellMar>
            <w:top w:w="0" w:type="dxa"/>
            <w:left w:w="108" w:type="dxa"/>
            <w:bottom w:w="0" w:type="dxa"/>
            <w:right w:w="108" w:type="dxa"/>
          </w:tblCellMar>
        </w:tblPrEx>
        <w:trPr>
          <w:jc w:val="center"/>
        </w:trPr>
        <w:tc>
          <w:tcPr>
            <w:tcW w:w="2608" w:type="dxa"/>
          </w:tcPr>
          <w:p w14:paraId="204C25C2">
            <w:pPr>
              <w:spacing w:after="60"/>
              <w:rPr>
                <w:color w:val="auto"/>
                <w:highlight w:val="none"/>
              </w:rPr>
            </w:pPr>
            <w:r>
              <w:rPr>
                <w:color w:val="auto"/>
                <w:highlight w:val="none"/>
              </w:rPr>
              <w:t>KOMISI PEMBIMBING</w:t>
            </w:r>
          </w:p>
        </w:tc>
        <w:tc>
          <w:tcPr>
            <w:tcW w:w="283" w:type="dxa"/>
          </w:tcPr>
          <w:p w14:paraId="628251FE">
            <w:pPr>
              <w:spacing w:after="60"/>
              <w:rPr>
                <w:color w:val="auto"/>
                <w:highlight w:val="none"/>
              </w:rPr>
            </w:pPr>
            <w:r>
              <w:rPr>
                <w:color w:val="auto"/>
                <w:highlight w:val="none"/>
              </w:rPr>
              <w:t>:</w:t>
            </w:r>
          </w:p>
        </w:tc>
        <w:tc>
          <w:tcPr>
            <w:tcW w:w="5896" w:type="dxa"/>
          </w:tcPr>
          <w:p w14:paraId="4B9F7B76">
            <w:pPr>
              <w:spacing w:after="60"/>
              <w:jc w:val="left"/>
              <w:rPr>
                <w:color w:val="auto"/>
                <w:highlight w:val="none"/>
              </w:rPr>
            </w:pPr>
            <w:r>
              <w:rPr>
                <w:color w:val="auto"/>
                <w:highlight w:val="none"/>
              </w:rPr>
              <w:t>1. Prof. Dr. Ir. Hardinsyah, MS</w:t>
            </w:r>
          </w:p>
          <w:p w14:paraId="62A5B3B5">
            <w:pPr>
              <w:spacing w:after="60"/>
              <w:rPr>
                <w:color w:val="auto"/>
                <w:highlight w:val="none"/>
              </w:rPr>
            </w:pPr>
            <w:r>
              <w:rPr>
                <w:color w:val="auto"/>
                <w:highlight w:val="none"/>
              </w:rPr>
              <w:t>2. Dr. Ir. Cesilia Meti Dwiriani, M.Sc</w:t>
            </w:r>
          </w:p>
          <w:p w14:paraId="484957EB">
            <w:pPr>
              <w:spacing w:after="60"/>
              <w:rPr>
                <w:color w:val="auto"/>
                <w:highlight w:val="none"/>
              </w:rPr>
            </w:pPr>
            <w:r>
              <w:rPr>
                <w:color w:val="auto"/>
                <w:highlight w:val="none"/>
              </w:rPr>
              <w:t>3. Dr. Ir. Lilik Kustiyah, M.Si</w:t>
            </w:r>
          </w:p>
          <w:p w14:paraId="5B40BFDF">
            <w:pPr>
              <w:spacing w:after="60"/>
              <w:rPr>
                <w:color w:val="auto"/>
                <w:highlight w:val="none"/>
              </w:rPr>
            </w:pPr>
            <w:r>
              <w:rPr>
                <w:color w:val="auto"/>
                <w:highlight w:val="none"/>
              </w:rPr>
              <w:t>4. Dr. Irman Hermadi, S.Kom., M.S</w:t>
            </w:r>
          </w:p>
        </w:tc>
      </w:tr>
      <w:tr w14:paraId="1ACBC61F">
        <w:tblPrEx>
          <w:tblCellMar>
            <w:top w:w="0" w:type="dxa"/>
            <w:left w:w="108" w:type="dxa"/>
            <w:bottom w:w="0" w:type="dxa"/>
            <w:right w:w="108" w:type="dxa"/>
          </w:tblCellMar>
        </w:tblPrEx>
        <w:trPr>
          <w:jc w:val="center"/>
        </w:trPr>
        <w:tc>
          <w:tcPr>
            <w:tcW w:w="2608" w:type="dxa"/>
          </w:tcPr>
          <w:p w14:paraId="7E413B64">
            <w:pPr>
              <w:spacing w:after="60"/>
              <w:rPr>
                <w:color w:val="auto"/>
                <w:highlight w:val="none"/>
              </w:rPr>
            </w:pPr>
            <w:r>
              <w:rPr>
                <w:color w:val="auto"/>
                <w:highlight w:val="none"/>
              </w:rPr>
              <w:t>KELOMPOK ILMU</w:t>
            </w:r>
          </w:p>
        </w:tc>
        <w:tc>
          <w:tcPr>
            <w:tcW w:w="283" w:type="dxa"/>
          </w:tcPr>
          <w:p w14:paraId="75A851FE">
            <w:pPr>
              <w:spacing w:after="60"/>
              <w:rPr>
                <w:color w:val="auto"/>
                <w:highlight w:val="none"/>
              </w:rPr>
            </w:pPr>
            <w:r>
              <w:rPr>
                <w:color w:val="auto"/>
                <w:highlight w:val="none"/>
              </w:rPr>
              <w:t>:</w:t>
            </w:r>
          </w:p>
        </w:tc>
        <w:tc>
          <w:tcPr>
            <w:tcW w:w="5896" w:type="dxa"/>
          </w:tcPr>
          <w:p w14:paraId="4002F90D">
            <w:pPr>
              <w:spacing w:after="60"/>
              <w:jc w:val="left"/>
              <w:rPr>
                <w:color w:val="auto"/>
                <w:highlight w:val="none"/>
              </w:rPr>
            </w:pPr>
            <w:r>
              <w:rPr>
                <w:color w:val="auto"/>
                <w:highlight w:val="none"/>
              </w:rPr>
              <w:t>Sosial Humaniora</w:t>
            </w:r>
          </w:p>
        </w:tc>
      </w:tr>
      <w:tr w14:paraId="100977C1">
        <w:tblPrEx>
          <w:tblCellMar>
            <w:top w:w="0" w:type="dxa"/>
            <w:left w:w="108" w:type="dxa"/>
            <w:bottom w:w="0" w:type="dxa"/>
            <w:right w:w="108" w:type="dxa"/>
          </w:tblCellMar>
        </w:tblPrEx>
        <w:trPr>
          <w:jc w:val="center"/>
        </w:trPr>
        <w:tc>
          <w:tcPr>
            <w:tcW w:w="2608" w:type="dxa"/>
          </w:tcPr>
          <w:p w14:paraId="29E7AFDA">
            <w:pPr>
              <w:spacing w:after="60"/>
              <w:rPr>
                <w:color w:val="auto"/>
                <w:highlight w:val="none"/>
              </w:rPr>
            </w:pPr>
            <w:r>
              <w:rPr>
                <w:color w:val="auto"/>
                <w:highlight w:val="none"/>
              </w:rPr>
              <w:t>HARI/TANGGAL</w:t>
            </w:r>
          </w:p>
        </w:tc>
        <w:tc>
          <w:tcPr>
            <w:tcW w:w="283" w:type="dxa"/>
          </w:tcPr>
          <w:p w14:paraId="5E23B045">
            <w:pPr>
              <w:spacing w:after="60"/>
              <w:rPr>
                <w:color w:val="auto"/>
                <w:highlight w:val="none"/>
              </w:rPr>
            </w:pPr>
            <w:r>
              <w:rPr>
                <w:color w:val="auto"/>
                <w:highlight w:val="none"/>
              </w:rPr>
              <w:t>:</w:t>
            </w:r>
          </w:p>
        </w:tc>
        <w:tc>
          <w:tcPr>
            <w:tcW w:w="5896" w:type="dxa"/>
          </w:tcPr>
          <w:p w14:paraId="68854FA0">
            <w:pPr>
              <w:spacing w:after="60"/>
              <w:jc w:val="left"/>
              <w:rPr>
                <w:color w:val="auto"/>
                <w:highlight w:val="none"/>
              </w:rPr>
            </w:pPr>
            <w:r>
              <w:rPr>
                <w:rFonts w:hint="default"/>
                <w:color w:val="auto"/>
                <w:highlight w:val="none"/>
                <w:lang w:val="id-ID"/>
              </w:rPr>
              <w:t xml:space="preserve">Senin </w:t>
            </w:r>
            <w:r>
              <w:rPr>
                <w:color w:val="auto"/>
                <w:highlight w:val="none"/>
              </w:rPr>
              <w:t>/</w:t>
            </w:r>
            <w:r>
              <w:rPr>
                <w:rFonts w:hint="default"/>
                <w:color w:val="auto"/>
                <w:highlight w:val="none"/>
                <w:lang w:val="id-ID"/>
              </w:rPr>
              <w:t>02</w:t>
            </w:r>
            <w:r>
              <w:rPr>
                <w:color w:val="auto"/>
                <w:highlight w:val="none"/>
              </w:rPr>
              <w:t xml:space="preserve"> </w:t>
            </w:r>
            <w:r>
              <w:rPr>
                <w:rFonts w:hint="default"/>
                <w:color w:val="auto"/>
                <w:highlight w:val="none"/>
                <w:lang w:val="id-ID"/>
              </w:rPr>
              <w:t xml:space="preserve">November </w:t>
            </w:r>
            <w:r>
              <w:rPr>
                <w:color w:val="auto"/>
                <w:highlight w:val="none"/>
              </w:rPr>
              <w:t>2026</w:t>
            </w:r>
          </w:p>
        </w:tc>
      </w:tr>
      <w:tr w14:paraId="0A204390">
        <w:tblPrEx>
          <w:tblCellMar>
            <w:top w:w="0" w:type="dxa"/>
            <w:left w:w="108" w:type="dxa"/>
            <w:bottom w:w="0" w:type="dxa"/>
            <w:right w:w="108" w:type="dxa"/>
          </w:tblCellMar>
        </w:tblPrEx>
        <w:trPr>
          <w:jc w:val="center"/>
        </w:trPr>
        <w:tc>
          <w:tcPr>
            <w:tcW w:w="2608" w:type="dxa"/>
          </w:tcPr>
          <w:p w14:paraId="689FCA26">
            <w:pPr>
              <w:spacing w:after="60"/>
              <w:rPr>
                <w:color w:val="auto"/>
                <w:highlight w:val="none"/>
              </w:rPr>
            </w:pPr>
            <w:r>
              <w:rPr>
                <w:color w:val="auto"/>
                <w:highlight w:val="none"/>
              </w:rPr>
              <w:t>WAKTU</w:t>
            </w:r>
          </w:p>
        </w:tc>
        <w:tc>
          <w:tcPr>
            <w:tcW w:w="283" w:type="dxa"/>
          </w:tcPr>
          <w:p w14:paraId="2D7E0508">
            <w:pPr>
              <w:spacing w:after="60"/>
              <w:rPr>
                <w:color w:val="auto"/>
                <w:highlight w:val="none"/>
              </w:rPr>
            </w:pPr>
            <w:r>
              <w:rPr>
                <w:color w:val="auto"/>
                <w:highlight w:val="none"/>
              </w:rPr>
              <w:t>:</w:t>
            </w:r>
          </w:p>
        </w:tc>
        <w:tc>
          <w:tcPr>
            <w:tcW w:w="5896" w:type="dxa"/>
          </w:tcPr>
          <w:p w14:paraId="39857AEF">
            <w:pPr>
              <w:spacing w:after="60"/>
              <w:jc w:val="left"/>
              <w:rPr>
                <w:color w:val="auto"/>
                <w:highlight w:val="none"/>
              </w:rPr>
            </w:pPr>
            <w:r>
              <w:rPr>
                <w:rFonts w:hint="default"/>
                <w:color w:val="auto"/>
                <w:highlight w:val="none"/>
                <w:lang w:val="id-ID"/>
              </w:rPr>
              <w:t>09.00</w:t>
            </w:r>
            <w:r>
              <w:rPr>
                <w:color w:val="auto"/>
                <w:highlight w:val="none"/>
              </w:rPr>
              <w:t xml:space="preserve"> – </w:t>
            </w:r>
            <w:r>
              <w:rPr>
                <w:rFonts w:hint="default"/>
                <w:color w:val="auto"/>
                <w:highlight w:val="none"/>
                <w:lang w:val="id-ID"/>
              </w:rPr>
              <w:t xml:space="preserve">11.00 </w:t>
            </w:r>
            <w:r>
              <w:rPr>
                <w:color w:val="auto"/>
                <w:highlight w:val="none"/>
              </w:rPr>
              <w:t>WIB</w:t>
            </w:r>
          </w:p>
        </w:tc>
      </w:tr>
      <w:tr w14:paraId="493A2393">
        <w:tblPrEx>
          <w:tblCellMar>
            <w:top w:w="0" w:type="dxa"/>
            <w:left w:w="108" w:type="dxa"/>
            <w:bottom w:w="0" w:type="dxa"/>
            <w:right w:w="108" w:type="dxa"/>
          </w:tblCellMar>
        </w:tblPrEx>
        <w:trPr>
          <w:trHeight w:val="90" w:hRule="atLeast"/>
          <w:jc w:val="center"/>
        </w:trPr>
        <w:tc>
          <w:tcPr>
            <w:tcW w:w="2608" w:type="dxa"/>
          </w:tcPr>
          <w:p w14:paraId="1E13EB88">
            <w:pPr>
              <w:spacing w:after="60"/>
              <w:rPr>
                <w:color w:val="auto"/>
                <w:highlight w:val="none"/>
              </w:rPr>
            </w:pPr>
            <w:r>
              <w:rPr>
                <w:color w:val="auto"/>
                <w:highlight w:val="none"/>
              </w:rPr>
              <w:t>TEMPAT</w:t>
            </w:r>
          </w:p>
        </w:tc>
        <w:tc>
          <w:tcPr>
            <w:tcW w:w="283" w:type="dxa"/>
          </w:tcPr>
          <w:p w14:paraId="79B75430">
            <w:pPr>
              <w:spacing w:after="60"/>
              <w:rPr>
                <w:color w:val="auto"/>
                <w:highlight w:val="none"/>
              </w:rPr>
            </w:pPr>
            <w:r>
              <w:rPr>
                <w:color w:val="auto"/>
                <w:highlight w:val="none"/>
              </w:rPr>
              <w:t>:</w:t>
            </w:r>
          </w:p>
        </w:tc>
        <w:tc>
          <w:tcPr>
            <w:tcW w:w="5896" w:type="dxa"/>
          </w:tcPr>
          <w:p w14:paraId="29C847E8">
            <w:pPr>
              <w:spacing w:after="60"/>
              <w:jc w:val="left"/>
              <w:rPr>
                <w:color w:val="auto"/>
                <w:highlight w:val="none"/>
              </w:rPr>
            </w:pPr>
            <w:r>
              <w:rPr>
                <w:color w:val="auto"/>
                <w:highlight w:val="none"/>
              </w:rPr>
              <w:t xml:space="preserve">Ruang </w:t>
            </w:r>
            <w:r>
              <w:rPr>
                <w:rFonts w:hint="default"/>
                <w:color w:val="auto"/>
                <w:highlight w:val="none"/>
                <w:lang w:val="id-ID"/>
              </w:rPr>
              <w:t xml:space="preserve"> 305</w:t>
            </w:r>
            <w:r>
              <w:rPr>
                <w:color w:val="auto"/>
                <w:highlight w:val="none"/>
              </w:rPr>
              <w:t xml:space="preserve">, Gedung SPs </w:t>
            </w:r>
            <w:r>
              <w:rPr>
                <w:rFonts w:hint="default"/>
                <w:color w:val="auto"/>
                <w:highlight w:val="none"/>
                <w:lang w:val="id-ID"/>
              </w:rPr>
              <w:t xml:space="preserve">Lt.3 </w:t>
            </w:r>
            <w:r>
              <w:rPr>
                <w:color w:val="auto"/>
                <w:highlight w:val="none"/>
              </w:rPr>
              <w:t>Kampus IPB, Dramaga</w:t>
            </w:r>
          </w:p>
        </w:tc>
      </w:tr>
    </w:tbl>
    <w:p w14:paraId="3E455653">
      <w:pPr>
        <w:pBdr>
          <w:top w:val="double" w:color="000000" w:sz="12" w:space="1"/>
        </w:pBdr>
        <w:spacing w:before="120" w:after="0"/>
        <w:jc w:val="both"/>
        <w:rPr>
          <w:color w:val="auto"/>
          <w:highlight w:val="none"/>
        </w:rPr>
      </w:pPr>
    </w:p>
    <w:p w14:paraId="03C12630">
      <w:pPr>
        <w:rPr>
          <w:color w:val="auto"/>
          <w:highlight w:val="none"/>
        </w:rPr>
        <w:sectPr>
          <w:headerReference r:id="rId5" w:type="default"/>
          <w:pgSz w:w="11906" w:h="16838"/>
          <w:pgMar w:top="1417" w:right="1417" w:bottom="1417" w:left="1417" w:header="720" w:footer="720" w:gutter="0"/>
          <w:cols w:space="720" w:num="1"/>
          <w:docGrid w:linePitch="360" w:charSpace="0"/>
        </w:sectPr>
      </w:pPr>
    </w:p>
    <w:p w14:paraId="63BF9122">
      <w:pPr>
        <w:spacing w:before="0" w:after="0"/>
        <w:jc w:val="center"/>
        <w:rPr>
          <w:color w:val="auto"/>
          <w:highlight w:val="none"/>
        </w:rPr>
      </w:pPr>
      <w:r>
        <w:rPr>
          <w:b/>
          <w:color w:val="auto"/>
          <w:highlight w:val="none"/>
        </w:rPr>
        <w:t>Pengembangan Media Edukasi Gizi Online SHINING bagi Calon Pengantin: Evaluasi Proses Implementasi dan Pola Penggunaan Media Sosial</w:t>
      </w:r>
      <w:r>
        <w:rPr>
          <w:color w:val="auto"/>
          <w:highlight w:val="none"/>
          <w:vertAlign w:val="superscript"/>
        </w:rPr>
        <w:footnoteReference w:id="0"/>
      </w:r>
    </w:p>
    <w:p w14:paraId="4774F205">
      <w:pPr>
        <w:spacing w:before="120" w:after="0"/>
        <w:jc w:val="center"/>
        <w:rPr>
          <w:color w:val="auto"/>
          <w:highlight w:val="none"/>
        </w:rPr>
      </w:pPr>
      <w:r>
        <w:rPr>
          <w:color w:val="auto"/>
          <w:highlight w:val="none"/>
        </w:rPr>
        <w:t>(</w:t>
      </w:r>
      <w:r>
        <w:rPr>
          <w:i/>
          <w:color w:val="auto"/>
          <w:highlight w:val="none"/>
        </w:rPr>
        <w:t>Development of the SHINING Online Nutrition Education Media for Premarital Couples: Implementation Process Evaluation and Social Media Use Patterns</w:t>
      </w:r>
      <w:r>
        <w:rPr>
          <w:color w:val="auto"/>
          <w:highlight w:val="none"/>
        </w:rPr>
        <w:t>)</w:t>
      </w:r>
    </w:p>
    <w:p w14:paraId="6A6D00AC">
      <w:pPr>
        <w:spacing w:before="200" w:after="0"/>
        <w:jc w:val="center"/>
        <w:rPr>
          <w:color w:val="auto"/>
          <w:highlight w:val="none"/>
        </w:rPr>
      </w:pPr>
      <w:r>
        <w:rPr>
          <w:color w:val="auto"/>
          <w:highlight w:val="none"/>
        </w:rPr>
        <w:t>Marhamah</w:t>
      </w:r>
      <w:r>
        <w:rPr>
          <w:color w:val="auto"/>
          <w:highlight w:val="none"/>
          <w:vertAlign w:val="superscript"/>
        </w:rPr>
        <w:footnoteReference w:id="1"/>
      </w:r>
      <w:r>
        <w:rPr>
          <w:color w:val="auto"/>
          <w:highlight w:val="none"/>
        </w:rPr>
        <w:t>, Hardinsyah</w:t>
      </w:r>
      <w:r>
        <w:rPr>
          <w:color w:val="auto"/>
          <w:highlight w:val="none"/>
          <w:vertAlign w:val="superscript"/>
        </w:rPr>
        <w:footnoteReference w:id="2"/>
      </w:r>
      <w:r>
        <w:rPr>
          <w:color w:val="auto"/>
          <w:highlight w:val="none"/>
        </w:rPr>
        <w:t>, Cesilia Meti Dwiriani</w:t>
      </w:r>
      <w:r>
        <w:rPr>
          <w:color w:val="auto"/>
          <w:highlight w:val="none"/>
          <w:vertAlign w:val="superscript"/>
        </w:rPr>
        <w:footnoteReference w:id="3"/>
      </w:r>
      <w:r>
        <w:rPr>
          <w:color w:val="auto"/>
          <w:highlight w:val="none"/>
        </w:rPr>
        <w:t>, Lilik Kustiyah</w:t>
      </w:r>
      <w:r>
        <w:rPr>
          <w:rFonts w:hint="default"/>
          <w:color w:val="auto"/>
          <w:highlight w:val="none"/>
          <w:vertAlign w:val="superscript"/>
          <w:lang w:val="id-ID"/>
        </w:rPr>
        <w:t>4</w:t>
      </w:r>
      <w:r>
        <w:rPr>
          <w:color w:val="auto"/>
          <w:highlight w:val="none"/>
        </w:rPr>
        <w:t>, Irman Hermadi</w:t>
      </w:r>
      <w:r>
        <w:rPr>
          <w:color w:val="auto"/>
          <w:highlight w:val="none"/>
          <w:vertAlign w:val="superscript"/>
        </w:rPr>
        <w:footnoteReference w:id="4"/>
      </w:r>
    </w:p>
    <w:p w14:paraId="3C209B79">
      <w:pPr>
        <w:keepNext/>
        <w:spacing w:before="240" w:after="120"/>
        <w:jc w:val="center"/>
        <w:rPr>
          <w:color w:val="auto"/>
          <w:highlight w:val="none"/>
        </w:rPr>
      </w:pPr>
      <w:r>
        <w:rPr>
          <w:b/>
          <w:color w:val="auto"/>
          <w:highlight w:val="none"/>
        </w:rPr>
        <w:t>ABSTRACT</w:t>
      </w:r>
    </w:p>
    <w:p w14:paraId="0F5C999D">
      <w:pPr>
        <w:spacing w:before="120" w:after="0"/>
        <w:jc w:val="both"/>
        <w:rPr>
          <w:rFonts w:hint="default"/>
          <w:color w:val="auto"/>
          <w:highlight w:val="none"/>
          <w:lang w:val="id-ID"/>
        </w:rPr>
      </w:pPr>
      <w:r>
        <w:rPr>
          <w:rFonts w:hint="default"/>
          <w:color w:val="auto"/>
          <w:highlight w:val="none"/>
        </w:rPr>
        <w:t xml:space="preserve">Evidence on social media use among premarital couples and </w:t>
      </w:r>
      <w:r>
        <w:rPr>
          <w:rFonts w:hint="default"/>
          <w:color w:val="auto"/>
          <w:highlight w:val="none"/>
          <w:lang w:val="id-ID"/>
        </w:rPr>
        <w:t xml:space="preserve">the field </w:t>
      </w:r>
      <w:r>
        <w:rPr>
          <w:rFonts w:hint="default"/>
          <w:color w:val="auto"/>
          <w:highlight w:val="none"/>
        </w:rPr>
        <w:t xml:space="preserve">performance of online preconception nutrition education in Indonesia </w:t>
      </w:r>
      <w:r>
        <w:rPr>
          <w:rFonts w:hint="default"/>
          <w:color w:val="auto"/>
          <w:highlight w:val="none"/>
          <w:lang w:val="id-ID"/>
        </w:rPr>
        <w:t>remains</w:t>
      </w:r>
      <w:r>
        <w:rPr>
          <w:rFonts w:hint="default"/>
          <w:color w:val="auto"/>
          <w:highlight w:val="none"/>
        </w:rPr>
        <w:t xml:space="preserve"> limited</w:t>
      </w:r>
      <w:r>
        <w:rPr>
          <w:rFonts w:hint="default"/>
          <w:color w:val="auto"/>
          <w:highlight w:val="none"/>
          <w:lang w:val="id-ID"/>
        </w:rPr>
        <w:t xml:space="preserve">. This study evaluated the implementation of the SHINING control-group web platform and analysed couples’ social media use and its associations with preconception nutrition knowledge, Health Belief Model (HBM)-based attitudes, and body mass index (BMI). </w:t>
      </w:r>
      <w:r>
        <w:rPr>
          <w:rFonts w:hint="default"/>
          <w:color w:val="auto"/>
          <w:highlight w:val="none"/>
        </w:rPr>
        <w:t xml:space="preserve">This cross-sectional study and process evaluation used baseline data from </w:t>
      </w:r>
      <w:r>
        <w:rPr>
          <w:rFonts w:hint="default"/>
          <w:color w:val="auto"/>
          <w:highlight w:val="none"/>
          <w:lang w:val="id-ID"/>
        </w:rPr>
        <w:t xml:space="preserve">premarital couples in Binjai City, North Sumatra </w:t>
      </w:r>
      <w:r>
        <w:rPr>
          <w:rFonts w:hint="default"/>
          <w:color w:val="auto"/>
          <w:highlight w:val="none"/>
        </w:rPr>
        <w:t>(July–October 2026), comprising</w:t>
      </w:r>
      <w:r>
        <w:rPr>
          <w:rFonts w:hint="default"/>
          <w:color w:val="auto"/>
          <w:highlight w:val="none"/>
          <w:lang w:val="id-ID"/>
        </w:rPr>
        <w:t xml:space="preserve"> records of </w:t>
      </w:r>
      <w:r>
        <w:rPr>
          <w:rFonts w:hint="default"/>
          <w:color w:val="auto"/>
          <w:highlight w:val="none"/>
        </w:rPr>
        <w:t>198 registrants</w:t>
      </w:r>
      <w:r>
        <w:rPr>
          <w:rFonts w:hint="default"/>
          <w:color w:val="auto"/>
          <w:highlight w:val="none"/>
          <w:lang w:val="id-ID"/>
        </w:rPr>
        <w:t xml:space="preserve"> </w:t>
      </w:r>
      <w:r>
        <w:rPr>
          <w:rFonts w:hint="default"/>
          <w:color w:val="auto"/>
          <w:highlight w:val="none"/>
        </w:rPr>
        <w:t>and 74 participants with complete data</w:t>
      </w:r>
      <w:r>
        <w:rPr>
          <w:rFonts w:hint="default"/>
          <w:color w:val="auto"/>
          <w:highlight w:val="none"/>
          <w:lang w:val="id-ID"/>
        </w:rPr>
        <w:t xml:space="preserve">. </w:t>
      </w:r>
      <w:r>
        <w:rPr>
          <w:rFonts w:hint="default"/>
          <w:color w:val="auto"/>
          <w:highlight w:val="none"/>
        </w:rPr>
        <w:t xml:space="preserve">Only 38.9% completed all six baseline instruments; the largest drop preceded the 48-item knowledge test. Duplicates comprised 13.8% of raw records, and a form error dropped staple-food data in 26.9% of food frequency questionnaires. WhatsApp dominated (59.5%), and 73.0% accessed social media about hourly. </w:t>
      </w:r>
      <w:r>
        <w:rPr>
          <w:rFonts w:hint="default"/>
          <w:color w:val="auto"/>
          <w:highlight w:val="none"/>
          <w:lang w:val="id-ID"/>
        </w:rPr>
        <w:t>More than half of the participants had good knowledge (</w:t>
      </w:r>
      <w:r>
        <w:rPr>
          <w:rFonts w:hint="default"/>
          <w:color w:val="auto"/>
          <w:highlight w:val="none"/>
        </w:rPr>
        <w:t>59.5%</w:t>
      </w:r>
      <w:r>
        <w:rPr>
          <w:rFonts w:hint="default"/>
          <w:color w:val="auto"/>
          <w:highlight w:val="none"/>
          <w:lang w:val="id-ID"/>
        </w:rPr>
        <w:t xml:space="preserve">), which correlated positively with attitude </w:t>
      </w:r>
      <w:r>
        <w:rPr>
          <w:rFonts w:hint="default"/>
          <w:color w:val="auto"/>
          <w:highlight w:val="none"/>
        </w:rPr>
        <w:t xml:space="preserve">(r=0.414; p&lt;0.001), </w:t>
      </w:r>
      <w:r>
        <w:rPr>
          <w:rFonts w:hint="default"/>
          <w:color w:val="auto"/>
          <w:highlight w:val="none"/>
          <w:lang w:val="id-ID"/>
        </w:rPr>
        <w:t xml:space="preserve">although </w:t>
      </w:r>
      <w:r>
        <w:rPr>
          <w:rFonts w:hint="default"/>
          <w:color w:val="auto"/>
          <w:highlight w:val="none"/>
        </w:rPr>
        <w:t>51.4% were overweight or obese. Lo</w:t>
      </w:r>
      <w:r>
        <w:rPr>
          <w:rFonts w:hint="default"/>
          <w:color w:val="auto"/>
          <w:highlight w:val="none"/>
          <w:lang w:val="id-ID"/>
        </w:rPr>
        <w:t>wer BMI was associated with lo</w:t>
      </w:r>
      <w:r>
        <w:rPr>
          <w:rFonts w:hint="default"/>
          <w:color w:val="auto"/>
          <w:highlight w:val="none"/>
        </w:rPr>
        <w:t>nger daily</w:t>
      </w:r>
      <w:r>
        <w:rPr>
          <w:rFonts w:hint="default"/>
          <w:color w:val="auto"/>
          <w:highlight w:val="none"/>
          <w:lang w:val="id-ID"/>
        </w:rPr>
        <w:t xml:space="preserve"> social media</w:t>
      </w:r>
      <w:r>
        <w:rPr>
          <w:rFonts w:hint="default"/>
          <w:color w:val="auto"/>
          <w:highlight w:val="none"/>
        </w:rPr>
        <w:t xml:space="preserve"> use (r=-0.331; p=0.004) and</w:t>
      </w:r>
      <w:r>
        <w:rPr>
          <w:rFonts w:hint="default"/>
          <w:color w:val="auto"/>
          <w:highlight w:val="none"/>
          <w:lang w:val="id-ID"/>
        </w:rPr>
        <w:t xml:space="preserve"> with obtaining information from health professional accounts, whereas regularly </w:t>
      </w:r>
      <w:r>
        <w:rPr>
          <w:rFonts w:hint="default"/>
          <w:color w:val="auto"/>
          <w:highlight w:val="none"/>
        </w:rPr>
        <w:t xml:space="preserve">checking information accuracy </w:t>
      </w:r>
      <w:r>
        <w:rPr>
          <w:rFonts w:hint="default"/>
          <w:color w:val="auto"/>
          <w:highlight w:val="none"/>
          <w:lang w:val="id-ID"/>
        </w:rPr>
        <w:t xml:space="preserve">was linked to a more </w:t>
      </w:r>
      <w:r>
        <w:rPr>
          <w:rFonts w:hint="default"/>
          <w:color w:val="auto"/>
          <w:highlight w:val="none"/>
        </w:rPr>
        <w:t>positive attitude (r=0.287; p=0.014).</w:t>
      </w:r>
      <w:r>
        <w:rPr>
          <w:rFonts w:hint="default"/>
          <w:color w:val="auto"/>
          <w:highlight w:val="none"/>
          <w:lang w:val="id-ID"/>
        </w:rPr>
        <w:t xml:space="preserve"> Online preconception education should guide couples to credible sources and encourage information verification, while platforms should use brief instruments, confirm server-side data storage, and be pilot-tested with the target group. </w:t>
      </w:r>
    </w:p>
    <w:p w14:paraId="199544A8">
      <w:pPr>
        <w:spacing w:before="120" w:after="0"/>
        <w:jc w:val="left"/>
        <w:rPr>
          <w:color w:val="auto"/>
          <w:highlight w:val="none"/>
        </w:rPr>
      </w:pPr>
      <w:r>
        <w:rPr>
          <w:b/>
          <w:color w:val="auto"/>
          <w:highlight w:val="none"/>
        </w:rPr>
        <w:t>Keywords:</w:t>
      </w:r>
      <w:r>
        <w:rPr>
          <w:color w:val="auto"/>
          <w:highlight w:val="none"/>
        </w:rPr>
        <w:t xml:space="preserve"> online education, preconception nutrition, premarital couples, process evaluation, social media</w:t>
      </w:r>
    </w:p>
    <w:p w14:paraId="50C5A56F">
      <w:pPr>
        <w:keepNext/>
        <w:spacing w:before="240" w:after="120"/>
        <w:jc w:val="center"/>
        <w:rPr>
          <w:color w:val="auto"/>
          <w:highlight w:val="none"/>
        </w:rPr>
      </w:pPr>
      <w:r>
        <w:rPr>
          <w:b/>
          <w:color w:val="auto"/>
          <w:highlight w:val="none"/>
        </w:rPr>
        <w:t>PENDAHULUAN</w:t>
      </w:r>
    </w:p>
    <w:p w14:paraId="51FA7BD6">
      <w:pPr>
        <w:spacing w:before="0" w:after="0"/>
        <w:ind w:firstLine="567"/>
        <w:jc w:val="both"/>
        <w:rPr>
          <w:color w:val="auto"/>
          <w:highlight w:val="none"/>
        </w:rPr>
      </w:pPr>
      <w:r>
        <w:rPr>
          <w:color w:val="auto"/>
          <w:highlight w:val="none"/>
        </w:rPr>
        <w:t xml:space="preserve">Masa prakonsepsi merupakan periode kritis untuk memperbaiki </w:t>
      </w:r>
      <w:r>
        <w:rPr>
          <w:rFonts w:hint="default"/>
          <w:color w:val="auto"/>
          <w:highlight w:val="none"/>
          <w:lang w:val="id-ID"/>
        </w:rPr>
        <w:t xml:space="preserve">status </w:t>
      </w:r>
      <w:r>
        <w:rPr>
          <w:color w:val="auto"/>
          <w:highlight w:val="none"/>
        </w:rPr>
        <w:t xml:space="preserve">gizi dan kesehatan calon </w:t>
      </w:r>
      <w:r>
        <w:rPr>
          <w:rFonts w:hint="default"/>
          <w:color w:val="auto"/>
          <w:highlight w:val="none"/>
          <w:lang w:val="id-ID"/>
        </w:rPr>
        <w:t xml:space="preserve">pengantin (catin) sebagai calon </w:t>
      </w:r>
      <w:r>
        <w:rPr>
          <w:color w:val="auto"/>
          <w:highlight w:val="none"/>
        </w:rPr>
        <w:t xml:space="preserve">ayah, calon ibu, dan anak yang akan dilahirkan, </w:t>
      </w:r>
      <w:r>
        <w:rPr>
          <w:rFonts w:hint="default"/>
          <w:color w:val="auto"/>
          <w:highlight w:val="none"/>
          <w:lang w:val="id-ID"/>
        </w:rPr>
        <w:t xml:space="preserve">perbaikan gizi menjelang pernikahan menjadi momen penting melakukan </w:t>
      </w:r>
      <w:r>
        <w:rPr>
          <w:color w:val="auto"/>
          <w:highlight w:val="none"/>
        </w:rPr>
        <w:t xml:space="preserve">pencegahan </w:t>
      </w:r>
      <w:r>
        <w:rPr>
          <w:rFonts w:hint="default"/>
          <w:color w:val="auto"/>
          <w:highlight w:val="none"/>
          <w:lang w:val="id-ID"/>
        </w:rPr>
        <w:t xml:space="preserve">dan koreksi masalah gizi, namun sering diabaikan </w:t>
      </w:r>
      <w:r>
        <w:rPr>
          <w:color w:val="auto"/>
          <w:highlight w:val="none"/>
        </w:rPr>
        <w:t>(</w:t>
      </w:r>
      <w:r>
        <w:rPr>
          <w:color w:val="auto"/>
          <w:highlight w:val="none"/>
        </w:rPr>
        <w:t xml:space="preserve">Stephenson </w:t>
      </w:r>
      <w:r>
        <w:rPr>
          <w:i/>
          <w:color w:val="auto"/>
          <w:highlight w:val="none"/>
        </w:rPr>
        <w:t>et al</w:t>
      </w:r>
      <w:r>
        <w:rPr>
          <w:color w:val="auto"/>
          <w:highlight w:val="none"/>
        </w:rPr>
        <w:t>. 2018</w:t>
      </w:r>
      <w:r>
        <w:rPr>
          <w:color w:val="auto"/>
          <w:highlight w:val="none"/>
        </w:rPr>
        <w:t xml:space="preserve">). Di Indonesia, sekitar separuh orang dewasa mengalami berat badan </w:t>
      </w:r>
      <w:r>
        <w:rPr>
          <w:rFonts w:hint="default"/>
          <w:color w:val="auto"/>
          <w:highlight w:val="none"/>
          <w:lang w:val="id-ID"/>
        </w:rPr>
        <w:t>ber</w:t>
      </w:r>
      <w:r>
        <w:rPr>
          <w:color w:val="auto"/>
          <w:highlight w:val="none"/>
        </w:rPr>
        <w:t>lebih atau obesitas (</w:t>
      </w:r>
      <w:r>
        <w:rPr>
          <w:color w:val="auto"/>
          <w:highlight w:val="none"/>
        </w:rPr>
        <w:t>Pengpid dan Peltzer 2017)</w:t>
      </w:r>
      <w:r>
        <w:rPr>
          <w:color w:val="auto"/>
          <w:highlight w:val="none"/>
        </w:rPr>
        <w:t xml:space="preserve">, </w:t>
      </w:r>
      <w:r>
        <w:rPr>
          <w:rFonts w:hint="default"/>
          <w:color w:val="auto"/>
          <w:highlight w:val="none"/>
          <w:lang w:val="id-ID"/>
        </w:rPr>
        <w:t xml:space="preserve">dan </w:t>
      </w:r>
      <w:r>
        <w:rPr>
          <w:color w:val="auto"/>
          <w:highlight w:val="none"/>
        </w:rPr>
        <w:t>44–77% catin di Bogor dan Jakarta Barat memiliki pengetahuan gizi yang kurang (</w:t>
      </w:r>
      <w:r>
        <w:rPr>
          <w:color w:val="auto"/>
          <w:highlight w:val="none"/>
        </w:rPr>
        <w:t>Melani dan Kuswari 2019</w:t>
      </w:r>
      <w:r>
        <w:rPr>
          <w:color w:val="auto"/>
          <w:highlight w:val="none"/>
        </w:rPr>
        <w:t>;</w:t>
      </w:r>
      <w:r>
        <w:rPr>
          <w:color w:val="auto"/>
          <w:highlight w:val="none"/>
        </w:rPr>
        <w:t xml:space="preserve"> Zahra</w:t>
      </w:r>
      <w:r>
        <w:rPr>
          <w:color w:val="auto"/>
          <w:highlight w:val="none"/>
        </w:rPr>
        <w:t xml:space="preserve"> </w:t>
      </w:r>
      <w:r>
        <w:rPr>
          <w:i/>
          <w:color w:val="auto"/>
          <w:highlight w:val="none"/>
        </w:rPr>
        <w:t>et al</w:t>
      </w:r>
      <w:r>
        <w:rPr>
          <w:color w:val="auto"/>
          <w:highlight w:val="none"/>
        </w:rPr>
        <w:t>. 2024).</w:t>
      </w:r>
    </w:p>
    <w:p w14:paraId="3F18D5AF">
      <w:pPr>
        <w:spacing w:before="0" w:after="0"/>
        <w:ind w:firstLine="567"/>
        <w:jc w:val="both"/>
        <w:rPr>
          <w:color w:val="auto"/>
          <w:highlight w:val="none"/>
        </w:rPr>
      </w:pPr>
      <w:r>
        <w:rPr>
          <w:color w:val="auto"/>
          <w:highlight w:val="none"/>
        </w:rPr>
        <w:t>P</w:t>
      </w:r>
      <w:r>
        <w:rPr>
          <w:rFonts w:hint="default"/>
          <w:color w:val="auto"/>
          <w:highlight w:val="none"/>
          <w:lang w:val="id-ID"/>
        </w:rPr>
        <w:t>ada tahun 2024, p</w:t>
      </w:r>
      <w:r>
        <w:rPr>
          <w:color w:val="auto"/>
          <w:highlight w:val="none"/>
        </w:rPr>
        <w:t>engguna internet di Indonesia mencapai 221,5 juta orang</w:t>
      </w:r>
      <w:r>
        <w:rPr>
          <w:rFonts w:hint="default"/>
          <w:color w:val="auto"/>
          <w:highlight w:val="none"/>
          <w:lang w:val="id-ID"/>
        </w:rPr>
        <w:t xml:space="preserve">, </w:t>
      </w:r>
      <w:r>
        <w:rPr>
          <w:color w:val="auto"/>
          <w:highlight w:val="none"/>
        </w:rPr>
        <w:t>didominasi generasi milenial dan gen</w:t>
      </w:r>
      <w:r>
        <w:rPr>
          <w:rFonts w:hint="default"/>
          <w:color w:val="auto"/>
          <w:highlight w:val="none"/>
          <w:lang w:val="id-ID"/>
        </w:rPr>
        <w:t>-</w:t>
      </w:r>
      <w:r>
        <w:rPr>
          <w:color w:val="auto"/>
          <w:highlight w:val="none"/>
        </w:rPr>
        <w:t xml:space="preserve">Z yang merupakan </w:t>
      </w:r>
      <w:r>
        <w:rPr>
          <w:rFonts w:hint="default"/>
          <w:color w:val="auto"/>
          <w:highlight w:val="none"/>
          <w:lang w:val="id-ID"/>
        </w:rPr>
        <w:t xml:space="preserve">kelompok usia </w:t>
      </w:r>
      <w:r>
        <w:rPr>
          <w:color w:val="auto"/>
          <w:highlight w:val="none"/>
        </w:rPr>
        <w:t>akan menikah (</w:t>
      </w:r>
      <w:r>
        <w:rPr>
          <w:color w:val="auto"/>
          <w:highlight w:val="none"/>
        </w:rPr>
        <w:t>APJII</w:t>
      </w:r>
      <w:r>
        <w:rPr>
          <w:color w:val="auto"/>
          <w:highlight w:val="none"/>
        </w:rPr>
        <w:t xml:space="preserve"> 2024). </w:t>
      </w:r>
      <w:r>
        <w:rPr>
          <w:rFonts w:hint="default"/>
          <w:color w:val="auto"/>
          <w:highlight w:val="none"/>
          <w:lang w:val="id-ID"/>
        </w:rPr>
        <w:t>Orang dewasa muda aktif mencari</w:t>
      </w:r>
      <w:r>
        <w:rPr>
          <w:color w:val="auto"/>
          <w:highlight w:val="none"/>
        </w:rPr>
        <w:t xml:space="preserve"> informasi kesehatan di media sosial (</w:t>
      </w:r>
      <w:r>
        <w:rPr>
          <w:color w:val="auto"/>
          <w:highlight w:val="none"/>
        </w:rPr>
        <w:t>Lim</w:t>
      </w:r>
      <w:r>
        <w:rPr>
          <w:color w:val="auto"/>
          <w:highlight w:val="none"/>
        </w:rPr>
        <w:t xml:space="preserve"> </w:t>
      </w:r>
      <w:r>
        <w:rPr>
          <w:i/>
          <w:color w:val="auto"/>
          <w:highlight w:val="none"/>
        </w:rPr>
        <w:t>et al</w:t>
      </w:r>
      <w:r>
        <w:rPr>
          <w:color w:val="auto"/>
          <w:highlight w:val="none"/>
        </w:rPr>
        <w:t xml:space="preserve">. 2022), padahal </w:t>
      </w:r>
      <w:r>
        <w:rPr>
          <w:rFonts w:hint="default"/>
          <w:color w:val="auto"/>
          <w:highlight w:val="none"/>
          <w:lang w:val="id-ID"/>
        </w:rPr>
        <w:t xml:space="preserve">di </w:t>
      </w:r>
      <w:r>
        <w:rPr>
          <w:rFonts w:hint="default"/>
          <w:i/>
          <w:iCs/>
          <w:color w:val="auto"/>
          <w:highlight w:val="none"/>
          <w:lang w:val="id-ID"/>
        </w:rPr>
        <w:t>platform</w:t>
      </w:r>
      <w:r>
        <w:rPr>
          <w:rFonts w:hint="default"/>
          <w:color w:val="auto"/>
          <w:highlight w:val="none"/>
          <w:lang w:val="id-ID"/>
        </w:rPr>
        <w:t xml:space="preserve"> tersebut </w:t>
      </w:r>
      <w:r>
        <w:rPr>
          <w:i/>
          <w:iCs/>
          <w:color w:val="auto"/>
          <w:highlight w:val="none"/>
        </w:rPr>
        <w:t>misinformasi</w:t>
      </w:r>
      <w:r>
        <w:rPr>
          <w:color w:val="auto"/>
          <w:highlight w:val="none"/>
        </w:rPr>
        <w:t xml:space="preserve"> gizi menyebar luas</w:t>
      </w:r>
      <w:r>
        <w:rPr>
          <w:rFonts w:hint="default"/>
          <w:color w:val="auto"/>
          <w:highlight w:val="none"/>
          <w:lang w:val="id-ID"/>
        </w:rPr>
        <w:t xml:space="preserve"> </w:t>
      </w:r>
      <w:r>
        <w:rPr>
          <w:color w:val="auto"/>
          <w:highlight w:val="none"/>
        </w:rPr>
        <w:t>(</w:t>
      </w:r>
      <w:r>
        <w:rPr>
          <w:color w:val="auto"/>
          <w:highlight w:val="none"/>
        </w:rPr>
        <w:t>Wang</w:t>
      </w:r>
      <w:r>
        <w:rPr>
          <w:color w:val="auto"/>
          <w:highlight w:val="none"/>
        </w:rPr>
        <w:t xml:space="preserve"> </w:t>
      </w:r>
      <w:r>
        <w:rPr>
          <w:i/>
          <w:color w:val="auto"/>
          <w:highlight w:val="none"/>
        </w:rPr>
        <w:t>et al</w:t>
      </w:r>
      <w:r>
        <w:rPr>
          <w:color w:val="auto"/>
          <w:highlight w:val="none"/>
        </w:rPr>
        <w:t xml:space="preserve">. 2019; </w:t>
      </w:r>
      <w:r>
        <w:rPr>
          <w:color w:val="auto"/>
          <w:highlight w:val="none"/>
        </w:rPr>
        <w:t>Suarez-Lledo dan Alvarez-Galvez 2021</w:t>
      </w:r>
      <w:r>
        <w:rPr>
          <w:color w:val="auto"/>
          <w:highlight w:val="none"/>
        </w:rPr>
        <w:t>)</w:t>
      </w:r>
      <w:r>
        <w:rPr>
          <w:rFonts w:hint="default"/>
          <w:color w:val="auto"/>
          <w:highlight w:val="none"/>
          <w:lang w:val="id-ID"/>
        </w:rPr>
        <w:t xml:space="preserve">, dan hampir separuh unggahan gizi dari akun berpengaruh tidak akurat </w:t>
      </w:r>
      <w:r>
        <w:rPr>
          <w:color w:val="auto"/>
          <w:highlight w:val="none"/>
        </w:rPr>
        <w:t>(</w:t>
      </w:r>
      <w:r>
        <w:rPr>
          <w:color w:val="auto"/>
          <w:highlight w:val="none"/>
        </w:rPr>
        <w:t>Denniss</w:t>
      </w:r>
      <w:r>
        <w:rPr>
          <w:color w:val="auto"/>
          <w:highlight w:val="none"/>
        </w:rPr>
        <w:t xml:space="preserve"> </w:t>
      </w:r>
      <w:r>
        <w:rPr>
          <w:i/>
          <w:color w:val="auto"/>
          <w:highlight w:val="none"/>
        </w:rPr>
        <w:t>et al</w:t>
      </w:r>
      <w:r>
        <w:rPr>
          <w:color w:val="auto"/>
          <w:highlight w:val="none"/>
        </w:rPr>
        <w:t xml:space="preserve">. 2024). Dalam kerangka </w:t>
      </w:r>
      <w:r>
        <w:rPr>
          <w:i/>
          <w:color w:val="auto"/>
          <w:highlight w:val="none"/>
        </w:rPr>
        <w:t>Health Belief Model</w:t>
      </w:r>
      <w:r>
        <w:rPr>
          <w:color w:val="auto"/>
          <w:highlight w:val="none"/>
        </w:rPr>
        <w:t xml:space="preserve"> (HBM), media sosial</w:t>
      </w:r>
      <w:r>
        <w:rPr>
          <w:rFonts w:hint="default"/>
          <w:color w:val="auto"/>
          <w:highlight w:val="none"/>
          <w:lang w:val="id-ID"/>
        </w:rPr>
        <w:t xml:space="preserve"> (medsos)</w:t>
      </w:r>
      <w:r>
        <w:rPr>
          <w:color w:val="auto"/>
          <w:highlight w:val="none"/>
        </w:rPr>
        <w:t xml:space="preserve"> dapat berperan sebagai isyarat untuk bertindak, tetapi pengaruhnya bergantung pada apa yang dibaca dan seberapa kritis informasi</w:t>
      </w:r>
      <w:r>
        <w:rPr>
          <w:rFonts w:hint="default"/>
          <w:color w:val="auto"/>
          <w:highlight w:val="none"/>
          <w:lang w:val="id-ID"/>
        </w:rPr>
        <w:t xml:space="preserve">nya </w:t>
      </w:r>
      <w:r>
        <w:rPr>
          <w:color w:val="auto"/>
          <w:highlight w:val="none"/>
        </w:rPr>
        <w:t>(</w:t>
      </w:r>
      <w:r>
        <w:rPr>
          <w:color w:val="auto"/>
          <w:highlight w:val="none"/>
        </w:rPr>
        <w:t>Janz</w:t>
      </w:r>
      <w:r>
        <w:rPr>
          <w:color w:val="auto"/>
          <w:highlight w:val="none"/>
        </w:rPr>
        <w:t xml:space="preserve"> </w:t>
      </w:r>
      <w:r>
        <w:rPr>
          <w:color w:val="auto"/>
          <w:highlight w:val="none"/>
        </w:rPr>
        <w:t>dan Becker 1984</w:t>
      </w:r>
      <w:r>
        <w:rPr>
          <w:color w:val="auto"/>
          <w:highlight w:val="none"/>
        </w:rPr>
        <w:t xml:space="preserve">). Edukasi </w:t>
      </w:r>
      <w:r>
        <w:rPr>
          <w:rFonts w:hint="default"/>
          <w:i/>
          <w:iCs/>
          <w:color w:val="auto"/>
          <w:highlight w:val="none"/>
          <w:lang w:val="id-ID"/>
        </w:rPr>
        <w:t>online</w:t>
      </w:r>
      <w:r>
        <w:rPr>
          <w:rFonts w:hint="default"/>
          <w:color w:val="auto"/>
          <w:highlight w:val="none"/>
          <w:lang w:val="id-ID"/>
        </w:rPr>
        <w:t xml:space="preserve"> </w:t>
      </w:r>
      <w:r>
        <w:rPr>
          <w:color w:val="auto"/>
          <w:highlight w:val="none"/>
        </w:rPr>
        <w:t xml:space="preserve">bagi </w:t>
      </w:r>
      <w:r>
        <w:rPr>
          <w:color w:val="auto"/>
          <w:highlight w:val="none"/>
          <w:lang w:val="id-ID"/>
        </w:rPr>
        <w:t>catin</w:t>
      </w:r>
      <w:r>
        <w:rPr>
          <w:color w:val="auto"/>
          <w:highlight w:val="none"/>
        </w:rPr>
        <w:t xml:space="preserve"> telah diujicobakan dengan hasil yang beragam (</w:t>
      </w:r>
      <w:r>
        <w:rPr>
          <w:color w:val="auto"/>
          <w:highlight w:val="none"/>
        </w:rPr>
        <w:t>Atmaka</w:t>
      </w:r>
      <w:r>
        <w:rPr>
          <w:color w:val="auto"/>
          <w:highlight w:val="none"/>
        </w:rPr>
        <w:t xml:space="preserve"> </w:t>
      </w:r>
      <w:r>
        <w:rPr>
          <w:i/>
          <w:color w:val="auto"/>
          <w:highlight w:val="none"/>
        </w:rPr>
        <w:t>et al</w:t>
      </w:r>
      <w:r>
        <w:rPr>
          <w:color w:val="auto"/>
          <w:highlight w:val="none"/>
        </w:rPr>
        <w:t xml:space="preserve">. 2022), dan intervensi prakonsepsi berbasis telepon seluler menunjukkan efek yang </w:t>
      </w:r>
      <w:r>
        <w:rPr>
          <w:rFonts w:hint="default"/>
          <w:color w:val="auto"/>
          <w:highlight w:val="none"/>
          <w:lang w:val="id-ID"/>
        </w:rPr>
        <w:t xml:space="preserve">masih </w:t>
      </w:r>
      <w:r>
        <w:rPr>
          <w:color w:val="auto"/>
          <w:highlight w:val="none"/>
        </w:rPr>
        <w:t>terbatas (</w:t>
      </w:r>
      <w:r>
        <w:rPr>
          <w:color w:val="auto"/>
          <w:highlight w:val="none"/>
        </w:rPr>
        <w:t>Musgrave</w:t>
      </w:r>
      <w:r>
        <w:rPr>
          <w:color w:val="auto"/>
          <w:highlight w:val="none"/>
        </w:rPr>
        <w:t xml:space="preserve"> </w:t>
      </w:r>
      <w:r>
        <w:rPr>
          <w:i/>
          <w:color w:val="auto"/>
          <w:highlight w:val="none"/>
        </w:rPr>
        <w:t>et al</w:t>
      </w:r>
      <w:r>
        <w:rPr>
          <w:color w:val="auto"/>
          <w:highlight w:val="none"/>
        </w:rPr>
        <w:t>. 2023).</w:t>
      </w:r>
    </w:p>
    <w:p w14:paraId="1EFB2194">
      <w:pPr>
        <w:spacing w:before="0" w:after="0"/>
        <w:ind w:firstLine="567"/>
        <w:jc w:val="both"/>
        <w:rPr>
          <w:color w:val="auto"/>
          <w:highlight w:val="none"/>
        </w:rPr>
      </w:pPr>
      <w:r>
        <w:rPr>
          <w:color w:val="auto"/>
          <w:highlight w:val="none"/>
        </w:rPr>
        <w:t xml:space="preserve">Intervensi gizi dan kesehatan </w:t>
      </w:r>
      <w:r>
        <w:rPr>
          <w:i/>
          <w:color w:val="auto"/>
          <w:highlight w:val="none"/>
        </w:rPr>
        <w:t>online</w:t>
      </w:r>
      <w:r>
        <w:rPr>
          <w:color w:val="auto"/>
          <w:highlight w:val="none"/>
        </w:rPr>
        <w:t xml:space="preserve"> terkendala pada tingginya angka </w:t>
      </w:r>
      <w:r>
        <w:rPr>
          <w:i/>
          <w:color w:val="auto"/>
          <w:highlight w:val="none"/>
        </w:rPr>
        <w:t>drop-out</w:t>
      </w:r>
      <w:r>
        <w:rPr>
          <w:color w:val="auto"/>
          <w:highlight w:val="none"/>
        </w:rPr>
        <w:t xml:space="preserve"> di tengah jalan/</w:t>
      </w:r>
      <w:r>
        <w:rPr>
          <w:i/>
          <w:color w:val="auto"/>
          <w:highlight w:val="none"/>
        </w:rPr>
        <w:t>law of attrition</w:t>
      </w:r>
      <w:r>
        <w:rPr>
          <w:color w:val="auto"/>
          <w:highlight w:val="none"/>
        </w:rPr>
        <w:t xml:space="preserve"> (Eysenbach 2005; Meyerowitz-Katz </w:t>
      </w:r>
      <w:r>
        <w:rPr>
          <w:i/>
          <w:color w:val="auto"/>
          <w:highlight w:val="none"/>
        </w:rPr>
        <w:t>et al</w:t>
      </w:r>
      <w:r>
        <w:rPr>
          <w:color w:val="auto"/>
          <w:highlight w:val="none"/>
        </w:rPr>
        <w:t xml:space="preserve">. 2020), sehingga bagaimana cara </w:t>
      </w:r>
      <w:r>
        <w:rPr>
          <w:i/>
          <w:color w:val="auto"/>
          <w:highlight w:val="none"/>
        </w:rPr>
        <w:t>platform</w:t>
      </w:r>
      <w:r>
        <w:rPr>
          <w:color w:val="auto"/>
          <w:highlight w:val="none"/>
        </w:rPr>
        <w:t xml:space="preserve"> dikembangkan, diubah, dan digunakan oleh peserta perlu dilaporkan (Eysenbach 2011). Di negara berpenghasilan rendah dan menengah, laporan tentang intervensi prakonsepsi </w:t>
      </w:r>
      <w:r>
        <w:rPr>
          <w:i/>
          <w:color w:val="auto"/>
          <w:highlight w:val="none"/>
        </w:rPr>
        <w:t>online</w:t>
      </w:r>
      <w:r>
        <w:rPr>
          <w:color w:val="auto"/>
          <w:highlight w:val="none"/>
        </w:rPr>
        <w:t xml:space="preserve"> masih terbatas. Penggunaan perangkat HP dengan spesifikasi rendah, pemakaian bersama (berbagi HP dan akun) dan jaringan yang tidak stabil merupakan kondisi umum yang terjadi, dan kebutuhan perangkat serta internet menjadi hambatan yang paling sering dilaporkan pada intervensi kesehatan berbasis telepon seluler (Amiri </w:t>
      </w:r>
      <w:r>
        <w:rPr>
          <w:i/>
          <w:color w:val="auto"/>
          <w:highlight w:val="none"/>
        </w:rPr>
        <w:t>et al</w:t>
      </w:r>
      <w:r>
        <w:rPr>
          <w:color w:val="auto"/>
          <w:highlight w:val="none"/>
        </w:rPr>
        <w:t xml:space="preserve">. 2023). Penelitian ini bertujuan (1) mengevaluasi proses implementasi </w:t>
      </w:r>
      <w:r>
        <w:rPr>
          <w:i/>
          <w:color w:val="auto"/>
          <w:highlight w:val="none"/>
        </w:rPr>
        <w:t>platform web</w:t>
      </w:r>
      <w:r>
        <w:rPr>
          <w:color w:val="auto"/>
          <w:highlight w:val="none"/>
        </w:rPr>
        <w:t xml:space="preserve"> media edukasi SHINING, meliputi penyelesaian pengisian dan mutu data, serta (2) menganalisis pola penggunaan medsos catin dan hubungannya dengan pengetahuan gizi prakonsepsi, sikap berbasis HBM, dan indeks massa tubuh (IMT), sebagai dasar pengembangan edukasi gizi prakonsepsi </w:t>
      </w:r>
      <w:r>
        <w:rPr>
          <w:i/>
          <w:color w:val="auto"/>
          <w:highlight w:val="none"/>
        </w:rPr>
        <w:t>online</w:t>
      </w:r>
      <w:r>
        <w:rPr>
          <w:color w:val="auto"/>
          <w:highlight w:val="none"/>
        </w:rPr>
        <w:t xml:space="preserve"> yang mudah digunakan.</w:t>
      </w:r>
    </w:p>
    <w:p w14:paraId="2E4ADE70">
      <w:pPr>
        <w:keepNext/>
        <w:spacing w:before="240" w:after="120"/>
        <w:jc w:val="center"/>
        <w:rPr>
          <w:color w:val="auto"/>
          <w:highlight w:val="none"/>
        </w:rPr>
      </w:pPr>
      <w:r>
        <w:rPr>
          <w:b/>
          <w:color w:val="auto"/>
          <w:highlight w:val="none"/>
        </w:rPr>
        <w:t>METODE</w:t>
      </w:r>
    </w:p>
    <w:p w14:paraId="626D13B7">
      <w:pPr>
        <w:keepNext/>
        <w:spacing w:before="120" w:after="60"/>
        <w:jc w:val="left"/>
        <w:rPr>
          <w:color w:val="auto"/>
          <w:highlight w:val="none"/>
        </w:rPr>
      </w:pPr>
      <w:r>
        <w:rPr>
          <w:b/>
          <w:color w:val="auto"/>
          <w:highlight w:val="none"/>
        </w:rPr>
        <w:t>Desain, Waktu, dan Tempat</w:t>
      </w:r>
    </w:p>
    <w:p w14:paraId="72D6B86E">
      <w:pPr>
        <w:spacing w:before="0" w:after="0"/>
        <w:ind w:firstLine="567"/>
        <w:jc w:val="both"/>
        <w:rPr>
          <w:color w:val="auto"/>
          <w:highlight w:val="none"/>
        </w:rPr>
      </w:pPr>
      <w:r>
        <w:rPr>
          <w:color w:val="auto"/>
          <w:highlight w:val="none"/>
        </w:rPr>
        <w:t xml:space="preserve">Penelitian ini </w:t>
      </w:r>
      <w:r>
        <w:rPr>
          <w:rFonts w:hint="default"/>
          <w:color w:val="auto"/>
          <w:highlight w:val="none"/>
          <w:lang w:val="id-ID"/>
        </w:rPr>
        <w:t xml:space="preserve">merupakan </w:t>
      </w:r>
      <w:r>
        <w:rPr>
          <w:color w:val="auto"/>
          <w:highlight w:val="none"/>
        </w:rPr>
        <w:t xml:space="preserve">studi </w:t>
      </w:r>
      <w:r>
        <w:rPr>
          <w:i/>
          <w:color w:val="auto"/>
          <w:highlight w:val="none"/>
        </w:rPr>
        <w:t>cross-sectional</w:t>
      </w:r>
      <w:r>
        <w:rPr>
          <w:rFonts w:hint="default"/>
          <w:i/>
          <w:color w:val="auto"/>
          <w:highlight w:val="none"/>
          <w:lang w:val="id-ID"/>
        </w:rPr>
        <w:t xml:space="preserve">. </w:t>
      </w:r>
      <w:r>
        <w:rPr>
          <w:rFonts w:hint="default"/>
          <w:i w:val="0"/>
          <w:iCs/>
          <w:color w:val="auto"/>
          <w:highlight w:val="none"/>
          <w:lang w:val="id-ID"/>
        </w:rPr>
        <w:t>E</w:t>
      </w:r>
      <w:r>
        <w:rPr>
          <w:color w:val="auto"/>
          <w:highlight w:val="none"/>
        </w:rPr>
        <w:t xml:space="preserve">valuasi proses </w:t>
      </w:r>
      <w:r>
        <w:rPr>
          <w:rFonts w:hint="default"/>
          <w:color w:val="auto"/>
          <w:highlight w:val="none"/>
          <w:lang w:val="id-ID"/>
        </w:rPr>
        <w:t xml:space="preserve">sebagai bagian dari </w:t>
      </w:r>
      <w:r>
        <w:rPr>
          <w:color w:val="auto"/>
          <w:highlight w:val="none"/>
        </w:rPr>
        <w:t xml:space="preserve">tahap pengembangan </w:t>
      </w:r>
      <w:r>
        <w:rPr>
          <w:rFonts w:hint="default"/>
          <w:color w:val="auto"/>
          <w:highlight w:val="none"/>
          <w:lang w:val="id-ID"/>
        </w:rPr>
        <w:t xml:space="preserve">media edukasi </w:t>
      </w:r>
      <w:r>
        <w:rPr>
          <w:rFonts w:hint="default"/>
          <w:i/>
          <w:iCs/>
          <w:color w:val="auto"/>
          <w:highlight w:val="none"/>
          <w:lang w:val="id-ID"/>
        </w:rPr>
        <w:t>online</w:t>
      </w:r>
      <w:r>
        <w:rPr>
          <w:rFonts w:hint="default"/>
          <w:color w:val="auto"/>
          <w:highlight w:val="none"/>
          <w:lang w:val="id-ID"/>
        </w:rPr>
        <w:t xml:space="preserve"> </w:t>
      </w:r>
      <w:r>
        <w:rPr>
          <w:color w:val="auto"/>
          <w:highlight w:val="none"/>
        </w:rPr>
        <w:t>SHINING (</w:t>
      </w:r>
      <w:r>
        <w:rPr>
          <w:i/>
          <w:color w:val="auto"/>
          <w:highlight w:val="none"/>
        </w:rPr>
        <w:t xml:space="preserve">Sehat Sebelum Hamil </w:t>
      </w:r>
      <w:r>
        <w:rPr>
          <w:rFonts w:hint="default"/>
          <w:i/>
          <w:color w:val="auto"/>
          <w:highlight w:val="none"/>
          <w:lang w:val="id-ID"/>
        </w:rPr>
        <w:t>i</w:t>
      </w:r>
      <w:r>
        <w:rPr>
          <w:i/>
          <w:color w:val="auto"/>
          <w:highlight w:val="none"/>
        </w:rPr>
        <w:t>tu Penting</w:t>
      </w:r>
      <w:r>
        <w:rPr>
          <w:color w:val="auto"/>
          <w:highlight w:val="none"/>
        </w:rPr>
        <w:t xml:space="preserve">), </w:t>
      </w:r>
      <w:r>
        <w:rPr>
          <w:rFonts w:hint="default"/>
          <w:color w:val="auto"/>
          <w:highlight w:val="none"/>
          <w:lang w:val="id-ID"/>
        </w:rPr>
        <w:t xml:space="preserve">merupakan studi penelitian dan pengembangan </w:t>
      </w:r>
      <w:r>
        <w:rPr>
          <w:color w:val="auto"/>
          <w:highlight w:val="none"/>
        </w:rPr>
        <w:t xml:space="preserve">program edukasi gizi prakonsepsi </w:t>
      </w:r>
      <w:r>
        <w:rPr>
          <w:rFonts w:hint="default"/>
          <w:i/>
          <w:iCs/>
          <w:color w:val="auto"/>
          <w:highlight w:val="none"/>
          <w:lang w:val="id-ID"/>
        </w:rPr>
        <w:t>online</w:t>
      </w:r>
      <w:r>
        <w:rPr>
          <w:rFonts w:hint="default"/>
          <w:color w:val="auto"/>
          <w:highlight w:val="none"/>
          <w:lang w:val="id-ID"/>
        </w:rPr>
        <w:t xml:space="preserve"> </w:t>
      </w:r>
      <w:r>
        <w:rPr>
          <w:color w:val="auto"/>
          <w:highlight w:val="none"/>
        </w:rPr>
        <w:t>delapan minggu berbasis HBM dengan model ADDIE</w:t>
      </w:r>
      <w:r>
        <w:rPr>
          <w:rFonts w:hint="default"/>
          <w:color w:val="auto"/>
          <w:highlight w:val="none"/>
          <w:lang w:val="id-ID"/>
        </w:rPr>
        <w:t xml:space="preserve"> (Analysis, Design, Development, Implementation, Evaluation). </w:t>
      </w:r>
      <w:r>
        <w:rPr>
          <w:color w:val="auto"/>
          <w:highlight w:val="none"/>
        </w:rPr>
        <w:t xml:space="preserve">Data awal </w:t>
      </w:r>
      <w:r>
        <w:rPr>
          <w:rFonts w:hint="default"/>
          <w:color w:val="auto"/>
          <w:highlight w:val="none"/>
          <w:lang w:val="id-ID"/>
        </w:rPr>
        <w:t xml:space="preserve">dikumpulkan secara </w:t>
      </w:r>
      <w:r>
        <w:rPr>
          <w:rFonts w:hint="default"/>
          <w:i/>
          <w:iCs/>
          <w:color w:val="auto"/>
          <w:highlight w:val="none"/>
          <w:lang w:val="id-ID"/>
        </w:rPr>
        <w:t>online</w:t>
      </w:r>
      <w:r>
        <w:rPr>
          <w:rFonts w:hint="default"/>
          <w:color w:val="auto"/>
          <w:highlight w:val="none"/>
          <w:lang w:val="id-ID"/>
        </w:rPr>
        <w:t xml:space="preserve"> dari </w:t>
      </w:r>
      <w:r>
        <w:rPr>
          <w:color w:val="auto"/>
          <w:highlight w:val="none"/>
        </w:rPr>
        <w:t>kelompok kontrol</w:t>
      </w:r>
      <w:r>
        <w:rPr>
          <w:rFonts w:hint="default"/>
          <w:color w:val="auto"/>
          <w:highlight w:val="none"/>
          <w:lang w:val="id-ID"/>
        </w:rPr>
        <w:t xml:space="preserve"> pada kegiatan pembinaan catin </w:t>
      </w:r>
      <w:r>
        <w:rPr>
          <w:color w:val="auto"/>
          <w:highlight w:val="none"/>
        </w:rPr>
        <w:t xml:space="preserve">di Kota Binjai, Sumatera Utara, pada Juli–Oktober 2026. Rekrutmen dilakukan melalui brosur berkode QR dan pesan </w:t>
      </w:r>
      <w:r>
        <w:rPr>
          <w:i/>
          <w:iCs/>
          <w:color w:val="auto"/>
          <w:highlight w:val="none"/>
        </w:rPr>
        <w:t>WhatsApp</w:t>
      </w:r>
      <w:r>
        <w:rPr>
          <w:color w:val="auto"/>
          <w:highlight w:val="none"/>
        </w:rPr>
        <w:t xml:space="preserve">. Penelitian telah memperoleh persetujuan Komisi Etik Penelitian Kesehatan Poltekkes </w:t>
      </w:r>
      <w:r>
        <w:rPr>
          <w:color w:val="auto"/>
          <w:highlight w:val="none"/>
        </w:rPr>
        <w:t>Kemenkes</w:t>
      </w:r>
      <w:r>
        <w:rPr>
          <w:color w:val="auto"/>
          <w:highlight w:val="none"/>
        </w:rPr>
        <w:t xml:space="preserve"> Medan (No. 01.26.1986/KEPK/POLTEKKES KEMENKES MEDAN 2025), dan seluruh subjek memberikan persetujuan elektronik.</w:t>
      </w:r>
    </w:p>
    <w:p w14:paraId="29573607">
      <w:pPr>
        <w:keepNext/>
        <w:spacing w:before="120" w:after="60"/>
        <w:jc w:val="left"/>
        <w:rPr>
          <w:color w:val="auto"/>
          <w:highlight w:val="none"/>
        </w:rPr>
      </w:pPr>
      <w:r>
        <w:rPr>
          <w:b/>
          <w:color w:val="auto"/>
          <w:highlight w:val="none"/>
        </w:rPr>
        <w:t xml:space="preserve">Platform SHINING </w:t>
      </w:r>
    </w:p>
    <w:p w14:paraId="4A6108C5">
      <w:pPr>
        <w:spacing w:before="0" w:after="0"/>
        <w:ind w:firstLine="567"/>
        <w:jc w:val="both"/>
        <w:rPr>
          <w:color w:val="auto"/>
          <w:highlight w:val="none"/>
        </w:rPr>
      </w:pPr>
      <w:r>
        <w:rPr>
          <w:rFonts w:hint="default"/>
          <w:color w:val="auto"/>
          <w:highlight w:val="none"/>
          <w:lang w:val="id-ID"/>
        </w:rPr>
        <w:t xml:space="preserve">SHINING merupakan </w:t>
      </w:r>
      <w:r>
        <w:rPr>
          <w:rFonts w:hint="default"/>
          <w:i/>
          <w:iCs/>
          <w:color w:val="auto"/>
          <w:highlight w:val="none"/>
          <w:lang w:val="id-ID"/>
        </w:rPr>
        <w:t>platform</w:t>
      </w:r>
      <w:r>
        <w:rPr>
          <w:rFonts w:hint="default"/>
          <w:color w:val="auto"/>
          <w:highlight w:val="none"/>
          <w:lang w:val="id-ID"/>
        </w:rPr>
        <w:t xml:space="preserve"> </w:t>
      </w:r>
      <w:r>
        <w:rPr>
          <w:color w:val="auto"/>
          <w:highlight w:val="none"/>
        </w:rPr>
        <w:t xml:space="preserve">aplikasi </w:t>
      </w:r>
      <w:r>
        <w:rPr>
          <w:rFonts w:hint="default"/>
          <w:color w:val="auto"/>
          <w:highlight w:val="none"/>
          <w:lang w:val="id-ID"/>
        </w:rPr>
        <w:t xml:space="preserve">berbasis </w:t>
      </w:r>
      <w:r>
        <w:rPr>
          <w:i/>
          <w:iCs/>
          <w:color w:val="auto"/>
          <w:highlight w:val="none"/>
        </w:rPr>
        <w:t>web</w:t>
      </w:r>
      <w:r>
        <w:rPr>
          <w:color w:val="auto"/>
          <w:highlight w:val="none"/>
        </w:rPr>
        <w:t xml:space="preserve"> satu halaman yang dirancang untuk </w:t>
      </w:r>
      <w:r>
        <w:rPr>
          <w:rFonts w:hint="default"/>
          <w:color w:val="auto"/>
          <w:highlight w:val="none"/>
          <w:lang w:val="id-ID"/>
        </w:rPr>
        <w:t xml:space="preserve">penggunaan di HP, </w:t>
      </w:r>
      <w:r>
        <w:rPr>
          <w:color w:val="auto"/>
          <w:highlight w:val="none"/>
        </w:rPr>
        <w:t xml:space="preserve">diakses tanpa </w:t>
      </w:r>
      <w:r>
        <w:rPr>
          <w:rFonts w:hint="default"/>
          <w:color w:val="auto"/>
          <w:highlight w:val="none"/>
          <w:lang w:val="id-ID"/>
        </w:rPr>
        <w:t xml:space="preserve">perlu diunduh dan tidak perlu membuat akun. </w:t>
      </w:r>
      <w:r>
        <w:rPr>
          <w:color w:val="auto"/>
          <w:highlight w:val="none"/>
        </w:rPr>
        <w:t xml:space="preserve">Peserta masuk </w:t>
      </w:r>
      <w:r>
        <w:rPr>
          <w:rFonts w:hint="default"/>
          <w:color w:val="auto"/>
          <w:highlight w:val="none"/>
          <w:lang w:val="id-ID"/>
        </w:rPr>
        <w:t xml:space="preserve">menggunakan nama dan </w:t>
      </w:r>
      <w:r>
        <w:rPr>
          <w:color w:val="auto"/>
          <w:highlight w:val="none"/>
        </w:rPr>
        <w:t>nomor telepon</w:t>
      </w:r>
      <w:r>
        <w:rPr>
          <w:rFonts w:hint="default"/>
          <w:color w:val="auto"/>
          <w:highlight w:val="none"/>
          <w:lang w:val="id-ID"/>
        </w:rPr>
        <w:t>/HP/WA</w:t>
      </w:r>
      <w:r>
        <w:rPr>
          <w:color w:val="auto"/>
          <w:highlight w:val="none"/>
        </w:rPr>
        <w:t>, menyatakan layak</w:t>
      </w:r>
      <w:r>
        <w:rPr>
          <w:rFonts w:hint="default"/>
          <w:color w:val="auto"/>
          <w:highlight w:val="none"/>
          <w:lang w:val="id-ID"/>
        </w:rPr>
        <w:t xml:space="preserve"> sebagai peserta </w:t>
      </w:r>
      <w:r>
        <w:rPr>
          <w:color w:val="auto"/>
          <w:highlight w:val="none"/>
        </w:rPr>
        <w:t>(</w:t>
      </w:r>
      <w:r>
        <w:rPr>
          <w:color w:val="auto"/>
          <w:highlight w:val="none"/>
          <w:lang w:val="id-ID"/>
        </w:rPr>
        <w:t>catin</w:t>
      </w:r>
      <w:r>
        <w:rPr>
          <w:color w:val="auto"/>
          <w:highlight w:val="none"/>
        </w:rPr>
        <w:t xml:space="preserve"> usia 20–40 tahun), me</w:t>
      </w:r>
      <w:r>
        <w:rPr>
          <w:rFonts w:hint="default"/>
          <w:color w:val="auto"/>
          <w:highlight w:val="none"/>
          <w:lang w:val="id-ID"/>
        </w:rPr>
        <w:t xml:space="preserve">nyatakan </w:t>
      </w:r>
      <w:r>
        <w:rPr>
          <w:color w:val="auto"/>
          <w:highlight w:val="none"/>
        </w:rPr>
        <w:t>persetujuan, lalu mengisi sesi 1</w:t>
      </w:r>
      <w:r>
        <w:rPr>
          <w:rFonts w:hint="default"/>
          <w:color w:val="auto"/>
          <w:highlight w:val="none"/>
          <w:lang w:val="id-ID"/>
        </w:rPr>
        <w:t xml:space="preserve"> yang terdiri atas</w:t>
      </w:r>
      <w:r>
        <w:rPr>
          <w:color w:val="auto"/>
          <w:highlight w:val="none"/>
        </w:rPr>
        <w:t xml:space="preserve">: </w:t>
      </w:r>
      <w:r>
        <w:rPr>
          <w:rFonts w:hint="default"/>
          <w:color w:val="auto"/>
          <w:highlight w:val="none"/>
          <w:lang w:val="id-ID"/>
        </w:rPr>
        <w:t xml:space="preserve">(1) </w:t>
      </w:r>
      <w:r>
        <w:rPr>
          <w:color w:val="auto"/>
          <w:highlight w:val="none"/>
        </w:rPr>
        <w:t xml:space="preserve">formulir identitas (termasuk berat dan tinggi badan), </w:t>
      </w:r>
      <w:r>
        <w:rPr>
          <w:rFonts w:hint="default"/>
          <w:color w:val="auto"/>
          <w:highlight w:val="none"/>
          <w:lang w:val="id-ID"/>
        </w:rPr>
        <w:t xml:space="preserve">(2) pengukuran </w:t>
      </w:r>
      <w:r>
        <w:rPr>
          <w:color w:val="auto"/>
          <w:highlight w:val="none"/>
        </w:rPr>
        <w:t>pengetahuan</w:t>
      </w:r>
      <w:r>
        <w:rPr>
          <w:rFonts w:hint="default"/>
          <w:color w:val="auto"/>
          <w:highlight w:val="none"/>
          <w:lang w:val="id-ID"/>
        </w:rPr>
        <w:t xml:space="preserve">, </w:t>
      </w:r>
      <w:r>
        <w:rPr>
          <w:color w:val="auto"/>
          <w:highlight w:val="none"/>
        </w:rPr>
        <w:t>48 butir</w:t>
      </w:r>
      <w:r>
        <w:rPr>
          <w:rFonts w:hint="default"/>
          <w:color w:val="auto"/>
          <w:highlight w:val="none"/>
          <w:lang w:val="id-ID"/>
        </w:rPr>
        <w:t xml:space="preserve"> pertanyaan</w:t>
      </w:r>
      <w:r>
        <w:rPr>
          <w:color w:val="auto"/>
          <w:highlight w:val="none"/>
        </w:rPr>
        <w:t xml:space="preserve">, </w:t>
      </w:r>
      <w:r>
        <w:rPr>
          <w:rFonts w:hint="default"/>
          <w:color w:val="auto"/>
          <w:highlight w:val="none"/>
          <w:lang w:val="id-ID"/>
        </w:rPr>
        <w:t xml:space="preserve">(3) sikap berbasis HBM </w:t>
      </w:r>
      <w:r>
        <w:rPr>
          <w:color w:val="auto"/>
          <w:highlight w:val="none"/>
        </w:rPr>
        <w:t xml:space="preserve">24 butir, </w:t>
      </w:r>
      <w:r>
        <w:rPr>
          <w:rFonts w:hint="default"/>
          <w:color w:val="auto"/>
          <w:highlight w:val="none"/>
          <w:lang w:val="id-ID"/>
        </w:rPr>
        <w:t xml:space="preserve">(4) </w:t>
      </w:r>
      <w:r>
        <w:rPr>
          <w:color w:val="auto"/>
          <w:highlight w:val="none"/>
        </w:rPr>
        <w:t xml:space="preserve">kuesioner frekuensi pangan (FFQ), </w:t>
      </w:r>
      <w:r>
        <w:rPr>
          <w:rFonts w:hint="default"/>
          <w:color w:val="auto"/>
          <w:highlight w:val="none"/>
          <w:lang w:val="id-ID"/>
        </w:rPr>
        <w:t xml:space="preserve">(5) aktivitas fisik berbasis </w:t>
      </w:r>
      <w:r>
        <w:rPr>
          <w:i/>
          <w:color w:val="auto"/>
          <w:highlight w:val="none"/>
        </w:rPr>
        <w:t xml:space="preserve">International Physical Activity Questionnaire </w:t>
      </w:r>
      <w:r>
        <w:rPr>
          <w:rFonts w:hint="default"/>
          <w:i/>
          <w:color w:val="auto"/>
          <w:highlight w:val="none"/>
          <w:lang w:val="id-ID"/>
        </w:rPr>
        <w:t>S</w:t>
      </w:r>
      <w:r>
        <w:rPr>
          <w:i/>
          <w:color w:val="auto"/>
          <w:highlight w:val="none"/>
        </w:rPr>
        <w:t xml:space="preserve">hort </w:t>
      </w:r>
      <w:r>
        <w:rPr>
          <w:rFonts w:hint="default"/>
          <w:i/>
          <w:color w:val="auto"/>
          <w:highlight w:val="none"/>
          <w:lang w:val="id-ID"/>
        </w:rPr>
        <w:t>F</w:t>
      </w:r>
      <w:r>
        <w:rPr>
          <w:i/>
          <w:color w:val="auto"/>
          <w:highlight w:val="none"/>
        </w:rPr>
        <w:t>orm</w:t>
      </w:r>
      <w:r>
        <w:rPr>
          <w:color w:val="auto"/>
          <w:highlight w:val="none"/>
        </w:rPr>
        <w:t xml:space="preserve"> (IPAQ-SF), dan </w:t>
      </w:r>
      <w:r>
        <w:rPr>
          <w:rFonts w:hint="default"/>
          <w:color w:val="auto"/>
          <w:highlight w:val="none"/>
          <w:lang w:val="id-ID"/>
        </w:rPr>
        <w:t>(6) akses medsos</w:t>
      </w:r>
      <w:r>
        <w:rPr>
          <w:color w:val="auto"/>
          <w:highlight w:val="none"/>
        </w:rPr>
        <w:t>. H</w:t>
      </w:r>
      <w:r>
        <w:rPr>
          <w:rFonts w:hint="default"/>
          <w:color w:val="auto"/>
          <w:highlight w:val="none"/>
          <w:lang w:val="id-ID"/>
        </w:rPr>
        <w:t xml:space="preserve">asil pengukuran </w:t>
      </w:r>
      <w:r>
        <w:rPr>
          <w:color w:val="auto"/>
          <w:highlight w:val="none"/>
        </w:rPr>
        <w:t xml:space="preserve">IMT </w:t>
      </w:r>
      <w:r>
        <w:rPr>
          <w:rFonts w:hint="default"/>
          <w:color w:val="auto"/>
          <w:highlight w:val="none"/>
          <w:lang w:val="id-ID"/>
        </w:rPr>
        <w:t xml:space="preserve">dan status gizi catin </w:t>
      </w:r>
      <w:r>
        <w:rPr>
          <w:color w:val="auto"/>
          <w:highlight w:val="none"/>
        </w:rPr>
        <w:t xml:space="preserve">ditampilkan pada sesi </w:t>
      </w:r>
      <w:r>
        <w:rPr>
          <w:rFonts w:hint="default"/>
          <w:color w:val="auto"/>
          <w:highlight w:val="none"/>
          <w:lang w:val="id-ID"/>
        </w:rPr>
        <w:t xml:space="preserve">1, untuk memberikan informasi status gizi catin sekaligus sebagai upaya </w:t>
      </w:r>
      <w:r>
        <w:rPr>
          <w:rFonts w:hint="default"/>
          <w:i/>
          <w:iCs/>
          <w:color w:val="auto"/>
          <w:highlight w:val="none"/>
          <w:lang w:val="id-ID"/>
        </w:rPr>
        <w:t>engagement.</w:t>
      </w:r>
      <w:r>
        <w:rPr>
          <w:color w:val="auto"/>
          <w:highlight w:val="none"/>
        </w:rPr>
        <w:t xml:space="preserve"> Setiap jawaban di laman SHINING otomatis tersimpan ke Google Sheets, dengan nomor telepon/WA sebagai penanda setiap peserta. Kiriman berulang tetap masuk tetapi ditandai, sedangkan kiriman yang gagal dikenali oleh skrip (misalnya nomor telepon berbeda saat mengakses ulang) dipisahkan otomatis ke lembar karantina untuk diverifikasi manual sebelum digabungkan ke data utama.</w:t>
      </w:r>
    </w:p>
    <w:p w14:paraId="55927CF8">
      <w:pPr>
        <w:keepNext/>
        <w:spacing w:before="120" w:after="60"/>
        <w:jc w:val="left"/>
        <w:rPr>
          <w:color w:val="auto"/>
          <w:highlight w:val="none"/>
        </w:rPr>
      </w:pPr>
      <w:r>
        <w:rPr>
          <w:b/>
          <w:color w:val="auto"/>
          <w:highlight w:val="none"/>
        </w:rPr>
        <w:t>Subjek dan Pengumpulan Data</w:t>
      </w:r>
    </w:p>
    <w:p w14:paraId="77D5DC01">
      <w:pPr>
        <w:spacing w:before="0" w:after="0"/>
        <w:ind w:firstLine="567"/>
        <w:jc w:val="both"/>
        <w:rPr>
          <w:color w:val="auto"/>
          <w:highlight w:val="none"/>
        </w:rPr>
      </w:pPr>
      <w:r>
        <w:rPr>
          <w:rFonts w:hint="default"/>
          <w:color w:val="auto"/>
          <w:highlight w:val="none"/>
          <w:lang w:val="id-ID"/>
        </w:rPr>
        <w:t xml:space="preserve">Respons yang masuk menggunakan akun uji coba, </w:t>
      </w:r>
      <w:r>
        <w:rPr>
          <w:color w:val="auto"/>
          <w:highlight w:val="none"/>
        </w:rPr>
        <w:t>nomor telepon tidak valid,</w:t>
      </w:r>
      <w:r>
        <w:rPr>
          <w:rFonts w:hint="default"/>
          <w:color w:val="auto"/>
          <w:highlight w:val="none"/>
          <w:lang w:val="id-ID"/>
        </w:rPr>
        <w:t xml:space="preserve"> dan mahasiswa yang direkrut pada tahap uji coba media </w:t>
      </w:r>
      <w:r>
        <w:rPr>
          <w:color w:val="auto"/>
          <w:highlight w:val="none"/>
        </w:rPr>
        <w:t>(tidak memenuhi kriteria inklusi)</w:t>
      </w:r>
      <w:r>
        <w:rPr>
          <w:rFonts w:hint="default"/>
          <w:color w:val="auto"/>
          <w:highlight w:val="none"/>
          <w:lang w:val="id-ID"/>
        </w:rPr>
        <w:t xml:space="preserve"> </w:t>
      </w:r>
      <w:r>
        <w:rPr>
          <w:color w:val="auto"/>
          <w:highlight w:val="none"/>
        </w:rPr>
        <w:t xml:space="preserve">dikeluarkan, sehingga diperoleh 198 </w:t>
      </w:r>
      <w:r>
        <w:rPr>
          <w:rFonts w:hint="default"/>
          <w:color w:val="auto"/>
          <w:highlight w:val="none"/>
          <w:lang w:val="id-ID"/>
        </w:rPr>
        <w:t xml:space="preserve">catin </w:t>
      </w:r>
      <w:r>
        <w:rPr>
          <w:color w:val="auto"/>
          <w:highlight w:val="none"/>
        </w:rPr>
        <w:t xml:space="preserve">yang memenuhi syarat untuk </w:t>
      </w:r>
      <w:r>
        <w:rPr>
          <w:rFonts w:hint="default"/>
          <w:color w:val="auto"/>
          <w:highlight w:val="none"/>
          <w:lang w:val="id-ID"/>
        </w:rPr>
        <w:t xml:space="preserve">dijadikan subjek. Sebanyak 77 subjek menyelesaikan keenam instrumen sesi 1, dan analisis hubungan menggunakan 74 subjek yang memiliki data identitas, pengetahuan, sikap, dan media sosial yang lengkap dan valid. Satu subjek dikeluarkan karena formulir identitasnya diisi oleh pasangannya, dan pada subjek dengan dua peran (masuk sebagai calon suami dan calon istri) dikoreksi kesesuaiannya dengan data pendaftaran. </w:t>
      </w:r>
    </w:p>
    <w:p w14:paraId="3B65E78D">
      <w:pPr>
        <w:spacing w:before="0" w:after="0"/>
        <w:ind w:firstLine="567"/>
        <w:jc w:val="both"/>
        <w:rPr>
          <w:color w:val="auto"/>
          <w:highlight w:val="none"/>
        </w:rPr>
      </w:pPr>
      <w:r>
        <w:rPr>
          <w:color w:val="auto"/>
          <w:highlight w:val="none"/>
        </w:rPr>
        <w:t>Pengetahuan gizi prakonsepsi dinyatakan sebagai persentase jawaban benar (valid bila ≥39 butir dijawab; KR-20=0,90</w:t>
      </w:r>
      <w:r>
        <w:rPr>
          <w:rFonts w:hint="default"/>
          <w:color w:val="auto"/>
          <w:highlight w:val="none"/>
          <w:lang w:val="id-ID"/>
        </w:rPr>
        <w:t xml:space="preserve">4; </w:t>
      </w:r>
      <w:r>
        <w:rPr>
          <w:color w:val="auto"/>
          <w:highlight w:val="none"/>
        </w:rPr>
        <w:t>Kuder-Richardson</w:t>
      </w:r>
      <w:r>
        <w:rPr>
          <w:rFonts w:hint="default"/>
          <w:color w:val="auto"/>
          <w:highlight w:val="none"/>
          <w:lang w:val="id-ID"/>
        </w:rPr>
        <w:t xml:space="preserve"> </w:t>
      </w:r>
      <w:r>
        <w:rPr>
          <w:color w:val="auto"/>
          <w:highlight w:val="none"/>
        </w:rPr>
        <w:t xml:space="preserve">Formula 20) dan dikategorikan baik (&gt;80%), sedang (60–80%), atau kurang (&lt;60%) </w:t>
      </w:r>
      <w:r>
        <w:rPr>
          <w:color w:val="auto"/>
          <w:highlight w:val="none"/>
        </w:rPr>
        <w:t>(Khomsan 2022)</w:t>
      </w:r>
      <w:r>
        <w:rPr>
          <w:color w:val="auto"/>
          <w:highlight w:val="none"/>
        </w:rPr>
        <w:t xml:space="preserve">. </w:t>
      </w:r>
      <w:r>
        <w:rPr>
          <w:rFonts w:hint="default"/>
          <w:color w:val="auto"/>
          <w:highlight w:val="none"/>
        </w:rPr>
        <w:t>Sikap diukur dengan 24 butir pernyataan yang mewakili enam konstruk HBM (masing-masing empat butir) menggunakan skala Likert empat poin, dengan skor total 24–96 (Cronbach’s alpha=0,955). Sikap digolongkan positif bila skornya ≥72 (median data awal).</w:t>
      </w:r>
      <w:r>
        <w:rPr>
          <w:rFonts w:hint="default"/>
          <w:color w:val="auto"/>
          <w:highlight w:val="none"/>
          <w:lang w:val="id-ID"/>
        </w:rPr>
        <w:t xml:space="preserve"> Kuesioner medsos digunakan untuk menggambarkan pola penggunaan media sosial dan perilaku pencarian informasi gizi dan kesehatan, mencakup platform utama, frekuensi akses (dalam lima kategori) yang diadaptasi dari survei Pew Research Center (Faverio dan Sidoti 2024), durasi penggunaan harian dan per sesi, sumber informasi, pencarian dan verifikasi informasi prakonsepsi, serta ketertarikan terhadap produk yang dipromosikan. </w:t>
      </w:r>
      <w:r>
        <w:rPr>
          <w:color w:val="auto"/>
          <w:highlight w:val="none"/>
        </w:rPr>
        <w:t>IMT dihitung dari berat dan tinggi badan yang di</w:t>
      </w:r>
      <w:r>
        <w:rPr>
          <w:rFonts w:hint="default"/>
          <w:color w:val="auto"/>
          <w:highlight w:val="none"/>
          <w:lang w:val="id-ID"/>
        </w:rPr>
        <w:t xml:space="preserve">isi manual oleh setiap catin </w:t>
      </w:r>
      <w:r>
        <w:rPr>
          <w:color w:val="auto"/>
          <w:highlight w:val="none"/>
        </w:rPr>
        <w:t>dan dikategorikan menurut PNPK Obesitas Dewasa (</w:t>
      </w:r>
      <w:r>
        <w:rPr>
          <w:color w:val="auto"/>
          <w:highlight w:val="none"/>
        </w:rPr>
        <w:t>Kemenkes</w:t>
      </w:r>
      <w:r>
        <w:rPr>
          <w:color w:val="auto"/>
          <w:highlight w:val="none"/>
        </w:rPr>
        <w:t xml:space="preserve"> RI 2025). </w:t>
      </w:r>
      <w:r>
        <w:rPr>
          <w:rFonts w:hint="default"/>
          <w:color w:val="auto"/>
          <w:highlight w:val="none"/>
          <w:lang w:val="id-ID"/>
        </w:rPr>
        <w:t>Indikator proses meliputi penyelesaian setiap instrumen, lama pengisian berdasarkan catatan waktu (</w:t>
      </w:r>
      <w:r>
        <w:rPr>
          <w:rFonts w:hint="default"/>
          <w:i/>
          <w:iCs/>
          <w:color w:val="auto"/>
          <w:highlight w:val="none"/>
          <w:lang w:val="id-ID"/>
        </w:rPr>
        <w:t>timestamp</w:t>
      </w:r>
      <w:r>
        <w:rPr>
          <w:rFonts w:hint="default"/>
          <w:color w:val="auto"/>
          <w:highlight w:val="none"/>
          <w:lang w:val="id-ID"/>
        </w:rPr>
        <w:t xml:space="preserve">) kiriman, kiriman ganda, rekaman karantina dan data yang hilang. Sebagai data pendukung, kemudahan dan keterbacaan platform dinilai lebih awal oleh 15 orang mahasiswa dari wilayah penelitian (lima aspek, skala 1–5). </w:t>
      </w:r>
    </w:p>
    <w:p w14:paraId="3CDF3814">
      <w:pPr>
        <w:keepNext/>
        <w:spacing w:before="120" w:after="60"/>
        <w:jc w:val="left"/>
        <w:rPr>
          <w:color w:val="auto"/>
          <w:highlight w:val="none"/>
        </w:rPr>
      </w:pPr>
      <w:r>
        <w:rPr>
          <w:b/>
          <w:color w:val="auto"/>
          <w:highlight w:val="none"/>
        </w:rPr>
        <w:t>Pengolahan dan Analisis Data</w:t>
      </w:r>
    </w:p>
    <w:p w14:paraId="69D2C3E0">
      <w:pPr>
        <w:spacing w:before="0" w:after="0"/>
        <w:ind w:firstLine="567"/>
        <w:jc w:val="both"/>
        <w:rPr>
          <w:rFonts w:hint="default"/>
          <w:color w:val="auto"/>
          <w:highlight w:val="none"/>
          <w:lang w:val="id-ID"/>
        </w:rPr>
      </w:pPr>
      <w:r>
        <w:rPr>
          <w:rFonts w:hint="default"/>
          <w:color w:val="auto"/>
          <w:highlight w:val="none"/>
          <w:lang w:val="id-ID"/>
        </w:rPr>
        <w:t>Data tidak berdistribusi normal (uji Shapiro-Wilk, p&lt;0,05), sehingga digunakan korelasi Spearman, uji Mann-Whitney untuk dua kelompok, dan uji Kruskal-Wallis untuk lebih dari dua kelompok. Hubungan yang bermakna diuji ulang dengan mengontrol peran (catin perempuan atau laki-laki). Perbandingan menurut peran menggunakan uji Mann-Whitney serta uji khi-kuadrat atau eksak Fisher, dan indikator proses sebelum dan sesudah perubahan platform pada pertengahan Oktober 2026 dibandingkan secara eksploratif dengan uji eksak Fisher. Tingkat kemaknaan ditetapkan pada p&lt;0,05, dan analisis dilakukan dengan Python serta diverifikasi dengan SPSS.</w:t>
      </w:r>
    </w:p>
    <w:p w14:paraId="11211992">
      <w:pPr>
        <w:keepNext/>
        <w:spacing w:before="240" w:after="120"/>
        <w:jc w:val="center"/>
        <w:rPr>
          <w:color w:val="auto"/>
          <w:highlight w:val="none"/>
        </w:rPr>
      </w:pPr>
      <w:r>
        <w:rPr>
          <w:b/>
          <w:color w:val="auto"/>
          <w:highlight w:val="none"/>
        </w:rPr>
        <w:t>HASIL DAN PEMBAHASAN</w:t>
      </w:r>
    </w:p>
    <w:p w14:paraId="7068A94F">
      <w:pPr>
        <w:keepNext/>
        <w:spacing w:before="120" w:after="60"/>
        <w:jc w:val="left"/>
        <w:rPr>
          <w:color w:val="auto"/>
          <w:highlight w:val="none"/>
        </w:rPr>
      </w:pPr>
      <w:r>
        <w:rPr>
          <w:b/>
          <w:color w:val="auto"/>
          <w:highlight w:val="none"/>
        </w:rPr>
        <w:t>Pengembangan dan Kinerja Platform</w:t>
      </w:r>
    </w:p>
    <w:p w14:paraId="1C75C1D3">
      <w:pPr>
        <w:spacing w:before="0" w:after="0"/>
        <w:ind w:firstLine="567"/>
        <w:jc w:val="both"/>
        <w:rPr>
          <w:rFonts w:hint="default"/>
          <w:color w:val="auto"/>
          <w:highlight w:val="none"/>
          <w:lang w:val="id-ID"/>
        </w:rPr>
      </w:pPr>
      <w:r>
        <w:rPr>
          <w:rFonts w:hint="default"/>
          <w:color w:val="auto"/>
          <w:highlight w:val="none"/>
          <w:lang w:val="id-ID"/>
        </w:rPr>
        <w:t>Platform dikembangkan secara iteratif selama pengumpulan data, dengan masalah utama dan perubahan yang dilakukan disajikan pada Tabel 1. Dari 1.344 rekaman mentah (tidak termasuk rekaman uji), 186 (13,8%) merupakan kiriman berulang, dan 127 di antaranya (68,3%) berasal dari halaman pendaftaran dan persetujuan yang terbuka ulang setiap kali peserta kembali ke platform. Dua nomor telepon digunakan oleh lebih dari satu orang, dan 22 dari 23 rekaman karantina terjadi pada minggu pertama, terutama akibat format nomor telepon yang belum dinormalisasi dan uji coba skrip baru. Sebelum perbaikan pada pertengahan Oktober, blok makanan pokok FFQ kosong pada 29 dari 108 kiriman (26,9%) tanpa disadari peserta; setelah simpan draf otomatis diterapkan, masalah ini tidak terjadi lagi (0 dari 13; p=0,04).</w:t>
      </w:r>
    </w:p>
    <w:p w14:paraId="039CFD3A">
      <w:pPr>
        <w:keepNext/>
        <w:spacing w:before="160" w:after="60"/>
        <w:jc w:val="center"/>
        <w:rPr>
          <w:color w:val="auto"/>
          <w:highlight w:val="none"/>
        </w:rPr>
      </w:pPr>
      <w:r>
        <w:rPr>
          <w:color w:val="auto"/>
          <w:sz w:val="22"/>
          <w:highlight w:val="none"/>
        </w:rPr>
        <w:t>Tabel 1 Masalah utama dan perubahan platform SHINING kelompok kontrol</w:t>
      </w:r>
    </w:p>
    <w:tbl>
      <w:tblPr>
        <w:tblStyle w:val="12"/>
        <w:tblW w:w="0" w:type="auto"/>
        <w:jc w:val="center"/>
        <w:tblLayout w:type="fixed"/>
        <w:tblCellMar>
          <w:top w:w="0" w:type="dxa"/>
          <w:left w:w="108" w:type="dxa"/>
          <w:bottom w:w="0" w:type="dxa"/>
          <w:right w:w="108" w:type="dxa"/>
        </w:tblCellMar>
      </w:tblPr>
      <w:tblGrid>
        <w:gridCol w:w="1494"/>
        <w:gridCol w:w="3722"/>
        <w:gridCol w:w="3741"/>
      </w:tblGrid>
      <w:tr w14:paraId="28ECDAD4">
        <w:tblPrEx>
          <w:tblCellMar>
            <w:top w:w="0" w:type="dxa"/>
            <w:left w:w="108" w:type="dxa"/>
            <w:bottom w:w="0" w:type="dxa"/>
            <w:right w:w="108" w:type="dxa"/>
          </w:tblCellMar>
        </w:tblPrEx>
        <w:trPr>
          <w:jc w:val="center"/>
        </w:trPr>
        <w:tc>
          <w:tcPr>
            <w:tcW w:w="1494" w:type="dxa"/>
            <w:tcBorders>
              <w:top w:val="single" w:color="000000" w:sz="6" w:space="0"/>
              <w:bottom w:val="single" w:color="000000" w:sz="6" w:space="0"/>
            </w:tcBorders>
          </w:tcPr>
          <w:p w14:paraId="6A21E97E">
            <w:pPr>
              <w:keepNext/>
              <w:jc w:val="left"/>
              <w:rPr>
                <w:color w:val="auto"/>
                <w:highlight w:val="none"/>
              </w:rPr>
            </w:pPr>
            <w:r>
              <w:rPr>
                <w:b/>
                <w:color w:val="auto"/>
                <w:sz w:val="20"/>
                <w:highlight w:val="none"/>
              </w:rPr>
              <w:t>Periode</w:t>
            </w:r>
          </w:p>
        </w:tc>
        <w:tc>
          <w:tcPr>
            <w:tcW w:w="3722" w:type="dxa"/>
            <w:tcBorders>
              <w:top w:val="single" w:color="000000" w:sz="6" w:space="0"/>
              <w:bottom w:val="single" w:color="000000" w:sz="6" w:space="0"/>
            </w:tcBorders>
          </w:tcPr>
          <w:p w14:paraId="4436B9C5">
            <w:pPr>
              <w:keepNext/>
              <w:jc w:val="center"/>
              <w:rPr>
                <w:color w:val="auto"/>
                <w:highlight w:val="none"/>
              </w:rPr>
            </w:pPr>
            <w:r>
              <w:rPr>
                <w:b/>
                <w:color w:val="auto"/>
                <w:sz w:val="20"/>
                <w:highlight w:val="none"/>
              </w:rPr>
              <w:t>Masalah yang terdeteksi</w:t>
            </w:r>
          </w:p>
        </w:tc>
        <w:tc>
          <w:tcPr>
            <w:tcW w:w="3741" w:type="dxa"/>
            <w:tcBorders>
              <w:top w:val="single" w:color="000000" w:sz="6" w:space="0"/>
              <w:bottom w:val="single" w:color="000000" w:sz="6" w:space="0"/>
            </w:tcBorders>
          </w:tcPr>
          <w:p w14:paraId="29E3A396">
            <w:pPr>
              <w:keepNext/>
              <w:jc w:val="center"/>
              <w:rPr>
                <w:color w:val="auto"/>
                <w:highlight w:val="none"/>
              </w:rPr>
            </w:pPr>
            <w:r>
              <w:rPr>
                <w:b/>
                <w:color w:val="auto"/>
                <w:sz w:val="20"/>
                <w:highlight w:val="none"/>
              </w:rPr>
              <w:t>Perubahan</w:t>
            </w:r>
          </w:p>
        </w:tc>
      </w:tr>
      <w:tr w14:paraId="34FD85A0">
        <w:tblPrEx>
          <w:tblCellMar>
            <w:top w:w="0" w:type="dxa"/>
            <w:left w:w="108" w:type="dxa"/>
            <w:bottom w:w="0" w:type="dxa"/>
            <w:right w:w="108" w:type="dxa"/>
          </w:tblCellMar>
        </w:tblPrEx>
        <w:trPr>
          <w:jc w:val="center"/>
        </w:trPr>
        <w:tc>
          <w:tcPr>
            <w:tcW w:w="1494" w:type="dxa"/>
          </w:tcPr>
          <w:p w14:paraId="4E6AC3A3">
            <w:pPr>
              <w:keepNext/>
              <w:jc w:val="left"/>
              <w:rPr>
                <w:color w:val="auto"/>
                <w:highlight w:val="none"/>
              </w:rPr>
            </w:pPr>
            <w:r>
              <w:rPr>
                <w:color w:val="auto"/>
                <w:sz w:val="20"/>
                <w:highlight w:val="none"/>
              </w:rPr>
              <w:t>Akhir Juli 2026</w:t>
            </w:r>
          </w:p>
        </w:tc>
        <w:tc>
          <w:tcPr>
            <w:tcW w:w="3722" w:type="dxa"/>
          </w:tcPr>
          <w:p w14:paraId="6F6EAD9D">
            <w:pPr>
              <w:keepNext/>
              <w:jc w:val="left"/>
              <w:rPr>
                <w:color w:val="auto"/>
                <w:highlight w:val="none"/>
              </w:rPr>
            </w:pPr>
            <w:r>
              <w:rPr>
                <w:color w:val="auto"/>
                <w:sz w:val="20"/>
                <w:highlight w:val="none"/>
              </w:rPr>
              <w:t>Halaman persetujuan tidak tersimpan; angka nol di depan nomor telepon</w:t>
            </w:r>
            <w:r>
              <w:rPr>
                <w:rFonts w:hint="default"/>
                <w:color w:val="auto"/>
                <w:sz w:val="20"/>
                <w:highlight w:val="none"/>
                <w:lang w:val="id-ID"/>
              </w:rPr>
              <w:t>/HP</w:t>
            </w:r>
            <w:r>
              <w:rPr>
                <w:color w:val="auto"/>
                <w:sz w:val="20"/>
                <w:highlight w:val="none"/>
              </w:rPr>
              <w:t xml:space="preserve"> hilang; tanda “selesai” hanya disimpan di HP atau browser </w:t>
            </w:r>
            <w:r>
              <w:rPr>
                <w:rFonts w:hint="default"/>
                <w:color w:val="auto"/>
                <w:sz w:val="20"/>
                <w:highlight w:val="none"/>
                <w:lang w:val="id-ID"/>
              </w:rPr>
              <w:t xml:space="preserve">catin, </w:t>
            </w:r>
            <w:r>
              <w:rPr>
                <w:color w:val="auto"/>
                <w:sz w:val="20"/>
                <w:highlight w:val="none"/>
              </w:rPr>
              <w:t>bukan di server penelitian</w:t>
            </w:r>
          </w:p>
        </w:tc>
        <w:tc>
          <w:tcPr>
            <w:tcW w:w="3741" w:type="dxa"/>
          </w:tcPr>
          <w:p w14:paraId="30CA83E6">
            <w:pPr>
              <w:keepNext/>
              <w:jc w:val="left"/>
              <w:rPr>
                <w:rFonts w:hint="default"/>
                <w:color w:val="auto"/>
                <w:highlight w:val="none"/>
                <w:lang w:val="id-ID"/>
              </w:rPr>
            </w:pPr>
            <w:r>
              <w:rPr>
                <w:color w:val="auto"/>
                <w:sz w:val="20"/>
                <w:highlight w:val="none"/>
              </w:rPr>
              <w:t>Skrip ditulis ulang (normalisasi nomor, lembar karantina, penanda duplikat); status selesai dikonfirmasi server; pencegahan ketuk ganda</w:t>
            </w:r>
            <w:r>
              <w:rPr>
                <w:rFonts w:hint="default"/>
                <w:color w:val="auto"/>
                <w:sz w:val="20"/>
                <w:highlight w:val="none"/>
                <w:lang w:val="id-ID"/>
              </w:rPr>
              <w:t>/pengiriman berulang akibat klik kirim lebih dari satu kali</w:t>
            </w:r>
          </w:p>
        </w:tc>
      </w:tr>
      <w:tr w14:paraId="14E79FCF">
        <w:tblPrEx>
          <w:tblCellMar>
            <w:top w:w="0" w:type="dxa"/>
            <w:left w:w="108" w:type="dxa"/>
            <w:bottom w:w="0" w:type="dxa"/>
            <w:right w:w="108" w:type="dxa"/>
          </w:tblCellMar>
        </w:tblPrEx>
        <w:trPr>
          <w:jc w:val="center"/>
        </w:trPr>
        <w:tc>
          <w:tcPr>
            <w:tcW w:w="1494" w:type="dxa"/>
          </w:tcPr>
          <w:p w14:paraId="472EB550">
            <w:pPr>
              <w:keepNext/>
              <w:jc w:val="left"/>
              <w:rPr>
                <w:color w:val="auto"/>
                <w:highlight w:val="none"/>
              </w:rPr>
            </w:pPr>
            <w:r>
              <w:rPr>
                <w:color w:val="auto"/>
                <w:sz w:val="20"/>
                <w:highlight w:val="none"/>
              </w:rPr>
              <w:t>Agustus 2026</w:t>
            </w:r>
          </w:p>
        </w:tc>
        <w:tc>
          <w:tcPr>
            <w:tcW w:w="3722" w:type="dxa"/>
          </w:tcPr>
          <w:p w14:paraId="0F011B8E">
            <w:pPr>
              <w:keepNext/>
              <w:jc w:val="left"/>
              <w:rPr>
                <w:color w:val="auto"/>
                <w:highlight w:val="none"/>
              </w:rPr>
            </w:pPr>
            <w:r>
              <w:rPr>
                <w:color w:val="auto"/>
                <w:sz w:val="20"/>
                <w:highlight w:val="none"/>
              </w:rPr>
              <w:t>Penilaian kemudahan dan keterbacaan oleh 1</w:t>
            </w:r>
            <w:r>
              <w:rPr>
                <w:rFonts w:hint="default"/>
                <w:color w:val="auto"/>
                <w:sz w:val="20"/>
                <w:highlight w:val="none"/>
                <w:lang w:val="id-ID"/>
              </w:rPr>
              <w:t>5</w:t>
            </w:r>
            <w:r>
              <w:rPr>
                <w:color w:val="auto"/>
                <w:sz w:val="20"/>
                <w:highlight w:val="none"/>
              </w:rPr>
              <w:t xml:space="preserve"> mahasiswa</w:t>
            </w:r>
          </w:p>
        </w:tc>
        <w:tc>
          <w:tcPr>
            <w:tcW w:w="3741" w:type="dxa"/>
          </w:tcPr>
          <w:p w14:paraId="5ED686FD">
            <w:pPr>
              <w:keepNext/>
              <w:jc w:val="left"/>
              <w:rPr>
                <w:rFonts w:hint="default"/>
                <w:color w:val="auto"/>
                <w:highlight w:val="none"/>
                <w:lang w:val="id-ID"/>
              </w:rPr>
            </w:pPr>
            <w:r>
              <w:rPr>
                <w:color w:val="auto"/>
                <w:sz w:val="20"/>
                <w:highlight w:val="none"/>
              </w:rPr>
              <w:t>Tidak ada masalah besar yang dilaporkan</w:t>
            </w:r>
          </w:p>
        </w:tc>
      </w:tr>
      <w:tr w14:paraId="6FDDEF7C">
        <w:tblPrEx>
          <w:tblCellMar>
            <w:top w:w="0" w:type="dxa"/>
            <w:left w:w="108" w:type="dxa"/>
            <w:bottom w:w="0" w:type="dxa"/>
            <w:right w:w="108" w:type="dxa"/>
          </w:tblCellMar>
        </w:tblPrEx>
        <w:trPr>
          <w:jc w:val="center"/>
        </w:trPr>
        <w:tc>
          <w:tcPr>
            <w:tcW w:w="1494" w:type="dxa"/>
          </w:tcPr>
          <w:p w14:paraId="79860E4A">
            <w:pPr>
              <w:keepNext/>
              <w:jc w:val="left"/>
              <w:rPr>
                <w:color w:val="auto"/>
                <w:highlight w:val="none"/>
              </w:rPr>
            </w:pPr>
            <w:r>
              <w:rPr>
                <w:color w:val="auto"/>
                <w:sz w:val="20"/>
                <w:highlight w:val="none"/>
              </w:rPr>
              <w:t>Awal Oktober 2026</w:t>
            </w:r>
          </w:p>
        </w:tc>
        <w:tc>
          <w:tcPr>
            <w:tcW w:w="3722" w:type="dxa"/>
          </w:tcPr>
          <w:p w14:paraId="09849BBF">
            <w:pPr>
              <w:keepNext/>
              <w:jc w:val="left"/>
              <w:rPr>
                <w:color w:val="auto"/>
                <w:highlight w:val="none"/>
              </w:rPr>
            </w:pPr>
            <w:r>
              <w:rPr>
                <w:color w:val="auto"/>
                <w:sz w:val="20"/>
                <w:highlight w:val="none"/>
              </w:rPr>
              <w:t>Progres hilang saat berganti telepon; isian kosong</w:t>
            </w:r>
          </w:p>
        </w:tc>
        <w:tc>
          <w:tcPr>
            <w:tcW w:w="3741" w:type="dxa"/>
          </w:tcPr>
          <w:p w14:paraId="7C9AD8CD">
            <w:pPr>
              <w:keepNext/>
              <w:jc w:val="left"/>
              <w:rPr>
                <w:color w:val="auto"/>
                <w:highlight w:val="none"/>
              </w:rPr>
            </w:pPr>
            <w:r>
              <w:rPr>
                <w:color w:val="auto"/>
                <w:sz w:val="20"/>
                <w:highlight w:val="none"/>
              </w:rPr>
              <w:t>Progres dilacak per nomor telepon; validasi isian kosong</w:t>
            </w:r>
            <w:r>
              <w:rPr>
                <w:rFonts w:hint="default"/>
                <w:color w:val="auto"/>
                <w:sz w:val="20"/>
                <w:highlight w:val="none"/>
                <w:lang w:val="id-ID"/>
              </w:rPr>
              <w:t xml:space="preserve"> untuk menghindari ada yang belum diisi</w:t>
            </w:r>
            <w:r>
              <w:rPr>
                <w:color w:val="auto"/>
                <w:sz w:val="20"/>
                <w:highlight w:val="none"/>
              </w:rPr>
              <w:t>; pengiriman ulang otomatis</w:t>
            </w:r>
          </w:p>
        </w:tc>
      </w:tr>
      <w:tr w14:paraId="041AA217">
        <w:tblPrEx>
          <w:tblCellMar>
            <w:top w:w="0" w:type="dxa"/>
            <w:left w:w="108" w:type="dxa"/>
            <w:bottom w:w="0" w:type="dxa"/>
            <w:right w:w="108" w:type="dxa"/>
          </w:tblCellMar>
        </w:tblPrEx>
        <w:trPr>
          <w:jc w:val="center"/>
        </w:trPr>
        <w:tc>
          <w:tcPr>
            <w:tcW w:w="1494" w:type="dxa"/>
          </w:tcPr>
          <w:p w14:paraId="5F4C9EEE">
            <w:pPr>
              <w:keepNext/>
              <w:jc w:val="left"/>
              <w:rPr>
                <w:color w:val="auto"/>
                <w:highlight w:val="none"/>
              </w:rPr>
            </w:pPr>
            <w:r>
              <w:rPr>
                <w:color w:val="auto"/>
                <w:sz w:val="20"/>
                <w:highlight w:val="none"/>
              </w:rPr>
              <w:t>Pertengahan Oktober 2026</w:t>
            </w:r>
          </w:p>
        </w:tc>
        <w:tc>
          <w:tcPr>
            <w:tcW w:w="3722" w:type="dxa"/>
          </w:tcPr>
          <w:p w14:paraId="0B15E13D">
            <w:pPr>
              <w:keepNext/>
              <w:jc w:val="left"/>
              <w:rPr>
                <w:color w:val="auto"/>
                <w:highlight w:val="none"/>
              </w:rPr>
            </w:pPr>
            <w:r>
              <w:rPr>
                <w:color w:val="auto"/>
                <w:sz w:val="20"/>
                <w:highlight w:val="none"/>
              </w:rPr>
              <w:t xml:space="preserve">Blok makanan pokok FFQ hilang saat dikirim; halaman awal </w:t>
            </w:r>
            <w:r>
              <w:rPr>
                <w:rFonts w:hint="default"/>
                <w:color w:val="auto"/>
                <w:sz w:val="20"/>
                <w:highlight w:val="none"/>
                <w:lang w:val="id-ID"/>
              </w:rPr>
              <w:t>beberapa tahap</w:t>
            </w:r>
          </w:p>
        </w:tc>
        <w:tc>
          <w:tcPr>
            <w:tcW w:w="3741" w:type="dxa"/>
          </w:tcPr>
          <w:p w14:paraId="0F9AFF01">
            <w:pPr>
              <w:keepNext/>
              <w:jc w:val="left"/>
              <w:rPr>
                <w:color w:val="auto"/>
                <w:highlight w:val="none"/>
              </w:rPr>
            </w:pPr>
            <w:r>
              <w:rPr>
                <w:color w:val="auto"/>
                <w:sz w:val="20"/>
                <w:highlight w:val="none"/>
              </w:rPr>
              <w:t>Simpan draf</w:t>
            </w:r>
            <w:r>
              <w:rPr>
                <w:rFonts w:hint="default"/>
                <w:color w:val="auto"/>
                <w:sz w:val="20"/>
                <w:highlight w:val="none"/>
                <w:lang w:val="id-ID"/>
              </w:rPr>
              <w:t>t</w:t>
            </w:r>
            <w:r>
              <w:rPr>
                <w:color w:val="auto"/>
                <w:sz w:val="20"/>
                <w:highlight w:val="none"/>
              </w:rPr>
              <w:t xml:space="preserve"> otomatis; blok makanan pokok wajib; persetujuan berlapis dan kartu "selamat datang kembali"</w:t>
            </w:r>
          </w:p>
        </w:tc>
      </w:tr>
      <w:tr w14:paraId="51DC7CB9">
        <w:tblPrEx>
          <w:tblCellMar>
            <w:top w:w="0" w:type="dxa"/>
            <w:left w:w="108" w:type="dxa"/>
            <w:bottom w:w="0" w:type="dxa"/>
            <w:right w:w="108" w:type="dxa"/>
          </w:tblCellMar>
        </w:tblPrEx>
        <w:trPr>
          <w:jc w:val="center"/>
        </w:trPr>
        <w:tc>
          <w:tcPr>
            <w:tcW w:w="1494" w:type="dxa"/>
            <w:tcBorders>
              <w:bottom w:val="single" w:color="000000" w:sz="6" w:space="0"/>
            </w:tcBorders>
          </w:tcPr>
          <w:p w14:paraId="7838B89F">
            <w:pPr>
              <w:keepNext/>
              <w:jc w:val="left"/>
              <w:rPr>
                <w:color w:val="auto"/>
                <w:highlight w:val="none"/>
              </w:rPr>
            </w:pPr>
            <w:r>
              <w:rPr>
                <w:color w:val="auto"/>
                <w:sz w:val="20"/>
                <w:highlight w:val="none"/>
              </w:rPr>
              <w:t>Akhir Oktober 2026</w:t>
            </w:r>
          </w:p>
        </w:tc>
        <w:tc>
          <w:tcPr>
            <w:tcW w:w="3722" w:type="dxa"/>
            <w:tcBorders>
              <w:bottom w:val="single" w:color="000000" w:sz="6" w:space="0"/>
            </w:tcBorders>
          </w:tcPr>
          <w:p w14:paraId="660060F9">
            <w:pPr>
              <w:keepNext/>
              <w:jc w:val="left"/>
              <w:rPr>
                <w:color w:val="auto"/>
                <w:highlight w:val="none"/>
              </w:rPr>
            </w:pPr>
            <w:r>
              <w:rPr>
                <w:color w:val="auto"/>
                <w:sz w:val="20"/>
                <w:highlight w:val="none"/>
              </w:rPr>
              <w:t>Pendaftaran kelompok kontrol ditutup</w:t>
            </w:r>
          </w:p>
        </w:tc>
        <w:tc>
          <w:tcPr>
            <w:tcW w:w="3741" w:type="dxa"/>
            <w:tcBorders>
              <w:bottom w:val="single" w:color="000000" w:sz="6" w:space="0"/>
            </w:tcBorders>
          </w:tcPr>
          <w:p w14:paraId="2CF84381">
            <w:pPr>
              <w:keepNext/>
              <w:jc w:val="left"/>
              <w:rPr>
                <w:color w:val="auto"/>
                <w:highlight w:val="none"/>
              </w:rPr>
            </w:pPr>
            <w:r>
              <w:rPr>
                <w:color w:val="auto"/>
                <w:sz w:val="20"/>
                <w:highlight w:val="none"/>
              </w:rPr>
              <w:t>Data dikunci untuk analisis</w:t>
            </w:r>
          </w:p>
        </w:tc>
      </w:tr>
    </w:tbl>
    <w:p w14:paraId="1AC3DEA2">
      <w:pPr>
        <w:spacing w:before="40" w:after="120"/>
        <w:jc w:val="left"/>
        <w:rPr>
          <w:color w:val="auto"/>
          <w:highlight w:val="none"/>
        </w:rPr>
      </w:pPr>
      <w:r>
        <w:rPr>
          <w:color w:val="auto"/>
          <w:sz w:val="18"/>
          <w:highlight w:val="none"/>
        </w:rPr>
        <w:t>FFQ: kuesioner frekuensi pangan.</w:t>
      </w:r>
    </w:p>
    <w:p w14:paraId="6F598BC9">
      <w:pPr>
        <w:spacing w:before="0" w:after="0"/>
        <w:ind w:firstLine="567"/>
        <w:jc w:val="both"/>
        <w:rPr>
          <w:color w:val="auto"/>
          <w:highlight w:val="none"/>
        </w:rPr>
      </w:pPr>
      <w:r>
        <w:rPr>
          <w:color w:val="auto"/>
          <w:highlight w:val="none"/>
        </w:rPr>
        <w:t>Dari 198 catin, 161 (81,3%) mengisi formulir identitas, tetapi hanya 107 (54,0%) melanjutkan ke tes pengetahuan, instrumen terpanjang dengan median waktu pengisian 16,7 menit. Sebanyak 77 catin (38,9%) menyelesaikan keenam instrumen dan 59 (29,8%) memiliki data valid pada keenamnya (Tabel 2). Dari 77 catin tersebut, 45,5% selesai dalam satu jam dan 70,1% dalam 24 jam. Setelah perbaikan platform pada pertengahan Oktober, penyelesaian sesi 1 meningkat dari 37,2% menjadi 55,6%, meskipun tidak bermakna (</w:t>
      </w:r>
      <w:r>
        <w:rPr>
          <w:i/>
          <w:color w:val="auto"/>
          <w:highlight w:val="none"/>
        </w:rPr>
        <w:t>p</w:t>
      </w:r>
      <w:r>
        <w:rPr>
          <w:color w:val="auto"/>
          <w:highlight w:val="none"/>
        </w:rPr>
        <w:t>=0,137).</w:t>
      </w:r>
    </w:p>
    <w:p w14:paraId="194B8F2C">
      <w:pPr>
        <w:keepNext/>
        <w:spacing w:before="160" w:after="60"/>
        <w:jc w:val="center"/>
        <w:rPr>
          <w:color w:val="auto"/>
          <w:highlight w:val="none"/>
        </w:rPr>
      </w:pPr>
      <w:r>
        <w:rPr>
          <w:color w:val="auto"/>
          <w:sz w:val="22"/>
          <w:highlight w:val="none"/>
        </w:rPr>
        <w:t>Tabel 2 Penyelesaian dan waktu pengisian instrumen sesi 1 (n=198)</w:t>
      </w:r>
    </w:p>
    <w:tbl>
      <w:tblPr>
        <w:tblStyle w:val="12"/>
        <w:tblW w:w="0" w:type="auto"/>
        <w:jc w:val="center"/>
        <w:tblLayout w:type="fixed"/>
        <w:tblCellMar>
          <w:top w:w="0" w:type="dxa"/>
          <w:left w:w="108" w:type="dxa"/>
          <w:bottom w:w="0" w:type="dxa"/>
          <w:right w:w="108" w:type="dxa"/>
        </w:tblCellMar>
      </w:tblPr>
      <w:tblGrid>
        <w:gridCol w:w="3402"/>
        <w:gridCol w:w="1701"/>
        <w:gridCol w:w="1134"/>
        <w:gridCol w:w="2381"/>
      </w:tblGrid>
      <w:tr w14:paraId="4E225C21">
        <w:tblPrEx>
          <w:tblCellMar>
            <w:top w:w="0" w:type="dxa"/>
            <w:left w:w="108" w:type="dxa"/>
            <w:bottom w:w="0" w:type="dxa"/>
            <w:right w:w="108" w:type="dxa"/>
          </w:tblCellMar>
        </w:tblPrEx>
        <w:trPr>
          <w:jc w:val="center"/>
        </w:trPr>
        <w:tc>
          <w:tcPr>
            <w:tcW w:w="3402" w:type="dxa"/>
            <w:tcBorders>
              <w:top w:val="single" w:color="000000" w:sz="6" w:space="0"/>
              <w:bottom w:val="single" w:color="000000" w:sz="6" w:space="0"/>
            </w:tcBorders>
          </w:tcPr>
          <w:p w14:paraId="53F0AE39">
            <w:pPr>
              <w:keepNext/>
              <w:jc w:val="center"/>
              <w:rPr>
                <w:color w:val="auto"/>
                <w:highlight w:val="none"/>
              </w:rPr>
            </w:pPr>
            <w:r>
              <w:rPr>
                <w:b/>
                <w:color w:val="auto"/>
                <w:sz w:val="20"/>
                <w:highlight w:val="none"/>
              </w:rPr>
              <w:t>Tahap sesi 1</w:t>
            </w:r>
          </w:p>
        </w:tc>
        <w:tc>
          <w:tcPr>
            <w:tcW w:w="1701" w:type="dxa"/>
            <w:tcBorders>
              <w:top w:val="single" w:color="000000" w:sz="6" w:space="0"/>
              <w:bottom w:val="single" w:color="000000" w:sz="6" w:space="0"/>
            </w:tcBorders>
          </w:tcPr>
          <w:p w14:paraId="0CA8C61F">
            <w:pPr>
              <w:keepNext/>
              <w:jc w:val="center"/>
              <w:rPr>
                <w:color w:val="auto"/>
                <w:highlight w:val="none"/>
              </w:rPr>
            </w:pPr>
            <w:r>
              <w:rPr>
                <w:b/>
                <w:color w:val="auto"/>
                <w:sz w:val="20"/>
                <w:highlight w:val="none"/>
              </w:rPr>
              <w:t>Dikirim, n (%)</w:t>
            </w:r>
          </w:p>
        </w:tc>
        <w:tc>
          <w:tcPr>
            <w:tcW w:w="1134" w:type="dxa"/>
            <w:tcBorders>
              <w:top w:val="single" w:color="000000" w:sz="6" w:space="0"/>
              <w:bottom w:val="single" w:color="000000" w:sz="6" w:space="0"/>
            </w:tcBorders>
          </w:tcPr>
          <w:p w14:paraId="15CC7823">
            <w:pPr>
              <w:keepNext/>
              <w:jc w:val="center"/>
              <w:rPr>
                <w:color w:val="auto"/>
                <w:highlight w:val="none"/>
              </w:rPr>
            </w:pPr>
            <w:r>
              <w:rPr>
                <w:b/>
                <w:color w:val="auto"/>
                <w:sz w:val="20"/>
                <w:highlight w:val="none"/>
              </w:rPr>
              <w:t>Valid, n</w:t>
            </w:r>
          </w:p>
        </w:tc>
        <w:tc>
          <w:tcPr>
            <w:tcW w:w="2381" w:type="dxa"/>
            <w:tcBorders>
              <w:top w:val="single" w:color="000000" w:sz="6" w:space="0"/>
              <w:bottom w:val="single" w:color="000000" w:sz="6" w:space="0"/>
            </w:tcBorders>
          </w:tcPr>
          <w:p w14:paraId="27169D7C">
            <w:pPr>
              <w:keepNext/>
              <w:jc w:val="center"/>
              <w:rPr>
                <w:color w:val="auto"/>
                <w:highlight w:val="none"/>
              </w:rPr>
            </w:pPr>
            <w:r>
              <w:rPr>
                <w:b/>
                <w:color w:val="auto"/>
                <w:sz w:val="20"/>
                <w:highlight w:val="none"/>
              </w:rPr>
              <w:t>Waktu (menit), median (RAK)</w:t>
            </w:r>
          </w:p>
        </w:tc>
      </w:tr>
      <w:tr w14:paraId="54BE9396">
        <w:tblPrEx>
          <w:tblCellMar>
            <w:top w:w="0" w:type="dxa"/>
            <w:left w:w="108" w:type="dxa"/>
            <w:bottom w:w="0" w:type="dxa"/>
            <w:right w:w="108" w:type="dxa"/>
          </w:tblCellMar>
        </w:tblPrEx>
        <w:trPr>
          <w:jc w:val="center"/>
        </w:trPr>
        <w:tc>
          <w:tcPr>
            <w:tcW w:w="3402" w:type="dxa"/>
          </w:tcPr>
          <w:p w14:paraId="003EAA0D">
            <w:pPr>
              <w:keepNext/>
              <w:jc w:val="left"/>
              <w:rPr>
                <w:color w:val="auto"/>
                <w:highlight w:val="none"/>
              </w:rPr>
            </w:pPr>
            <w:r>
              <w:rPr>
                <w:color w:val="auto"/>
                <w:sz w:val="20"/>
                <w:highlight w:val="none"/>
              </w:rPr>
              <w:t>Terdaftar (memenuhi syarat)</w:t>
            </w:r>
          </w:p>
        </w:tc>
        <w:tc>
          <w:tcPr>
            <w:tcW w:w="1701" w:type="dxa"/>
          </w:tcPr>
          <w:p w14:paraId="6D23402C">
            <w:pPr>
              <w:keepNext/>
              <w:jc w:val="center"/>
              <w:rPr>
                <w:color w:val="auto"/>
                <w:highlight w:val="none"/>
              </w:rPr>
            </w:pPr>
            <w:r>
              <w:rPr>
                <w:color w:val="auto"/>
                <w:sz w:val="20"/>
                <w:highlight w:val="none"/>
              </w:rPr>
              <w:t>198 (100,0)</w:t>
            </w:r>
          </w:p>
        </w:tc>
        <w:tc>
          <w:tcPr>
            <w:tcW w:w="1134" w:type="dxa"/>
          </w:tcPr>
          <w:p w14:paraId="73F6DBB6">
            <w:pPr>
              <w:keepNext/>
              <w:jc w:val="center"/>
              <w:rPr>
                <w:color w:val="auto"/>
                <w:highlight w:val="none"/>
              </w:rPr>
            </w:pPr>
            <w:r>
              <w:rPr>
                <w:color w:val="auto"/>
                <w:sz w:val="20"/>
                <w:highlight w:val="none"/>
              </w:rPr>
              <w:t>–</w:t>
            </w:r>
          </w:p>
        </w:tc>
        <w:tc>
          <w:tcPr>
            <w:tcW w:w="2381" w:type="dxa"/>
          </w:tcPr>
          <w:p w14:paraId="2FF1ACC5">
            <w:pPr>
              <w:keepNext/>
              <w:jc w:val="center"/>
              <w:rPr>
                <w:color w:val="auto"/>
                <w:highlight w:val="none"/>
              </w:rPr>
            </w:pPr>
            <w:r>
              <w:rPr>
                <w:color w:val="auto"/>
                <w:sz w:val="20"/>
                <w:highlight w:val="none"/>
              </w:rPr>
              <w:t>–</w:t>
            </w:r>
          </w:p>
        </w:tc>
      </w:tr>
      <w:tr w14:paraId="43AC7181">
        <w:tblPrEx>
          <w:tblCellMar>
            <w:top w:w="0" w:type="dxa"/>
            <w:left w:w="108" w:type="dxa"/>
            <w:bottom w:w="0" w:type="dxa"/>
            <w:right w:w="108" w:type="dxa"/>
          </w:tblCellMar>
        </w:tblPrEx>
        <w:trPr>
          <w:jc w:val="center"/>
        </w:trPr>
        <w:tc>
          <w:tcPr>
            <w:tcW w:w="3402" w:type="dxa"/>
          </w:tcPr>
          <w:p w14:paraId="05DBA031">
            <w:pPr>
              <w:keepNext/>
              <w:jc w:val="left"/>
              <w:rPr>
                <w:color w:val="auto"/>
                <w:highlight w:val="none"/>
              </w:rPr>
            </w:pPr>
            <w:r>
              <w:rPr>
                <w:color w:val="auto"/>
                <w:sz w:val="20"/>
                <w:highlight w:val="none"/>
              </w:rPr>
              <w:t>Persetujuan</w:t>
            </w:r>
          </w:p>
        </w:tc>
        <w:tc>
          <w:tcPr>
            <w:tcW w:w="1701" w:type="dxa"/>
          </w:tcPr>
          <w:p w14:paraId="3745CE3C">
            <w:pPr>
              <w:keepNext/>
              <w:jc w:val="center"/>
              <w:rPr>
                <w:color w:val="auto"/>
                <w:highlight w:val="none"/>
              </w:rPr>
            </w:pPr>
            <w:r>
              <w:rPr>
                <w:color w:val="auto"/>
                <w:sz w:val="20"/>
                <w:highlight w:val="none"/>
              </w:rPr>
              <w:t>171 (86,4)</w:t>
            </w:r>
          </w:p>
        </w:tc>
        <w:tc>
          <w:tcPr>
            <w:tcW w:w="1134" w:type="dxa"/>
          </w:tcPr>
          <w:p w14:paraId="2AB80673">
            <w:pPr>
              <w:keepNext/>
              <w:jc w:val="center"/>
              <w:rPr>
                <w:color w:val="auto"/>
                <w:highlight w:val="none"/>
              </w:rPr>
            </w:pPr>
            <w:r>
              <w:rPr>
                <w:color w:val="auto"/>
                <w:sz w:val="20"/>
                <w:highlight w:val="none"/>
              </w:rPr>
              <w:t>–</w:t>
            </w:r>
          </w:p>
        </w:tc>
        <w:tc>
          <w:tcPr>
            <w:tcW w:w="2381" w:type="dxa"/>
          </w:tcPr>
          <w:p w14:paraId="1EEEC4AC">
            <w:pPr>
              <w:keepNext/>
              <w:jc w:val="center"/>
              <w:rPr>
                <w:color w:val="auto"/>
                <w:highlight w:val="none"/>
              </w:rPr>
            </w:pPr>
            <w:r>
              <w:rPr>
                <w:color w:val="auto"/>
                <w:sz w:val="20"/>
                <w:highlight w:val="none"/>
              </w:rPr>
              <w:t>–</w:t>
            </w:r>
          </w:p>
        </w:tc>
      </w:tr>
      <w:tr w14:paraId="1B05736D">
        <w:tblPrEx>
          <w:tblCellMar>
            <w:top w:w="0" w:type="dxa"/>
            <w:left w:w="108" w:type="dxa"/>
            <w:bottom w:w="0" w:type="dxa"/>
            <w:right w:w="108" w:type="dxa"/>
          </w:tblCellMar>
        </w:tblPrEx>
        <w:trPr>
          <w:jc w:val="center"/>
        </w:trPr>
        <w:tc>
          <w:tcPr>
            <w:tcW w:w="3402" w:type="dxa"/>
          </w:tcPr>
          <w:p w14:paraId="0E592839">
            <w:pPr>
              <w:keepNext/>
              <w:jc w:val="left"/>
              <w:rPr>
                <w:color w:val="auto"/>
                <w:highlight w:val="none"/>
              </w:rPr>
            </w:pPr>
            <w:r>
              <w:rPr>
                <w:color w:val="auto"/>
                <w:sz w:val="20"/>
                <w:highlight w:val="none"/>
              </w:rPr>
              <w:t>Formulir identitas</w:t>
            </w:r>
          </w:p>
        </w:tc>
        <w:tc>
          <w:tcPr>
            <w:tcW w:w="1701" w:type="dxa"/>
          </w:tcPr>
          <w:p w14:paraId="55ECBA57">
            <w:pPr>
              <w:keepNext/>
              <w:jc w:val="center"/>
              <w:rPr>
                <w:color w:val="auto"/>
                <w:highlight w:val="none"/>
              </w:rPr>
            </w:pPr>
            <w:r>
              <w:rPr>
                <w:color w:val="auto"/>
                <w:sz w:val="20"/>
                <w:highlight w:val="none"/>
              </w:rPr>
              <w:t>161 (81,3)</w:t>
            </w:r>
          </w:p>
        </w:tc>
        <w:tc>
          <w:tcPr>
            <w:tcW w:w="1134" w:type="dxa"/>
          </w:tcPr>
          <w:p w14:paraId="79DAFD16">
            <w:pPr>
              <w:keepNext/>
              <w:jc w:val="center"/>
              <w:rPr>
                <w:rFonts w:hint="default"/>
                <w:color w:val="auto"/>
                <w:highlight w:val="none"/>
                <w:lang w:val="id-ID"/>
              </w:rPr>
            </w:pPr>
            <w:r>
              <w:rPr>
                <w:rFonts w:hint="default"/>
                <w:color w:val="auto"/>
                <w:sz w:val="20"/>
                <w:highlight w:val="none"/>
                <w:lang w:val="id-ID"/>
              </w:rPr>
              <w:t>160</w:t>
            </w:r>
          </w:p>
        </w:tc>
        <w:tc>
          <w:tcPr>
            <w:tcW w:w="2381" w:type="dxa"/>
          </w:tcPr>
          <w:p w14:paraId="4F238276">
            <w:pPr>
              <w:keepNext/>
              <w:jc w:val="center"/>
              <w:rPr>
                <w:color w:val="auto"/>
                <w:highlight w:val="none"/>
              </w:rPr>
            </w:pPr>
            <w:r>
              <w:rPr>
                <w:rFonts w:hint="default"/>
                <w:color w:val="auto"/>
                <w:sz w:val="20"/>
                <w:highlight w:val="none"/>
                <w:lang w:val="id-ID"/>
              </w:rPr>
              <w:t>1,9 (1,1–2,9)</w:t>
            </w:r>
          </w:p>
        </w:tc>
      </w:tr>
      <w:tr w14:paraId="44C46981">
        <w:tblPrEx>
          <w:tblCellMar>
            <w:top w:w="0" w:type="dxa"/>
            <w:left w:w="108" w:type="dxa"/>
            <w:bottom w:w="0" w:type="dxa"/>
            <w:right w:w="108" w:type="dxa"/>
          </w:tblCellMar>
        </w:tblPrEx>
        <w:trPr>
          <w:jc w:val="center"/>
        </w:trPr>
        <w:tc>
          <w:tcPr>
            <w:tcW w:w="3402" w:type="dxa"/>
          </w:tcPr>
          <w:p w14:paraId="6FA9B4FE">
            <w:pPr>
              <w:keepNext/>
              <w:jc w:val="left"/>
              <w:rPr>
                <w:color w:val="auto"/>
                <w:highlight w:val="none"/>
              </w:rPr>
            </w:pPr>
            <w:r>
              <w:rPr>
                <w:color w:val="auto"/>
                <w:sz w:val="20"/>
                <w:highlight w:val="none"/>
              </w:rPr>
              <w:t>Tes pengetahuan (48 butir)</w:t>
            </w:r>
          </w:p>
        </w:tc>
        <w:tc>
          <w:tcPr>
            <w:tcW w:w="1701" w:type="dxa"/>
          </w:tcPr>
          <w:p w14:paraId="363C1502">
            <w:pPr>
              <w:keepNext/>
              <w:jc w:val="center"/>
              <w:rPr>
                <w:color w:val="auto"/>
                <w:highlight w:val="none"/>
              </w:rPr>
            </w:pPr>
            <w:r>
              <w:rPr>
                <w:color w:val="auto"/>
                <w:sz w:val="20"/>
                <w:highlight w:val="none"/>
              </w:rPr>
              <w:t>107 (54,0)</w:t>
            </w:r>
          </w:p>
        </w:tc>
        <w:tc>
          <w:tcPr>
            <w:tcW w:w="1134" w:type="dxa"/>
          </w:tcPr>
          <w:p w14:paraId="10B51DB9">
            <w:pPr>
              <w:keepNext/>
              <w:jc w:val="center"/>
              <w:rPr>
                <w:color w:val="auto"/>
                <w:highlight w:val="none"/>
              </w:rPr>
            </w:pPr>
            <w:r>
              <w:rPr>
                <w:color w:val="auto"/>
                <w:sz w:val="20"/>
                <w:highlight w:val="none"/>
              </w:rPr>
              <w:t>106</w:t>
            </w:r>
          </w:p>
        </w:tc>
        <w:tc>
          <w:tcPr>
            <w:tcW w:w="2381" w:type="dxa"/>
          </w:tcPr>
          <w:p w14:paraId="7D0F494C">
            <w:pPr>
              <w:keepNext/>
              <w:jc w:val="center"/>
              <w:rPr>
                <w:color w:val="auto"/>
                <w:highlight w:val="none"/>
              </w:rPr>
            </w:pPr>
            <w:r>
              <w:rPr>
                <w:color w:val="auto"/>
                <w:sz w:val="20"/>
                <w:highlight w:val="none"/>
              </w:rPr>
              <w:t>16,7 (10,7–34,4)</w:t>
            </w:r>
          </w:p>
        </w:tc>
      </w:tr>
      <w:tr w14:paraId="426F57A8">
        <w:tblPrEx>
          <w:tblCellMar>
            <w:top w:w="0" w:type="dxa"/>
            <w:left w:w="108" w:type="dxa"/>
            <w:bottom w:w="0" w:type="dxa"/>
            <w:right w:w="108" w:type="dxa"/>
          </w:tblCellMar>
        </w:tblPrEx>
        <w:trPr>
          <w:jc w:val="center"/>
        </w:trPr>
        <w:tc>
          <w:tcPr>
            <w:tcW w:w="3402" w:type="dxa"/>
          </w:tcPr>
          <w:p w14:paraId="27389F8B">
            <w:pPr>
              <w:keepNext/>
              <w:jc w:val="left"/>
              <w:rPr>
                <w:color w:val="auto"/>
                <w:highlight w:val="none"/>
              </w:rPr>
            </w:pPr>
            <w:r>
              <w:rPr>
                <w:color w:val="auto"/>
                <w:sz w:val="20"/>
                <w:highlight w:val="none"/>
              </w:rPr>
              <w:t>Skala sikap (24 butir)</w:t>
            </w:r>
          </w:p>
        </w:tc>
        <w:tc>
          <w:tcPr>
            <w:tcW w:w="1701" w:type="dxa"/>
          </w:tcPr>
          <w:p w14:paraId="1FB907E8">
            <w:pPr>
              <w:keepNext/>
              <w:jc w:val="center"/>
              <w:rPr>
                <w:color w:val="auto"/>
                <w:highlight w:val="none"/>
              </w:rPr>
            </w:pPr>
            <w:r>
              <w:rPr>
                <w:color w:val="auto"/>
                <w:sz w:val="20"/>
                <w:highlight w:val="none"/>
              </w:rPr>
              <w:t>96 (48,5)</w:t>
            </w:r>
          </w:p>
        </w:tc>
        <w:tc>
          <w:tcPr>
            <w:tcW w:w="1134" w:type="dxa"/>
          </w:tcPr>
          <w:p w14:paraId="59D38C58">
            <w:pPr>
              <w:keepNext/>
              <w:jc w:val="center"/>
              <w:rPr>
                <w:rFonts w:hint="default"/>
                <w:color w:val="auto"/>
                <w:highlight w:val="none"/>
                <w:lang w:val="id-ID"/>
              </w:rPr>
            </w:pPr>
            <w:r>
              <w:rPr>
                <w:color w:val="auto"/>
                <w:sz w:val="20"/>
                <w:highlight w:val="none"/>
              </w:rPr>
              <w:t>94</w:t>
            </w:r>
          </w:p>
        </w:tc>
        <w:tc>
          <w:tcPr>
            <w:tcW w:w="2381" w:type="dxa"/>
          </w:tcPr>
          <w:p w14:paraId="2186F5C4">
            <w:pPr>
              <w:keepNext/>
              <w:jc w:val="center"/>
              <w:rPr>
                <w:color w:val="auto"/>
                <w:highlight w:val="none"/>
              </w:rPr>
            </w:pPr>
            <w:r>
              <w:rPr>
                <w:rFonts w:hint="default"/>
                <w:color w:val="auto"/>
                <w:sz w:val="20"/>
                <w:highlight w:val="none"/>
                <w:lang w:val="id-ID"/>
              </w:rPr>
              <w:t>3,0 (1,6–4,7)</w:t>
            </w:r>
          </w:p>
        </w:tc>
      </w:tr>
      <w:tr w14:paraId="46D8AA86">
        <w:tblPrEx>
          <w:tblCellMar>
            <w:top w:w="0" w:type="dxa"/>
            <w:left w:w="108" w:type="dxa"/>
            <w:bottom w:w="0" w:type="dxa"/>
            <w:right w:w="108" w:type="dxa"/>
          </w:tblCellMar>
        </w:tblPrEx>
        <w:trPr>
          <w:jc w:val="center"/>
        </w:trPr>
        <w:tc>
          <w:tcPr>
            <w:tcW w:w="3402" w:type="dxa"/>
          </w:tcPr>
          <w:p w14:paraId="202CFDA1">
            <w:pPr>
              <w:keepNext/>
              <w:jc w:val="left"/>
              <w:rPr>
                <w:color w:val="auto"/>
                <w:highlight w:val="none"/>
              </w:rPr>
            </w:pPr>
            <w:r>
              <w:rPr>
                <w:color w:val="auto"/>
                <w:sz w:val="20"/>
                <w:highlight w:val="none"/>
              </w:rPr>
              <w:t>FFQ</w:t>
            </w:r>
          </w:p>
        </w:tc>
        <w:tc>
          <w:tcPr>
            <w:tcW w:w="1701" w:type="dxa"/>
          </w:tcPr>
          <w:p w14:paraId="60CA812C">
            <w:pPr>
              <w:keepNext/>
              <w:jc w:val="center"/>
              <w:rPr>
                <w:color w:val="auto"/>
                <w:highlight w:val="none"/>
              </w:rPr>
            </w:pPr>
            <w:r>
              <w:rPr>
                <w:color w:val="auto"/>
                <w:sz w:val="20"/>
                <w:highlight w:val="none"/>
              </w:rPr>
              <w:t>92 (46,5)</w:t>
            </w:r>
          </w:p>
        </w:tc>
        <w:tc>
          <w:tcPr>
            <w:tcW w:w="1134" w:type="dxa"/>
          </w:tcPr>
          <w:p w14:paraId="7CB7B802">
            <w:pPr>
              <w:keepNext/>
              <w:jc w:val="center"/>
              <w:rPr>
                <w:color w:val="auto"/>
                <w:highlight w:val="none"/>
              </w:rPr>
            </w:pPr>
            <w:r>
              <w:rPr>
                <w:color w:val="auto"/>
                <w:sz w:val="20"/>
                <w:highlight w:val="none"/>
              </w:rPr>
              <w:t>88</w:t>
            </w:r>
          </w:p>
        </w:tc>
        <w:tc>
          <w:tcPr>
            <w:tcW w:w="2381" w:type="dxa"/>
          </w:tcPr>
          <w:p w14:paraId="44EB5052">
            <w:pPr>
              <w:keepNext/>
              <w:jc w:val="center"/>
              <w:rPr>
                <w:color w:val="auto"/>
                <w:highlight w:val="none"/>
              </w:rPr>
            </w:pPr>
            <w:r>
              <w:rPr>
                <w:color w:val="auto"/>
                <w:sz w:val="20"/>
                <w:highlight w:val="none"/>
              </w:rPr>
              <w:t>5,5 (4,0–7,8)</w:t>
            </w:r>
          </w:p>
        </w:tc>
      </w:tr>
      <w:tr w14:paraId="6C66643E">
        <w:tblPrEx>
          <w:tblCellMar>
            <w:top w:w="0" w:type="dxa"/>
            <w:left w:w="108" w:type="dxa"/>
            <w:bottom w:w="0" w:type="dxa"/>
            <w:right w:w="108" w:type="dxa"/>
          </w:tblCellMar>
        </w:tblPrEx>
        <w:trPr>
          <w:jc w:val="center"/>
        </w:trPr>
        <w:tc>
          <w:tcPr>
            <w:tcW w:w="3402" w:type="dxa"/>
          </w:tcPr>
          <w:p w14:paraId="35A5955E">
            <w:pPr>
              <w:keepNext/>
              <w:jc w:val="left"/>
              <w:rPr>
                <w:color w:val="auto"/>
                <w:highlight w:val="none"/>
              </w:rPr>
            </w:pPr>
            <w:r>
              <w:rPr>
                <w:color w:val="auto"/>
                <w:sz w:val="20"/>
                <w:highlight w:val="none"/>
              </w:rPr>
              <w:t>Kuesioner media sosial</w:t>
            </w:r>
          </w:p>
        </w:tc>
        <w:tc>
          <w:tcPr>
            <w:tcW w:w="1701" w:type="dxa"/>
          </w:tcPr>
          <w:p w14:paraId="078C4B12">
            <w:pPr>
              <w:keepNext/>
              <w:jc w:val="center"/>
              <w:rPr>
                <w:color w:val="auto"/>
                <w:highlight w:val="none"/>
              </w:rPr>
            </w:pPr>
            <w:r>
              <w:rPr>
                <w:rFonts w:hint="default"/>
                <w:color w:val="auto"/>
                <w:sz w:val="20"/>
                <w:highlight w:val="none"/>
                <w:lang w:val="id-ID"/>
              </w:rPr>
              <w:t>82 (41,4)</w:t>
            </w:r>
          </w:p>
        </w:tc>
        <w:tc>
          <w:tcPr>
            <w:tcW w:w="1134" w:type="dxa"/>
          </w:tcPr>
          <w:p w14:paraId="2551610F">
            <w:pPr>
              <w:keepNext/>
              <w:jc w:val="center"/>
              <w:rPr>
                <w:rFonts w:hint="default"/>
                <w:color w:val="auto"/>
                <w:highlight w:val="none"/>
                <w:lang w:val="id-ID"/>
              </w:rPr>
            </w:pPr>
            <w:r>
              <w:rPr>
                <w:rFonts w:hint="default"/>
                <w:color w:val="auto"/>
                <w:sz w:val="20"/>
                <w:highlight w:val="none"/>
                <w:lang w:val="id-ID"/>
              </w:rPr>
              <w:t>80</w:t>
            </w:r>
          </w:p>
        </w:tc>
        <w:tc>
          <w:tcPr>
            <w:tcW w:w="2381" w:type="dxa"/>
          </w:tcPr>
          <w:p w14:paraId="3642008F">
            <w:pPr>
              <w:keepNext/>
              <w:jc w:val="center"/>
              <w:rPr>
                <w:color w:val="auto"/>
                <w:highlight w:val="none"/>
              </w:rPr>
            </w:pPr>
            <w:r>
              <w:rPr>
                <w:color w:val="auto"/>
                <w:sz w:val="20"/>
                <w:highlight w:val="none"/>
              </w:rPr>
              <w:t>3,2 (2,1–4,1)</w:t>
            </w:r>
          </w:p>
        </w:tc>
      </w:tr>
      <w:tr w14:paraId="44AEAFEF">
        <w:tblPrEx>
          <w:tblCellMar>
            <w:top w:w="0" w:type="dxa"/>
            <w:left w:w="108" w:type="dxa"/>
            <w:bottom w:w="0" w:type="dxa"/>
            <w:right w:w="108" w:type="dxa"/>
          </w:tblCellMar>
        </w:tblPrEx>
        <w:trPr>
          <w:jc w:val="center"/>
        </w:trPr>
        <w:tc>
          <w:tcPr>
            <w:tcW w:w="3402" w:type="dxa"/>
          </w:tcPr>
          <w:p w14:paraId="468F09FF">
            <w:pPr>
              <w:keepNext/>
              <w:jc w:val="left"/>
              <w:rPr>
                <w:color w:val="auto"/>
                <w:highlight w:val="none"/>
              </w:rPr>
            </w:pPr>
            <w:r>
              <w:rPr>
                <w:color w:val="auto"/>
                <w:sz w:val="20"/>
                <w:highlight w:val="none"/>
              </w:rPr>
              <w:t>IPAQ-SF</w:t>
            </w:r>
          </w:p>
        </w:tc>
        <w:tc>
          <w:tcPr>
            <w:tcW w:w="1701" w:type="dxa"/>
          </w:tcPr>
          <w:p w14:paraId="3ACBAD53">
            <w:pPr>
              <w:keepNext/>
              <w:jc w:val="center"/>
              <w:rPr>
                <w:color w:val="auto"/>
                <w:highlight w:val="none"/>
              </w:rPr>
            </w:pPr>
            <w:r>
              <w:rPr>
                <w:color w:val="auto"/>
                <w:sz w:val="20"/>
                <w:highlight w:val="none"/>
              </w:rPr>
              <w:t>82 (41,4)</w:t>
            </w:r>
          </w:p>
        </w:tc>
        <w:tc>
          <w:tcPr>
            <w:tcW w:w="1134" w:type="dxa"/>
          </w:tcPr>
          <w:p w14:paraId="56777629">
            <w:pPr>
              <w:keepNext/>
              <w:jc w:val="center"/>
              <w:rPr>
                <w:color w:val="auto"/>
                <w:highlight w:val="none"/>
              </w:rPr>
            </w:pPr>
            <w:r>
              <w:rPr>
                <w:rFonts w:hint="default"/>
                <w:color w:val="auto"/>
                <w:sz w:val="20"/>
                <w:highlight w:val="none"/>
                <w:lang w:val="id-ID"/>
              </w:rPr>
              <w:t>67</w:t>
            </w:r>
          </w:p>
        </w:tc>
        <w:tc>
          <w:tcPr>
            <w:tcW w:w="2381" w:type="dxa"/>
          </w:tcPr>
          <w:p w14:paraId="7152374A">
            <w:pPr>
              <w:keepNext/>
              <w:jc w:val="center"/>
              <w:rPr>
                <w:color w:val="auto"/>
                <w:highlight w:val="none"/>
              </w:rPr>
            </w:pPr>
            <w:r>
              <w:rPr>
                <w:color w:val="auto"/>
                <w:sz w:val="20"/>
                <w:highlight w:val="none"/>
              </w:rPr>
              <w:t>1,8 (1,2–2,7)</w:t>
            </w:r>
          </w:p>
        </w:tc>
      </w:tr>
      <w:tr w14:paraId="374BFA6A">
        <w:tblPrEx>
          <w:tblCellMar>
            <w:top w:w="0" w:type="dxa"/>
            <w:left w:w="108" w:type="dxa"/>
            <w:bottom w:w="0" w:type="dxa"/>
            <w:right w:w="108" w:type="dxa"/>
          </w:tblCellMar>
        </w:tblPrEx>
        <w:trPr>
          <w:jc w:val="center"/>
        </w:trPr>
        <w:tc>
          <w:tcPr>
            <w:tcW w:w="3402" w:type="dxa"/>
            <w:tcBorders>
              <w:bottom w:val="single" w:color="000000" w:sz="6" w:space="0"/>
            </w:tcBorders>
          </w:tcPr>
          <w:p w14:paraId="75875083">
            <w:pPr>
              <w:keepNext/>
              <w:jc w:val="left"/>
              <w:rPr>
                <w:color w:val="auto"/>
                <w:highlight w:val="none"/>
              </w:rPr>
            </w:pPr>
            <w:r>
              <w:rPr>
                <w:color w:val="auto"/>
                <w:sz w:val="20"/>
                <w:highlight w:val="none"/>
              </w:rPr>
              <w:t>Keenam instrumen</w:t>
            </w:r>
          </w:p>
        </w:tc>
        <w:tc>
          <w:tcPr>
            <w:tcW w:w="1701" w:type="dxa"/>
            <w:tcBorders>
              <w:bottom w:val="single" w:color="000000" w:sz="6" w:space="0"/>
            </w:tcBorders>
          </w:tcPr>
          <w:p w14:paraId="7B34E5EE">
            <w:pPr>
              <w:keepNext/>
              <w:jc w:val="center"/>
              <w:rPr>
                <w:color w:val="auto"/>
                <w:highlight w:val="none"/>
              </w:rPr>
            </w:pPr>
            <w:r>
              <w:rPr>
                <w:color w:val="auto"/>
                <w:sz w:val="20"/>
                <w:highlight w:val="none"/>
              </w:rPr>
              <w:t>77 (38,9)</w:t>
            </w:r>
          </w:p>
        </w:tc>
        <w:tc>
          <w:tcPr>
            <w:tcW w:w="1134" w:type="dxa"/>
            <w:tcBorders>
              <w:bottom w:val="single" w:color="000000" w:sz="6" w:space="0"/>
            </w:tcBorders>
          </w:tcPr>
          <w:p w14:paraId="01893832">
            <w:pPr>
              <w:keepNext/>
              <w:jc w:val="center"/>
              <w:rPr>
                <w:rFonts w:hint="default"/>
                <w:color w:val="auto"/>
                <w:highlight w:val="none"/>
                <w:lang w:val="id-ID"/>
              </w:rPr>
            </w:pPr>
            <w:r>
              <w:rPr>
                <w:rFonts w:hint="default"/>
                <w:color w:val="auto"/>
                <w:sz w:val="20"/>
                <w:highlight w:val="none"/>
                <w:lang w:val="id-ID"/>
              </w:rPr>
              <w:t>59</w:t>
            </w:r>
          </w:p>
        </w:tc>
        <w:tc>
          <w:tcPr>
            <w:tcW w:w="2381" w:type="dxa"/>
            <w:tcBorders>
              <w:bottom w:val="single" w:color="000000" w:sz="6" w:space="0"/>
            </w:tcBorders>
          </w:tcPr>
          <w:p w14:paraId="44468A41">
            <w:pPr>
              <w:keepNext/>
              <w:jc w:val="center"/>
              <w:rPr>
                <w:color w:val="auto"/>
                <w:highlight w:val="none"/>
              </w:rPr>
            </w:pPr>
            <w:r>
              <w:rPr>
                <w:color w:val="auto"/>
                <w:sz w:val="20"/>
                <w:highlight w:val="none"/>
              </w:rPr>
              <w:t>–</w:t>
            </w:r>
          </w:p>
        </w:tc>
      </w:tr>
    </w:tbl>
    <w:p w14:paraId="1420D97A">
      <w:pPr>
        <w:spacing w:before="40" w:after="120"/>
        <w:jc w:val="left"/>
        <w:rPr>
          <w:color w:val="auto"/>
          <w:highlight w:val="none"/>
        </w:rPr>
      </w:pPr>
      <w:r>
        <w:rPr>
          <w:color w:val="auto"/>
          <w:sz w:val="18"/>
          <w:highlight w:val="none"/>
        </w:rPr>
        <w:t xml:space="preserve">Memenuhi syarat: bila peserta mengirim lebih dari sekali, digunakan kiriman paling lengkap. Valid: berat badan 30–200 kg dan tinggi badan 120–220 cm; tes pengetahuan ≥39/48 butir; skala sikap ≥20/24 butir; FFQ ≥48/60 butir; kuesioner medsos, butir inti terisi; IPAQ-SF, jumlah hari 0–7 dan total aktivitas ≤960 menit/hari. RAK: rentang antarkuartil; FFQ: kuesioner frekuensi pangan; IPAQ-SF: </w:t>
      </w:r>
      <w:r>
        <w:rPr>
          <w:i/>
          <w:color w:val="auto"/>
          <w:sz w:val="18"/>
          <w:highlight w:val="none"/>
        </w:rPr>
        <w:t>International Physical Activity Questionnaire Short Form</w:t>
      </w:r>
      <w:r>
        <w:rPr>
          <w:color w:val="auto"/>
          <w:sz w:val="18"/>
          <w:highlight w:val="none"/>
        </w:rPr>
        <w:t>.</w:t>
      </w:r>
    </w:p>
    <w:p w14:paraId="4603B6EA">
      <w:pPr>
        <w:spacing w:before="0" w:after="0"/>
        <w:ind w:firstLine="567"/>
        <w:jc w:val="both"/>
        <w:rPr>
          <w:rFonts w:hint="default"/>
          <w:color w:val="auto"/>
          <w:highlight w:val="none"/>
          <w:lang w:val="id-ID"/>
        </w:rPr>
      </w:pPr>
      <w:r>
        <w:rPr>
          <w:rFonts w:hint="default"/>
          <w:color w:val="auto"/>
          <w:highlight w:val="none"/>
          <w:lang w:val="id-ID"/>
        </w:rPr>
        <w:t>Sebaliknya, penilaian awal oleh 15 mahasiswa menunjukkan bahwa kelima aspek platform dinilai mudah (rerata 4,40–4,73 dari 5), dengan skor terendah pada aspek pengisian kuesioner atau tugas (Tabel 3).</w:t>
      </w:r>
    </w:p>
    <w:p w14:paraId="39BBE82C">
      <w:pPr>
        <w:keepNext/>
        <w:spacing w:before="160" w:after="60"/>
        <w:jc w:val="center"/>
        <w:rPr>
          <w:color w:val="auto"/>
          <w:highlight w:val="none"/>
        </w:rPr>
      </w:pPr>
      <w:r>
        <w:rPr>
          <w:color w:val="auto"/>
          <w:sz w:val="22"/>
          <w:highlight w:val="none"/>
        </w:rPr>
        <w:t>Tabel 3 Penilaian awal kemudahan dan keterbacaan platform (n=1</w:t>
      </w:r>
      <w:r>
        <w:rPr>
          <w:rFonts w:hint="default"/>
          <w:color w:val="auto"/>
          <w:sz w:val="22"/>
          <w:highlight w:val="none"/>
          <w:lang w:val="id-ID"/>
        </w:rPr>
        <w:t>5</w:t>
      </w:r>
      <w:r>
        <w:rPr>
          <w:color w:val="auto"/>
          <w:sz w:val="22"/>
          <w:highlight w:val="none"/>
        </w:rPr>
        <w:t>)</w:t>
      </w:r>
    </w:p>
    <w:tbl>
      <w:tblPr>
        <w:tblStyle w:val="12"/>
        <w:tblW w:w="0" w:type="auto"/>
        <w:jc w:val="center"/>
        <w:tblLayout w:type="fixed"/>
        <w:tblCellMar>
          <w:top w:w="0" w:type="dxa"/>
          <w:left w:w="108" w:type="dxa"/>
          <w:bottom w:w="0" w:type="dxa"/>
          <w:right w:w="108" w:type="dxa"/>
        </w:tblCellMar>
      </w:tblPr>
      <w:tblGrid>
        <w:gridCol w:w="4876"/>
        <w:gridCol w:w="1474"/>
        <w:gridCol w:w="2041"/>
      </w:tblGrid>
      <w:tr w14:paraId="514440E1">
        <w:tblPrEx>
          <w:tblCellMar>
            <w:top w:w="0" w:type="dxa"/>
            <w:left w:w="108" w:type="dxa"/>
            <w:bottom w:w="0" w:type="dxa"/>
            <w:right w:w="108" w:type="dxa"/>
          </w:tblCellMar>
        </w:tblPrEx>
        <w:trPr>
          <w:jc w:val="center"/>
        </w:trPr>
        <w:tc>
          <w:tcPr>
            <w:tcW w:w="4876" w:type="dxa"/>
            <w:tcBorders>
              <w:top w:val="single" w:color="000000" w:sz="6" w:space="0"/>
              <w:bottom w:val="single" w:color="000000" w:sz="6" w:space="0"/>
            </w:tcBorders>
          </w:tcPr>
          <w:p w14:paraId="1DE182E5">
            <w:pPr>
              <w:keepNext/>
              <w:jc w:val="left"/>
              <w:rPr>
                <w:rFonts w:hint="default"/>
                <w:color w:val="auto"/>
                <w:highlight w:val="none"/>
                <w:lang w:val="id-ID"/>
              </w:rPr>
            </w:pPr>
            <w:r>
              <w:rPr>
                <w:rFonts w:hint="default"/>
                <w:color w:val="auto"/>
                <w:highlight w:val="none"/>
                <w:lang w:val="id-ID"/>
              </w:rPr>
              <w:t>Ranah</w:t>
            </w:r>
          </w:p>
        </w:tc>
        <w:tc>
          <w:tcPr>
            <w:tcW w:w="1474" w:type="dxa"/>
            <w:tcBorders>
              <w:top w:val="single" w:color="000000" w:sz="6" w:space="0"/>
              <w:bottom w:val="single" w:color="000000" w:sz="6" w:space="0"/>
            </w:tcBorders>
          </w:tcPr>
          <w:p w14:paraId="73D23416">
            <w:pPr>
              <w:keepNext/>
              <w:jc w:val="center"/>
              <w:rPr>
                <w:color w:val="auto"/>
                <w:highlight w:val="none"/>
              </w:rPr>
            </w:pPr>
            <w:r>
              <w:rPr>
                <w:b/>
                <w:color w:val="auto"/>
                <w:sz w:val="20"/>
                <w:highlight w:val="none"/>
              </w:rPr>
              <w:t>Rerata ± SB</w:t>
            </w:r>
          </w:p>
        </w:tc>
        <w:tc>
          <w:tcPr>
            <w:tcW w:w="2041" w:type="dxa"/>
            <w:tcBorders>
              <w:top w:val="single" w:color="000000" w:sz="6" w:space="0"/>
              <w:bottom w:val="single" w:color="000000" w:sz="6" w:space="0"/>
            </w:tcBorders>
          </w:tcPr>
          <w:p w14:paraId="339EE0DC">
            <w:pPr>
              <w:keepNext/>
              <w:jc w:val="center"/>
              <w:rPr>
                <w:color w:val="auto"/>
                <w:highlight w:val="none"/>
              </w:rPr>
            </w:pPr>
            <w:r>
              <w:rPr>
                <w:b/>
                <w:color w:val="auto"/>
                <w:sz w:val="20"/>
                <w:highlight w:val="none"/>
              </w:rPr>
              <w:t>Mudah/sangat mudah (%)</w:t>
            </w:r>
          </w:p>
        </w:tc>
      </w:tr>
      <w:tr w14:paraId="6A62688E">
        <w:tblPrEx>
          <w:tblCellMar>
            <w:top w:w="0" w:type="dxa"/>
            <w:left w:w="108" w:type="dxa"/>
            <w:bottom w:w="0" w:type="dxa"/>
            <w:right w:w="108" w:type="dxa"/>
          </w:tblCellMar>
        </w:tblPrEx>
        <w:trPr>
          <w:jc w:val="center"/>
        </w:trPr>
        <w:tc>
          <w:tcPr>
            <w:tcW w:w="4876" w:type="dxa"/>
          </w:tcPr>
          <w:p w14:paraId="4A3DCA80">
            <w:pPr>
              <w:keepNext/>
              <w:jc w:val="left"/>
              <w:rPr>
                <w:color w:val="auto"/>
                <w:highlight w:val="none"/>
              </w:rPr>
            </w:pPr>
            <w:r>
              <w:rPr>
                <w:color w:val="auto"/>
                <w:sz w:val="20"/>
                <w:highlight w:val="none"/>
              </w:rPr>
              <w:t>Membuka dan bernavigasi di situs (login, dasbor, menu)</w:t>
            </w:r>
          </w:p>
        </w:tc>
        <w:tc>
          <w:tcPr>
            <w:tcW w:w="1474" w:type="dxa"/>
          </w:tcPr>
          <w:p w14:paraId="2C08ABBD">
            <w:pPr>
              <w:keepNext/>
              <w:jc w:val="center"/>
              <w:rPr>
                <w:rFonts w:hint="default"/>
                <w:color w:val="auto"/>
                <w:highlight w:val="none"/>
                <w:lang w:val="id-ID"/>
              </w:rPr>
            </w:pPr>
            <w:r>
              <w:rPr>
                <w:color w:val="auto"/>
                <w:sz w:val="20"/>
                <w:highlight w:val="none"/>
              </w:rPr>
              <w:t>4,</w:t>
            </w:r>
            <w:r>
              <w:rPr>
                <w:rFonts w:hint="default"/>
                <w:color w:val="auto"/>
                <w:sz w:val="20"/>
                <w:highlight w:val="none"/>
                <w:lang w:val="id-ID"/>
              </w:rPr>
              <w:t>53</w:t>
            </w:r>
            <w:r>
              <w:rPr>
                <w:color w:val="auto"/>
                <w:sz w:val="20"/>
                <w:highlight w:val="none"/>
              </w:rPr>
              <w:t xml:space="preserve"> ± 0,</w:t>
            </w:r>
            <w:r>
              <w:rPr>
                <w:rFonts w:hint="default"/>
                <w:color w:val="auto"/>
                <w:sz w:val="20"/>
                <w:highlight w:val="none"/>
                <w:lang w:val="id-ID"/>
              </w:rPr>
              <w:t>64</w:t>
            </w:r>
          </w:p>
        </w:tc>
        <w:tc>
          <w:tcPr>
            <w:tcW w:w="2041" w:type="dxa"/>
          </w:tcPr>
          <w:p w14:paraId="49B8D7CD">
            <w:pPr>
              <w:keepNext/>
              <w:jc w:val="center"/>
              <w:rPr>
                <w:color w:val="auto"/>
                <w:highlight w:val="none"/>
              </w:rPr>
            </w:pPr>
            <w:r>
              <w:rPr>
                <w:rFonts w:hint="default"/>
                <w:color w:val="auto"/>
                <w:sz w:val="20"/>
                <w:highlight w:val="none"/>
                <w:lang w:val="id-ID"/>
              </w:rPr>
              <w:t>93</w:t>
            </w:r>
          </w:p>
        </w:tc>
      </w:tr>
      <w:tr w14:paraId="5C41B55A">
        <w:tblPrEx>
          <w:tblCellMar>
            <w:top w:w="0" w:type="dxa"/>
            <w:left w:w="108" w:type="dxa"/>
            <w:bottom w:w="0" w:type="dxa"/>
            <w:right w:w="108" w:type="dxa"/>
          </w:tblCellMar>
        </w:tblPrEx>
        <w:trPr>
          <w:jc w:val="center"/>
        </w:trPr>
        <w:tc>
          <w:tcPr>
            <w:tcW w:w="4876" w:type="dxa"/>
          </w:tcPr>
          <w:p w14:paraId="7B6BCE6B">
            <w:pPr>
              <w:keepNext/>
              <w:jc w:val="left"/>
              <w:rPr>
                <w:color w:val="auto"/>
                <w:highlight w:val="none"/>
              </w:rPr>
            </w:pPr>
            <w:r>
              <w:rPr>
                <w:color w:val="auto"/>
                <w:sz w:val="20"/>
                <w:highlight w:val="none"/>
              </w:rPr>
              <w:t>Memahami petunjuk dan bahasa materi</w:t>
            </w:r>
          </w:p>
        </w:tc>
        <w:tc>
          <w:tcPr>
            <w:tcW w:w="1474" w:type="dxa"/>
          </w:tcPr>
          <w:p w14:paraId="587DC441">
            <w:pPr>
              <w:keepNext/>
              <w:jc w:val="center"/>
              <w:rPr>
                <w:rFonts w:hint="default"/>
                <w:color w:val="auto"/>
                <w:highlight w:val="none"/>
                <w:lang w:val="id-ID"/>
              </w:rPr>
            </w:pPr>
            <w:r>
              <w:rPr>
                <w:color w:val="auto"/>
                <w:sz w:val="20"/>
                <w:highlight w:val="none"/>
              </w:rPr>
              <w:t>4,</w:t>
            </w:r>
            <w:r>
              <w:rPr>
                <w:rFonts w:hint="default"/>
                <w:color w:val="auto"/>
                <w:sz w:val="20"/>
                <w:highlight w:val="none"/>
                <w:lang w:val="id-ID"/>
              </w:rPr>
              <w:t>6</w:t>
            </w:r>
            <w:r>
              <w:rPr>
                <w:color w:val="auto"/>
                <w:sz w:val="20"/>
                <w:highlight w:val="none"/>
              </w:rPr>
              <w:t>0 ± 0,</w:t>
            </w:r>
            <w:r>
              <w:rPr>
                <w:rFonts w:hint="default"/>
                <w:color w:val="auto"/>
                <w:sz w:val="20"/>
                <w:highlight w:val="none"/>
                <w:lang w:val="id-ID"/>
              </w:rPr>
              <w:t>51</w:t>
            </w:r>
          </w:p>
        </w:tc>
        <w:tc>
          <w:tcPr>
            <w:tcW w:w="2041" w:type="dxa"/>
          </w:tcPr>
          <w:p w14:paraId="74D32567">
            <w:pPr>
              <w:keepNext/>
              <w:jc w:val="center"/>
              <w:rPr>
                <w:rFonts w:hint="default"/>
                <w:color w:val="auto"/>
                <w:highlight w:val="none"/>
                <w:lang w:val="id-ID"/>
              </w:rPr>
            </w:pPr>
            <w:r>
              <w:rPr>
                <w:rFonts w:hint="default"/>
                <w:color w:val="auto"/>
                <w:sz w:val="20"/>
                <w:highlight w:val="none"/>
                <w:lang w:val="id-ID"/>
              </w:rPr>
              <w:t>100</w:t>
            </w:r>
          </w:p>
        </w:tc>
      </w:tr>
      <w:tr w14:paraId="232B3A11">
        <w:tblPrEx>
          <w:tblCellMar>
            <w:top w:w="0" w:type="dxa"/>
            <w:left w:w="108" w:type="dxa"/>
            <w:bottom w:w="0" w:type="dxa"/>
            <w:right w:w="108" w:type="dxa"/>
          </w:tblCellMar>
        </w:tblPrEx>
        <w:trPr>
          <w:jc w:val="center"/>
        </w:trPr>
        <w:tc>
          <w:tcPr>
            <w:tcW w:w="4876" w:type="dxa"/>
          </w:tcPr>
          <w:p w14:paraId="588BA07F">
            <w:pPr>
              <w:keepNext/>
              <w:jc w:val="left"/>
              <w:rPr>
                <w:color w:val="auto"/>
                <w:highlight w:val="none"/>
              </w:rPr>
            </w:pPr>
            <w:r>
              <w:rPr>
                <w:color w:val="auto"/>
                <w:sz w:val="20"/>
                <w:highlight w:val="none"/>
              </w:rPr>
              <w:t>Mengisi kuesioner atau tugas</w:t>
            </w:r>
          </w:p>
        </w:tc>
        <w:tc>
          <w:tcPr>
            <w:tcW w:w="1474" w:type="dxa"/>
          </w:tcPr>
          <w:p w14:paraId="51646C62">
            <w:pPr>
              <w:keepNext/>
              <w:jc w:val="center"/>
              <w:rPr>
                <w:rFonts w:hint="default"/>
                <w:color w:val="auto"/>
                <w:highlight w:val="none"/>
                <w:lang w:val="id-ID"/>
              </w:rPr>
            </w:pPr>
            <w:r>
              <w:rPr>
                <w:color w:val="auto"/>
                <w:sz w:val="20"/>
                <w:highlight w:val="none"/>
              </w:rPr>
              <w:t>4,</w:t>
            </w:r>
            <w:r>
              <w:rPr>
                <w:rFonts w:hint="default"/>
                <w:color w:val="auto"/>
                <w:sz w:val="20"/>
                <w:highlight w:val="none"/>
                <w:lang w:val="id-ID"/>
              </w:rPr>
              <w:t>40</w:t>
            </w:r>
            <w:r>
              <w:rPr>
                <w:color w:val="auto"/>
                <w:sz w:val="20"/>
                <w:highlight w:val="none"/>
              </w:rPr>
              <w:t xml:space="preserve"> ± 0,</w:t>
            </w:r>
            <w:r>
              <w:rPr>
                <w:rFonts w:hint="default"/>
                <w:color w:val="auto"/>
                <w:sz w:val="20"/>
                <w:highlight w:val="none"/>
                <w:lang w:val="id-ID"/>
              </w:rPr>
              <w:t>63</w:t>
            </w:r>
          </w:p>
        </w:tc>
        <w:tc>
          <w:tcPr>
            <w:tcW w:w="2041" w:type="dxa"/>
          </w:tcPr>
          <w:p w14:paraId="31C1B7CB">
            <w:pPr>
              <w:keepNext/>
              <w:jc w:val="center"/>
              <w:rPr>
                <w:rFonts w:hint="default"/>
                <w:color w:val="auto"/>
                <w:highlight w:val="none"/>
                <w:lang w:val="id-ID"/>
              </w:rPr>
            </w:pPr>
            <w:r>
              <w:rPr>
                <w:rFonts w:hint="default"/>
                <w:color w:val="auto"/>
                <w:sz w:val="20"/>
                <w:highlight w:val="none"/>
                <w:lang w:val="id-ID"/>
              </w:rPr>
              <w:t>93</w:t>
            </w:r>
          </w:p>
        </w:tc>
      </w:tr>
      <w:tr w14:paraId="11EA21F8">
        <w:tblPrEx>
          <w:tblCellMar>
            <w:top w:w="0" w:type="dxa"/>
            <w:left w:w="108" w:type="dxa"/>
            <w:bottom w:w="0" w:type="dxa"/>
            <w:right w:w="108" w:type="dxa"/>
          </w:tblCellMar>
        </w:tblPrEx>
        <w:trPr>
          <w:jc w:val="center"/>
        </w:trPr>
        <w:tc>
          <w:tcPr>
            <w:tcW w:w="4876" w:type="dxa"/>
          </w:tcPr>
          <w:p w14:paraId="06CAD21F">
            <w:pPr>
              <w:keepNext/>
              <w:jc w:val="left"/>
              <w:rPr>
                <w:color w:val="auto"/>
                <w:highlight w:val="none"/>
              </w:rPr>
            </w:pPr>
            <w:r>
              <w:rPr>
                <w:color w:val="auto"/>
                <w:sz w:val="20"/>
                <w:highlight w:val="none"/>
              </w:rPr>
              <w:t>Tampilan dan desain nyaman dilihat dan digunakan</w:t>
            </w:r>
          </w:p>
        </w:tc>
        <w:tc>
          <w:tcPr>
            <w:tcW w:w="1474" w:type="dxa"/>
          </w:tcPr>
          <w:p w14:paraId="235270D1">
            <w:pPr>
              <w:keepNext/>
              <w:jc w:val="center"/>
              <w:rPr>
                <w:rFonts w:hint="default"/>
                <w:color w:val="auto"/>
                <w:highlight w:val="none"/>
                <w:lang w:val="id-ID"/>
              </w:rPr>
            </w:pPr>
            <w:r>
              <w:rPr>
                <w:color w:val="auto"/>
                <w:sz w:val="20"/>
                <w:highlight w:val="none"/>
              </w:rPr>
              <w:t>4,</w:t>
            </w:r>
            <w:r>
              <w:rPr>
                <w:rFonts w:hint="default"/>
                <w:color w:val="auto"/>
                <w:sz w:val="20"/>
                <w:highlight w:val="none"/>
                <w:lang w:val="id-ID"/>
              </w:rPr>
              <w:t>7</w:t>
            </w:r>
            <w:r>
              <w:rPr>
                <w:color w:val="auto"/>
                <w:sz w:val="20"/>
                <w:highlight w:val="none"/>
              </w:rPr>
              <w:t>3 ± 0,</w:t>
            </w:r>
            <w:r>
              <w:rPr>
                <w:rFonts w:hint="default"/>
                <w:color w:val="auto"/>
                <w:sz w:val="20"/>
                <w:highlight w:val="none"/>
                <w:lang w:val="id-ID"/>
              </w:rPr>
              <w:t>46</w:t>
            </w:r>
          </w:p>
        </w:tc>
        <w:tc>
          <w:tcPr>
            <w:tcW w:w="2041" w:type="dxa"/>
          </w:tcPr>
          <w:p w14:paraId="535D753B">
            <w:pPr>
              <w:keepNext/>
              <w:jc w:val="center"/>
              <w:rPr>
                <w:rFonts w:hint="default"/>
                <w:color w:val="auto"/>
                <w:highlight w:val="none"/>
                <w:lang w:val="id-ID"/>
              </w:rPr>
            </w:pPr>
            <w:r>
              <w:rPr>
                <w:rFonts w:hint="default"/>
                <w:color w:val="auto"/>
                <w:sz w:val="20"/>
                <w:highlight w:val="none"/>
                <w:lang w:val="id-ID"/>
              </w:rPr>
              <w:t>100</w:t>
            </w:r>
          </w:p>
        </w:tc>
      </w:tr>
      <w:tr w14:paraId="52DAD31C">
        <w:tblPrEx>
          <w:tblCellMar>
            <w:top w:w="0" w:type="dxa"/>
            <w:left w:w="108" w:type="dxa"/>
            <w:bottom w:w="0" w:type="dxa"/>
            <w:right w:w="108" w:type="dxa"/>
          </w:tblCellMar>
        </w:tblPrEx>
        <w:trPr>
          <w:jc w:val="center"/>
        </w:trPr>
        <w:tc>
          <w:tcPr>
            <w:tcW w:w="4876" w:type="dxa"/>
          </w:tcPr>
          <w:p w14:paraId="2BD7A0F4">
            <w:pPr>
              <w:keepNext/>
              <w:jc w:val="left"/>
              <w:rPr>
                <w:color w:val="auto"/>
                <w:highlight w:val="none"/>
              </w:rPr>
            </w:pPr>
            <w:r>
              <w:rPr>
                <w:color w:val="auto"/>
                <w:sz w:val="20"/>
                <w:highlight w:val="none"/>
              </w:rPr>
              <w:t>Akses tanpa kendala perangkat, koneksi, atau pemuatan</w:t>
            </w:r>
          </w:p>
        </w:tc>
        <w:tc>
          <w:tcPr>
            <w:tcW w:w="1474" w:type="dxa"/>
          </w:tcPr>
          <w:p w14:paraId="0A9EDF6A">
            <w:pPr>
              <w:keepNext/>
              <w:jc w:val="center"/>
              <w:rPr>
                <w:rFonts w:hint="default"/>
                <w:color w:val="auto"/>
                <w:highlight w:val="none"/>
                <w:lang w:val="id-ID"/>
              </w:rPr>
            </w:pPr>
            <w:r>
              <w:rPr>
                <w:color w:val="auto"/>
                <w:sz w:val="20"/>
                <w:highlight w:val="none"/>
              </w:rPr>
              <w:t>4,</w:t>
            </w:r>
            <w:r>
              <w:rPr>
                <w:rFonts w:hint="default"/>
                <w:color w:val="auto"/>
                <w:sz w:val="20"/>
                <w:highlight w:val="none"/>
                <w:lang w:val="id-ID"/>
              </w:rPr>
              <w:t>53</w:t>
            </w:r>
            <w:r>
              <w:rPr>
                <w:color w:val="auto"/>
                <w:sz w:val="20"/>
                <w:highlight w:val="none"/>
              </w:rPr>
              <w:t xml:space="preserve"> ± 0,</w:t>
            </w:r>
            <w:r>
              <w:rPr>
                <w:rFonts w:hint="default"/>
                <w:color w:val="auto"/>
                <w:sz w:val="20"/>
                <w:highlight w:val="none"/>
                <w:lang w:val="id-ID"/>
              </w:rPr>
              <w:t>64</w:t>
            </w:r>
          </w:p>
        </w:tc>
        <w:tc>
          <w:tcPr>
            <w:tcW w:w="2041" w:type="dxa"/>
          </w:tcPr>
          <w:p w14:paraId="2CDB7CBA">
            <w:pPr>
              <w:keepNext/>
              <w:jc w:val="center"/>
              <w:rPr>
                <w:rFonts w:hint="default"/>
                <w:color w:val="auto"/>
                <w:highlight w:val="none"/>
                <w:lang w:val="id-ID"/>
              </w:rPr>
            </w:pPr>
            <w:r>
              <w:rPr>
                <w:rFonts w:hint="default"/>
                <w:color w:val="auto"/>
                <w:sz w:val="20"/>
                <w:highlight w:val="none"/>
                <w:lang w:val="id-ID"/>
              </w:rPr>
              <w:t>93</w:t>
            </w:r>
          </w:p>
        </w:tc>
      </w:tr>
      <w:tr w14:paraId="4B3BA266">
        <w:tblPrEx>
          <w:tblCellMar>
            <w:top w:w="0" w:type="dxa"/>
            <w:left w:w="108" w:type="dxa"/>
            <w:bottom w:w="0" w:type="dxa"/>
            <w:right w:w="108" w:type="dxa"/>
          </w:tblCellMar>
        </w:tblPrEx>
        <w:trPr>
          <w:jc w:val="center"/>
        </w:trPr>
        <w:tc>
          <w:tcPr>
            <w:tcW w:w="4876" w:type="dxa"/>
            <w:tcBorders>
              <w:bottom w:val="single" w:color="000000" w:sz="6" w:space="0"/>
            </w:tcBorders>
          </w:tcPr>
          <w:p w14:paraId="11ECD68C">
            <w:pPr>
              <w:keepNext/>
              <w:jc w:val="left"/>
              <w:rPr>
                <w:color w:val="auto"/>
                <w:highlight w:val="none"/>
              </w:rPr>
            </w:pPr>
            <w:r>
              <w:rPr>
                <w:color w:val="auto"/>
                <w:sz w:val="20"/>
                <w:highlight w:val="none"/>
              </w:rPr>
              <w:t>Skor total (5–25)</w:t>
            </w:r>
          </w:p>
        </w:tc>
        <w:tc>
          <w:tcPr>
            <w:tcW w:w="1474" w:type="dxa"/>
            <w:tcBorders>
              <w:bottom w:val="single" w:color="000000" w:sz="6" w:space="0"/>
            </w:tcBorders>
          </w:tcPr>
          <w:p w14:paraId="1D683C0F">
            <w:pPr>
              <w:keepNext/>
              <w:jc w:val="center"/>
              <w:rPr>
                <w:rFonts w:hint="default"/>
                <w:color w:val="auto"/>
                <w:highlight w:val="none"/>
                <w:lang w:val="id-ID"/>
              </w:rPr>
            </w:pPr>
            <w:r>
              <w:rPr>
                <w:color w:val="auto"/>
                <w:sz w:val="20"/>
                <w:highlight w:val="none"/>
              </w:rPr>
              <w:t>22,</w:t>
            </w:r>
            <w:r>
              <w:rPr>
                <w:rFonts w:hint="default"/>
                <w:color w:val="auto"/>
                <w:sz w:val="20"/>
                <w:highlight w:val="none"/>
                <w:lang w:val="id-ID"/>
              </w:rPr>
              <w:t>8</w:t>
            </w:r>
            <w:r>
              <w:rPr>
                <w:color w:val="auto"/>
                <w:sz w:val="20"/>
                <w:highlight w:val="none"/>
              </w:rPr>
              <w:t xml:space="preserve"> ± 2,</w:t>
            </w:r>
            <w:r>
              <w:rPr>
                <w:rFonts w:hint="default"/>
                <w:color w:val="auto"/>
                <w:sz w:val="20"/>
                <w:highlight w:val="none"/>
                <w:lang w:val="id-ID"/>
              </w:rPr>
              <w:t>3</w:t>
            </w:r>
          </w:p>
        </w:tc>
        <w:tc>
          <w:tcPr>
            <w:tcW w:w="2041" w:type="dxa"/>
            <w:tcBorders>
              <w:bottom w:val="single" w:color="000000" w:sz="6" w:space="0"/>
            </w:tcBorders>
          </w:tcPr>
          <w:p w14:paraId="74311183">
            <w:pPr>
              <w:keepNext/>
              <w:jc w:val="center"/>
              <w:rPr>
                <w:color w:val="auto"/>
                <w:highlight w:val="none"/>
              </w:rPr>
            </w:pPr>
            <w:r>
              <w:rPr>
                <w:color w:val="auto"/>
                <w:sz w:val="20"/>
                <w:highlight w:val="none"/>
              </w:rPr>
              <w:t>–</w:t>
            </w:r>
          </w:p>
        </w:tc>
      </w:tr>
    </w:tbl>
    <w:p w14:paraId="02B9D34A">
      <w:pPr>
        <w:spacing w:before="40" w:after="120"/>
        <w:jc w:val="left"/>
        <w:rPr>
          <w:color w:val="auto"/>
          <w:highlight w:val="none"/>
        </w:rPr>
      </w:pPr>
      <w:r>
        <w:rPr>
          <w:color w:val="auto"/>
          <w:sz w:val="18"/>
          <w:highlight w:val="none"/>
        </w:rPr>
        <w:t>Skala 1 (sangat sulit) sampai 5 (sangat mudah). Penilai adalah mahasiswa dari wilayah penelitian, bukan kelompok sasaran. SB: simpangan baku.</w:t>
      </w:r>
    </w:p>
    <w:p w14:paraId="4186F782">
      <w:pPr>
        <w:spacing w:before="0" w:after="0"/>
        <w:ind w:firstLine="567"/>
        <w:jc w:val="both"/>
        <w:rPr>
          <w:color w:val="auto"/>
          <w:highlight w:val="none"/>
        </w:rPr>
      </w:pPr>
      <w:r>
        <w:rPr>
          <w:color w:val="auto"/>
          <w:highlight w:val="none"/>
        </w:rPr>
        <w:t xml:space="preserve">Perbedaan antara penilaian awal yang tinggi dan masalah di lapangan menunjukkan bahwa uji kemudahan sekali pakai oleh pengguna berpendidikan tinggi belum menggambarkan kondisi catin yang sebagian besar berpendidikan SMA, menggunakan HP berspesifikasi rendah, dan kembali ke platform berkali-kali (Amiri </w:t>
      </w:r>
      <w:r>
        <w:rPr>
          <w:i/>
          <w:color w:val="auto"/>
          <w:highlight w:val="none"/>
        </w:rPr>
        <w:t>et al</w:t>
      </w:r>
      <w:r>
        <w:rPr>
          <w:color w:val="auto"/>
          <w:highlight w:val="none"/>
        </w:rPr>
        <w:t xml:space="preserve">. 2023), sehingga pengujian berulang pada kelompok sasaran tetap diperlukan (Yardley </w:t>
      </w:r>
      <w:r>
        <w:rPr>
          <w:i/>
          <w:color w:val="auto"/>
          <w:highlight w:val="none"/>
        </w:rPr>
        <w:t>et al</w:t>
      </w:r>
      <w:r>
        <w:rPr>
          <w:color w:val="auto"/>
          <w:highlight w:val="none"/>
        </w:rPr>
        <w:t xml:space="preserve">. 2015). Aspek akses tanpa kendala perangkat dan koneksi dinilai 4,53 dari 5, padahal blok makanan pokok FFQ kemudian hilang pada sebagian HP peserta. Halaman persetujuan berlapis memperpendek alur masuk, tetapi hanya 3 dari 22 peserta (14%) membuka lembar informasi lengkap dengan median waktu 11 detik, sehingga pemahaman terhadap persetujuan </w:t>
      </w:r>
      <w:r>
        <w:rPr>
          <w:i/>
          <w:color w:val="auto"/>
          <w:highlight w:val="none"/>
        </w:rPr>
        <w:t>online</w:t>
      </w:r>
      <w:r>
        <w:rPr>
          <w:color w:val="auto"/>
          <w:highlight w:val="none"/>
        </w:rPr>
        <w:t xml:space="preserve"> perlu diperkuat.</w:t>
      </w:r>
    </w:p>
    <w:p w14:paraId="40ED31F3">
      <w:pPr>
        <w:spacing w:before="0" w:after="0"/>
        <w:ind w:firstLine="567"/>
        <w:jc w:val="both"/>
        <w:rPr>
          <w:color w:val="auto"/>
          <w:highlight w:val="none"/>
        </w:rPr>
      </w:pPr>
      <w:r>
        <w:rPr>
          <w:color w:val="auto"/>
          <w:highlight w:val="none"/>
        </w:rPr>
        <w:t xml:space="preserve">Pola ini sejalan dengan </w:t>
      </w:r>
      <w:r>
        <w:rPr>
          <w:i/>
          <w:color w:val="auto"/>
          <w:highlight w:val="none"/>
        </w:rPr>
        <w:t>law of attrition</w:t>
      </w:r>
      <w:r>
        <w:rPr>
          <w:color w:val="auto"/>
          <w:highlight w:val="none"/>
        </w:rPr>
        <w:t xml:space="preserve"> dan tingginya angka berhenti pada intervensi berbasis aplikasi (Eysenbach 2005; Meyerowitz-Katz </w:t>
      </w:r>
      <w:r>
        <w:rPr>
          <w:i/>
          <w:color w:val="auto"/>
          <w:highlight w:val="none"/>
        </w:rPr>
        <w:t>et al</w:t>
      </w:r>
      <w:r>
        <w:rPr>
          <w:color w:val="auto"/>
          <w:highlight w:val="none"/>
        </w:rPr>
        <w:t xml:space="preserve">. 2020). Kuesioner yang panjang mengurangi responden yang menyelesaikannya, dan pertanyaan di bagian akhir dijawab lebih cepat, singkat, dan seragam (Galesic dan Bosnjak 2009). Pengisian melalui HP juga lebih lama, terutama pada butir berbentuk grid (Couper dan Peterson 2017). Karena itu, tes pengetahuan yang panjang di awal sesi kemungkinan memperbesar kehilangan peserta dan menurunkan mutu jawaban pada instrumen berikutnya. Kiriman ganda dan perangkat bersama juga lazim dalam penelitian </w:t>
      </w:r>
      <w:r>
        <w:rPr>
          <w:i/>
          <w:color w:val="auto"/>
          <w:highlight w:val="none"/>
        </w:rPr>
        <w:t>online</w:t>
      </w:r>
      <w:r>
        <w:rPr>
          <w:color w:val="auto"/>
          <w:highlight w:val="none"/>
        </w:rPr>
        <w:t xml:space="preserve"> dan perlu ditangani dengan aturan deteksi yang ditetapkan sebelumnya (Teitcher </w:t>
      </w:r>
      <w:r>
        <w:rPr>
          <w:i/>
          <w:color w:val="auto"/>
          <w:highlight w:val="none"/>
        </w:rPr>
        <w:t>et al</w:t>
      </w:r>
      <w:r>
        <w:rPr>
          <w:color w:val="auto"/>
          <w:highlight w:val="none"/>
        </w:rPr>
        <w:t>. 2015).</w:t>
      </w:r>
    </w:p>
    <w:p w14:paraId="02909F66">
      <w:pPr>
        <w:spacing w:before="0" w:after="0"/>
        <w:ind w:firstLine="567"/>
        <w:jc w:val="both"/>
        <w:rPr>
          <w:rFonts w:hint="default"/>
          <w:color w:val="auto"/>
          <w:highlight w:val="none"/>
          <w:lang w:val="id-ID"/>
        </w:rPr>
      </w:pPr>
      <w:r>
        <w:rPr>
          <w:rFonts w:hint="default"/>
          <w:color w:val="auto"/>
          <w:highlight w:val="none"/>
          <w:lang w:val="id-ID"/>
        </w:rPr>
        <w:t>Pendekatan iteratif dengan pemantauan data rutin terbukti mampu mengatasi masalah kualitas data sejak awal implementasi, seperti hilangnya blok makanan pokok FFQ dan rekaman karantina pada minggu pertama.</w:t>
      </w:r>
    </w:p>
    <w:p w14:paraId="1F4A73ED">
      <w:pPr>
        <w:keepNext/>
        <w:spacing w:before="120" w:after="60"/>
        <w:jc w:val="left"/>
        <w:rPr>
          <w:color w:val="auto"/>
          <w:highlight w:val="none"/>
        </w:rPr>
      </w:pPr>
      <w:r>
        <w:rPr>
          <w:b/>
          <w:color w:val="auto"/>
          <w:highlight w:val="none"/>
        </w:rPr>
        <w:t>Karakteristik Subjek dan Penggunaan Media Sosial</w:t>
      </w:r>
    </w:p>
    <w:p w14:paraId="01742177">
      <w:pPr>
        <w:spacing w:before="0" w:after="0"/>
        <w:ind w:firstLine="567"/>
        <w:jc w:val="both"/>
        <w:rPr>
          <w:color w:val="auto"/>
          <w:highlight w:val="none"/>
        </w:rPr>
      </w:pPr>
      <w:r>
        <w:rPr>
          <w:color w:val="auto"/>
          <w:highlight w:val="none"/>
        </w:rPr>
        <w:t xml:space="preserve">Dari 74 subjek, 59,5% adalah catin perempuan, 60,6% berpendidikan SMA atau lebih rendah, dan 51,4% mengalami berat badan lebih atau obesitas. Dibandingkan dengan subjek yang mengisi formulir identitas tetapi tidak dianalisis, subjek yang dianalisis tidak berbeda nyata dalam usia, peran, pekerjaan, dan IMT, tetapi lebih sedikit yang berpendidikan SMA atau lebih rendah (60,6% vs 76,0%). WhatsApp merupakan platform utama (59,5%), 73,0% mengakses media sosial hampir terus-menerus (sekitar setiap jam), dan 51,4% menggunakannya ≥3 jam per hari. Sebanyak 75,7% memperoleh informasi dari akun tenaga kesehatan atau lembaga resmi, tetapi 39,2% juga mengandalkan </w:t>
      </w:r>
      <w:r>
        <w:rPr>
          <w:i/>
          <w:color w:val="auto"/>
          <w:highlight w:val="none"/>
        </w:rPr>
        <w:t>influencer</w:t>
      </w:r>
      <w:r>
        <w:rPr>
          <w:color w:val="auto"/>
          <w:highlight w:val="none"/>
        </w:rPr>
        <w:t xml:space="preserve"> dan 71,6% pernah tertarik pada produk kesehatan atau kecantikan yang dipromosikan.</w:t>
      </w:r>
    </w:p>
    <w:p w14:paraId="6D6B9553">
      <w:pPr>
        <w:spacing w:before="0" w:after="0"/>
        <w:ind w:firstLine="567"/>
        <w:jc w:val="both"/>
        <w:rPr>
          <w:color w:val="auto"/>
          <w:highlight w:val="none"/>
        </w:rPr>
      </w:pPr>
      <w:r>
        <w:rPr>
          <w:color w:val="auto"/>
          <w:highlight w:val="none"/>
        </w:rPr>
        <w:t xml:space="preserve">Dibandingkan dengan catin perempuan, catin laki-laki lebih tua, seluruhnya bekerja, lebih banyak menggunakan WhatsApp sebagai platform utama (73,3% vs 50,0%), dan lebih sedikit yang menggunakan media sosial ≥3 jam per hari (36,7% vs 61,4%), sedangkan catin perempuan lebih banyak menggunakan TikTok atau Instagram. Sikap positif (53,3% vs 75,0%; </w:t>
      </w:r>
      <w:r>
        <w:rPr>
          <w:i/>
          <w:color w:val="auto"/>
          <w:highlight w:val="none"/>
        </w:rPr>
        <w:t>p</w:t>
      </w:r>
      <w:r>
        <w:rPr>
          <w:color w:val="auto"/>
          <w:highlight w:val="none"/>
        </w:rPr>
        <w:t xml:space="preserve">=0,053) dan skor pengetahuan (76,5% vs 84,3%; </w:t>
      </w:r>
      <w:r>
        <w:rPr>
          <w:i/>
          <w:color w:val="auto"/>
          <w:highlight w:val="none"/>
        </w:rPr>
        <w:t>p</w:t>
      </w:r>
      <w:r>
        <w:rPr>
          <w:color w:val="auto"/>
          <w:highlight w:val="none"/>
        </w:rPr>
        <w:t xml:space="preserve">=0,150) cenderung lebih rendah pada catin laki-laki meskipun tidak bermakna, sejalan dengan laporan bahwa pengetahuan gizi prakonsepsi yang kurang lebih banyak ditemukan pada catin laki-laki (Zahra </w:t>
      </w:r>
      <w:r>
        <w:rPr>
          <w:i/>
          <w:color w:val="auto"/>
          <w:highlight w:val="none"/>
        </w:rPr>
        <w:t>et al</w:t>
      </w:r>
      <w:r>
        <w:rPr>
          <w:color w:val="auto"/>
          <w:highlight w:val="none"/>
        </w:rPr>
        <w:t xml:space="preserve">. 2024). Proporsi berat badan lebih atau obesitas, kebiasaan memeriksa kebenaran informasi, sumber informasi, dan ketertarikan pada produk yang dipromosikan tidak berbeda menurut peran (Tabel 4). Di antara yang mengisi formulir identitas, proporsi yang menyelesaikan keenam instrumen juga serupa menurut peran (47,9% vs 47,0%; </w:t>
      </w:r>
      <w:r>
        <w:rPr>
          <w:i/>
          <w:color w:val="auto"/>
          <w:highlight w:val="none"/>
        </w:rPr>
        <w:t>p</w:t>
      </w:r>
      <w:r>
        <w:rPr>
          <w:color w:val="auto"/>
          <w:highlight w:val="none"/>
        </w:rPr>
        <w:t>=0,910), sehingga catin laki-laki tidak lebih mudah berhenti di platform.</w:t>
      </w:r>
    </w:p>
    <w:p w14:paraId="019B9A08">
      <w:pPr>
        <w:spacing w:before="0" w:after="0"/>
        <w:ind w:firstLine="567"/>
        <w:jc w:val="both"/>
        <w:rPr>
          <w:color w:val="auto"/>
          <w:highlight w:val="none"/>
        </w:rPr>
      </w:pPr>
      <w:r>
        <w:rPr>
          <w:color w:val="auto"/>
          <w:highlight w:val="none"/>
        </w:rPr>
        <w:t xml:space="preserve">Dominasi WhatsApp mencerminkan perannya sebagai saluran komunikasi sehari-hari di Indonesia, termasuk dalam layanan kesehatan; pengingat berbasis WhatsApp terbukti meningkatkan kepatuhan konsumsi tablet tambah darah pada remaja putri di Indonesia (Laurence </w:t>
      </w:r>
      <w:r>
        <w:rPr>
          <w:i/>
          <w:color w:val="auto"/>
          <w:highlight w:val="none"/>
        </w:rPr>
        <w:t>et al</w:t>
      </w:r>
      <w:r>
        <w:rPr>
          <w:color w:val="auto"/>
          <w:highlight w:val="none"/>
        </w:rPr>
        <w:t xml:space="preserve">. 2025). Pola ini khas Indonesia, karena di kalangan remaja Amerika Serikat WhatsApp hanya digunakan oleh 23% (Faverio dan Sidoti 2024). Tingginya ketertarikan terhadap produk yang dipromosikan perlu diwaspadai karena paparan konten </w:t>
      </w:r>
      <w:r>
        <w:rPr>
          <w:i/>
          <w:color w:val="auto"/>
          <w:highlight w:val="none"/>
        </w:rPr>
        <w:t>influencer</w:t>
      </w:r>
      <w:r>
        <w:rPr>
          <w:color w:val="auto"/>
          <w:highlight w:val="none"/>
        </w:rPr>
        <w:t xml:space="preserve"> berhubungan dengan meningkatnya kecenderungan penggunaan kosmetik ilegal pada remaja (Agustiani </w:t>
      </w:r>
      <w:r>
        <w:rPr>
          <w:i/>
          <w:color w:val="auto"/>
          <w:highlight w:val="none"/>
        </w:rPr>
        <w:t>et al</w:t>
      </w:r>
      <w:r>
        <w:rPr>
          <w:color w:val="auto"/>
          <w:highlight w:val="none"/>
        </w:rPr>
        <w:t>. 2026).</w:t>
      </w:r>
    </w:p>
    <w:p w14:paraId="17F405EC">
      <w:pPr>
        <w:spacing w:before="0" w:after="0"/>
        <w:ind w:firstLine="567"/>
        <w:jc w:val="both"/>
        <w:rPr>
          <w:color w:val="auto"/>
          <w:highlight w:val="none"/>
        </w:rPr>
      </w:pPr>
    </w:p>
    <w:p w14:paraId="40B404D6">
      <w:pPr>
        <w:keepNext/>
        <w:spacing w:before="160" w:after="60"/>
        <w:jc w:val="center"/>
        <w:rPr>
          <w:color w:val="auto"/>
          <w:highlight w:val="none"/>
        </w:rPr>
      </w:pPr>
      <w:r>
        <w:rPr>
          <w:color w:val="auto"/>
          <w:sz w:val="22"/>
          <w:highlight w:val="none"/>
        </w:rPr>
        <w:t>Tabel 4 Karakteristik, penggunaan media sosial, pengetahuan, dan sikap menurut peran ca</w:t>
      </w:r>
      <w:r>
        <w:rPr>
          <w:rFonts w:hint="default"/>
          <w:color w:val="auto"/>
          <w:sz w:val="22"/>
          <w:highlight w:val="none"/>
          <w:lang w:val="id-ID"/>
        </w:rPr>
        <w:t>tin</w:t>
      </w:r>
    </w:p>
    <w:tbl>
      <w:tblPr>
        <w:tblStyle w:val="12"/>
        <w:tblW w:w="0" w:type="auto"/>
        <w:jc w:val="center"/>
        <w:tblLayout w:type="fixed"/>
        <w:tblCellMar>
          <w:top w:w="0" w:type="dxa"/>
          <w:left w:w="108" w:type="dxa"/>
          <w:bottom w:w="0" w:type="dxa"/>
          <w:right w:w="108" w:type="dxa"/>
        </w:tblCellMar>
      </w:tblPr>
      <w:tblGrid>
        <w:gridCol w:w="3458"/>
        <w:gridCol w:w="1360"/>
        <w:gridCol w:w="1360"/>
        <w:gridCol w:w="1360"/>
        <w:gridCol w:w="907"/>
      </w:tblGrid>
      <w:tr w14:paraId="1A4134E0">
        <w:tblPrEx>
          <w:tblCellMar>
            <w:top w:w="0" w:type="dxa"/>
            <w:left w:w="108" w:type="dxa"/>
            <w:bottom w:w="0" w:type="dxa"/>
            <w:right w:w="108" w:type="dxa"/>
          </w:tblCellMar>
        </w:tblPrEx>
        <w:trPr>
          <w:jc w:val="center"/>
        </w:trPr>
        <w:tc>
          <w:tcPr>
            <w:tcW w:w="3458" w:type="dxa"/>
            <w:tcBorders>
              <w:top w:val="single" w:color="000000" w:sz="6" w:space="0"/>
              <w:bottom w:val="single" w:color="000000" w:sz="6" w:space="0"/>
            </w:tcBorders>
          </w:tcPr>
          <w:p w14:paraId="0486FDF8">
            <w:pPr>
              <w:keepNext/>
              <w:jc w:val="left"/>
              <w:rPr>
                <w:color w:val="auto"/>
                <w:highlight w:val="none"/>
              </w:rPr>
            </w:pPr>
            <w:r>
              <w:rPr>
                <w:b/>
                <w:color w:val="auto"/>
                <w:sz w:val="20"/>
                <w:highlight w:val="none"/>
              </w:rPr>
              <w:t>Variabel</w:t>
            </w:r>
          </w:p>
        </w:tc>
        <w:tc>
          <w:tcPr>
            <w:tcW w:w="1361" w:type="dxa"/>
            <w:tcBorders>
              <w:top w:val="single" w:color="000000" w:sz="6" w:space="0"/>
              <w:bottom w:val="single" w:color="000000" w:sz="6" w:space="0"/>
            </w:tcBorders>
          </w:tcPr>
          <w:p w14:paraId="54908A3C">
            <w:pPr>
              <w:keepNext/>
              <w:jc w:val="center"/>
              <w:rPr>
                <w:color w:val="auto"/>
                <w:highlight w:val="none"/>
              </w:rPr>
            </w:pPr>
            <w:r>
              <w:rPr>
                <w:b/>
                <w:color w:val="auto"/>
                <w:sz w:val="20"/>
                <w:highlight w:val="none"/>
              </w:rPr>
              <w:t>Perempuan (n=44)</w:t>
            </w:r>
          </w:p>
        </w:tc>
        <w:tc>
          <w:tcPr>
            <w:tcW w:w="1361" w:type="dxa"/>
            <w:tcBorders>
              <w:top w:val="single" w:color="000000" w:sz="6" w:space="0"/>
              <w:bottom w:val="single" w:color="000000" w:sz="6" w:space="0"/>
            </w:tcBorders>
          </w:tcPr>
          <w:p w14:paraId="4A83A39D">
            <w:pPr>
              <w:keepNext/>
              <w:jc w:val="center"/>
              <w:rPr>
                <w:color w:val="auto"/>
                <w:highlight w:val="none"/>
              </w:rPr>
            </w:pPr>
            <w:r>
              <w:rPr>
                <w:b/>
                <w:color w:val="auto"/>
                <w:sz w:val="20"/>
                <w:highlight w:val="none"/>
              </w:rPr>
              <w:t>Laki-laki (n=30)</w:t>
            </w:r>
          </w:p>
        </w:tc>
        <w:tc>
          <w:tcPr>
            <w:tcW w:w="1361" w:type="dxa"/>
            <w:tcBorders>
              <w:top w:val="single" w:color="000000" w:sz="6" w:space="0"/>
              <w:bottom w:val="single" w:color="000000" w:sz="6" w:space="0"/>
            </w:tcBorders>
          </w:tcPr>
          <w:p w14:paraId="300B75FB">
            <w:pPr>
              <w:keepNext/>
              <w:jc w:val="center"/>
              <w:rPr>
                <w:color w:val="auto"/>
                <w:highlight w:val="none"/>
              </w:rPr>
            </w:pPr>
            <w:r>
              <w:rPr>
                <w:b/>
                <w:color w:val="auto"/>
                <w:sz w:val="20"/>
                <w:highlight w:val="none"/>
              </w:rPr>
              <w:t>Total (n=74)</w:t>
            </w:r>
          </w:p>
        </w:tc>
        <w:tc>
          <w:tcPr>
            <w:tcW w:w="907" w:type="dxa"/>
            <w:tcBorders>
              <w:top w:val="single" w:color="000000" w:sz="6" w:space="0"/>
              <w:bottom w:val="single" w:color="000000" w:sz="6" w:space="0"/>
            </w:tcBorders>
          </w:tcPr>
          <w:p w14:paraId="6E6B42E9">
            <w:pPr>
              <w:keepNext/>
              <w:jc w:val="center"/>
              <w:rPr>
                <w:color w:val="auto"/>
                <w:highlight w:val="none"/>
              </w:rPr>
            </w:pPr>
            <w:r>
              <w:rPr>
                <w:i/>
                <w:color w:val="auto"/>
                <w:sz w:val="20"/>
                <w:highlight w:val="none"/>
              </w:rPr>
              <w:t>p</w:t>
            </w:r>
          </w:p>
        </w:tc>
      </w:tr>
      <w:tr w14:paraId="4E294636">
        <w:tblPrEx>
          <w:tblCellMar>
            <w:top w:w="0" w:type="dxa"/>
            <w:left w:w="108" w:type="dxa"/>
            <w:bottom w:w="0" w:type="dxa"/>
            <w:right w:w="108" w:type="dxa"/>
          </w:tblCellMar>
        </w:tblPrEx>
        <w:trPr>
          <w:jc w:val="center"/>
        </w:trPr>
        <w:tc>
          <w:tcPr>
            <w:tcW w:w="3458" w:type="dxa"/>
          </w:tcPr>
          <w:p w14:paraId="756B791A">
            <w:pPr>
              <w:keepNext/>
              <w:jc w:val="left"/>
              <w:rPr>
                <w:color w:val="auto"/>
                <w:highlight w:val="none"/>
              </w:rPr>
            </w:pPr>
            <w:r>
              <w:rPr>
                <w:color w:val="auto"/>
                <w:sz w:val="20"/>
                <w:highlight w:val="none"/>
              </w:rPr>
              <w:t>Usia (tahun), rerata ± SB</w:t>
            </w:r>
            <w:r>
              <w:rPr>
                <w:color w:val="auto"/>
                <w:sz w:val="20"/>
                <w:highlight w:val="none"/>
                <w:vertAlign w:val="superscript"/>
              </w:rPr>
              <w:t>a</w:t>
            </w:r>
          </w:p>
        </w:tc>
        <w:tc>
          <w:tcPr>
            <w:tcW w:w="1361" w:type="dxa"/>
          </w:tcPr>
          <w:p w14:paraId="55E2FC3C">
            <w:pPr>
              <w:keepNext/>
              <w:jc w:val="center"/>
              <w:rPr>
                <w:rFonts w:hint="default"/>
                <w:color w:val="auto"/>
                <w:highlight w:val="none"/>
                <w:lang w:val="id-ID"/>
              </w:rPr>
            </w:pPr>
            <w:r>
              <w:rPr>
                <w:color w:val="auto"/>
                <w:sz w:val="20"/>
                <w:highlight w:val="none"/>
              </w:rPr>
              <w:t>25,2 ± 2,8</w:t>
            </w:r>
          </w:p>
        </w:tc>
        <w:tc>
          <w:tcPr>
            <w:tcW w:w="1361" w:type="dxa"/>
          </w:tcPr>
          <w:p w14:paraId="6B3A72F0">
            <w:pPr>
              <w:keepNext/>
              <w:jc w:val="center"/>
              <w:rPr>
                <w:rFonts w:hint="default"/>
                <w:color w:val="auto"/>
                <w:highlight w:val="none"/>
                <w:lang w:val="id-ID"/>
              </w:rPr>
            </w:pPr>
            <w:r>
              <w:rPr>
                <w:color w:val="auto"/>
                <w:sz w:val="20"/>
                <w:highlight w:val="none"/>
              </w:rPr>
              <w:t>27,6 ± 4,2</w:t>
            </w:r>
          </w:p>
        </w:tc>
        <w:tc>
          <w:tcPr>
            <w:tcW w:w="1361" w:type="dxa"/>
          </w:tcPr>
          <w:p w14:paraId="60009015">
            <w:pPr>
              <w:keepNext/>
              <w:jc w:val="center"/>
              <w:rPr>
                <w:rFonts w:hint="default"/>
                <w:color w:val="auto"/>
                <w:highlight w:val="none"/>
                <w:lang w:val="id-ID"/>
              </w:rPr>
            </w:pPr>
            <w:r>
              <w:rPr>
                <w:color w:val="auto"/>
                <w:sz w:val="20"/>
                <w:highlight w:val="none"/>
              </w:rPr>
              <w:t>26,2 ± 3,6</w:t>
            </w:r>
          </w:p>
        </w:tc>
        <w:tc>
          <w:tcPr>
            <w:tcW w:w="907" w:type="dxa"/>
          </w:tcPr>
          <w:p w14:paraId="380AB216">
            <w:pPr>
              <w:keepNext/>
              <w:jc w:val="center"/>
              <w:rPr>
                <w:color w:val="auto"/>
                <w:highlight w:val="none"/>
              </w:rPr>
            </w:pPr>
            <w:r>
              <w:rPr>
                <w:color w:val="auto"/>
                <w:sz w:val="20"/>
                <w:highlight w:val="none"/>
              </w:rPr>
              <w:t>0,029∗</w:t>
            </w:r>
          </w:p>
        </w:tc>
      </w:tr>
      <w:tr w14:paraId="0DA57F5E">
        <w:tblPrEx>
          <w:tblCellMar>
            <w:top w:w="0" w:type="dxa"/>
            <w:left w:w="108" w:type="dxa"/>
            <w:bottom w:w="0" w:type="dxa"/>
            <w:right w:w="108" w:type="dxa"/>
          </w:tblCellMar>
        </w:tblPrEx>
        <w:trPr>
          <w:jc w:val="center"/>
        </w:trPr>
        <w:tc>
          <w:tcPr>
            <w:tcW w:w="3458" w:type="dxa"/>
          </w:tcPr>
          <w:p w14:paraId="5EE283B1">
            <w:pPr>
              <w:keepNext/>
              <w:jc w:val="left"/>
              <w:rPr>
                <w:color w:val="auto"/>
                <w:highlight w:val="none"/>
              </w:rPr>
            </w:pPr>
            <w:r>
              <w:rPr>
                <w:color w:val="auto"/>
                <w:sz w:val="20"/>
                <w:highlight w:val="none"/>
              </w:rPr>
              <w:t>Pendidikan SMA atau lebih rendah</w:t>
            </w:r>
            <w:r>
              <w:rPr>
                <w:color w:val="auto"/>
                <w:sz w:val="20"/>
                <w:highlight w:val="none"/>
                <w:vertAlign w:val="superscript"/>
              </w:rPr>
              <w:t>b</w:t>
            </w:r>
          </w:p>
        </w:tc>
        <w:tc>
          <w:tcPr>
            <w:tcW w:w="1361" w:type="dxa"/>
          </w:tcPr>
          <w:p w14:paraId="626CCBD8">
            <w:pPr>
              <w:keepNext/>
              <w:jc w:val="center"/>
              <w:rPr>
                <w:color w:val="auto"/>
                <w:highlight w:val="none"/>
              </w:rPr>
            </w:pPr>
            <w:r>
              <w:rPr>
                <w:color w:val="auto"/>
                <w:sz w:val="20"/>
                <w:highlight w:val="none"/>
              </w:rPr>
              <w:t>20 (52,6)</w:t>
            </w:r>
          </w:p>
        </w:tc>
        <w:tc>
          <w:tcPr>
            <w:tcW w:w="1361" w:type="dxa"/>
          </w:tcPr>
          <w:p w14:paraId="538992E1">
            <w:pPr>
              <w:keepNext/>
              <w:jc w:val="center"/>
              <w:rPr>
                <w:color w:val="auto"/>
                <w:highlight w:val="none"/>
              </w:rPr>
            </w:pPr>
            <w:r>
              <w:rPr>
                <w:color w:val="auto"/>
                <w:sz w:val="20"/>
                <w:highlight w:val="none"/>
              </w:rPr>
              <w:t>20 (71,4)</w:t>
            </w:r>
          </w:p>
        </w:tc>
        <w:tc>
          <w:tcPr>
            <w:tcW w:w="1361" w:type="dxa"/>
          </w:tcPr>
          <w:p w14:paraId="0237589C">
            <w:pPr>
              <w:keepNext/>
              <w:jc w:val="center"/>
              <w:rPr>
                <w:color w:val="auto"/>
                <w:highlight w:val="none"/>
              </w:rPr>
            </w:pPr>
            <w:r>
              <w:rPr>
                <w:color w:val="auto"/>
                <w:sz w:val="20"/>
                <w:highlight w:val="none"/>
              </w:rPr>
              <w:t>40 (60,6)</w:t>
            </w:r>
          </w:p>
        </w:tc>
        <w:tc>
          <w:tcPr>
            <w:tcW w:w="907" w:type="dxa"/>
          </w:tcPr>
          <w:p w14:paraId="62C696DA">
            <w:pPr>
              <w:keepNext/>
              <w:jc w:val="center"/>
              <w:rPr>
                <w:rFonts w:hint="default"/>
                <w:color w:val="auto"/>
                <w:highlight w:val="none"/>
                <w:lang w:val="id-ID"/>
              </w:rPr>
            </w:pPr>
            <w:r>
              <w:rPr>
                <w:color w:val="auto"/>
                <w:sz w:val="20"/>
                <w:highlight w:val="none"/>
              </w:rPr>
              <w:t>0,122</w:t>
            </w:r>
          </w:p>
        </w:tc>
      </w:tr>
      <w:tr w14:paraId="56D1F128">
        <w:tblPrEx>
          <w:tblCellMar>
            <w:top w:w="0" w:type="dxa"/>
            <w:left w:w="108" w:type="dxa"/>
            <w:bottom w:w="0" w:type="dxa"/>
            <w:right w:w="108" w:type="dxa"/>
          </w:tblCellMar>
        </w:tblPrEx>
        <w:trPr>
          <w:jc w:val="center"/>
        </w:trPr>
        <w:tc>
          <w:tcPr>
            <w:tcW w:w="3458" w:type="dxa"/>
          </w:tcPr>
          <w:p w14:paraId="5907AAE3">
            <w:pPr>
              <w:keepNext/>
              <w:jc w:val="left"/>
              <w:rPr>
                <w:color w:val="auto"/>
                <w:highlight w:val="none"/>
              </w:rPr>
            </w:pPr>
            <w:r>
              <w:rPr>
                <w:color w:val="auto"/>
                <w:sz w:val="20"/>
                <w:highlight w:val="none"/>
              </w:rPr>
              <w:t>Bekerja</w:t>
            </w:r>
            <w:r>
              <w:rPr>
                <w:color w:val="auto"/>
                <w:sz w:val="20"/>
                <w:highlight w:val="none"/>
                <w:vertAlign w:val="superscript"/>
              </w:rPr>
              <w:t>b</w:t>
            </w:r>
          </w:p>
        </w:tc>
        <w:tc>
          <w:tcPr>
            <w:tcW w:w="1361" w:type="dxa"/>
          </w:tcPr>
          <w:p w14:paraId="0827255D">
            <w:pPr>
              <w:keepNext/>
              <w:jc w:val="center"/>
              <w:rPr>
                <w:color w:val="auto"/>
                <w:highlight w:val="none"/>
              </w:rPr>
            </w:pPr>
            <w:r>
              <w:rPr>
                <w:color w:val="auto"/>
                <w:sz w:val="20"/>
                <w:highlight w:val="none"/>
              </w:rPr>
              <w:t>26 (68,4)</w:t>
            </w:r>
          </w:p>
        </w:tc>
        <w:tc>
          <w:tcPr>
            <w:tcW w:w="1361" w:type="dxa"/>
          </w:tcPr>
          <w:p w14:paraId="5092DCCE">
            <w:pPr>
              <w:keepNext/>
              <w:jc w:val="center"/>
              <w:rPr>
                <w:color w:val="auto"/>
                <w:highlight w:val="none"/>
              </w:rPr>
            </w:pPr>
            <w:r>
              <w:rPr>
                <w:color w:val="auto"/>
                <w:sz w:val="20"/>
                <w:highlight w:val="none"/>
              </w:rPr>
              <w:t>28 (100,0)</w:t>
            </w:r>
          </w:p>
        </w:tc>
        <w:tc>
          <w:tcPr>
            <w:tcW w:w="1361" w:type="dxa"/>
          </w:tcPr>
          <w:p w14:paraId="0777C962">
            <w:pPr>
              <w:keepNext/>
              <w:jc w:val="center"/>
              <w:rPr>
                <w:color w:val="auto"/>
                <w:highlight w:val="none"/>
              </w:rPr>
            </w:pPr>
            <w:r>
              <w:rPr>
                <w:color w:val="auto"/>
                <w:sz w:val="20"/>
                <w:highlight w:val="none"/>
              </w:rPr>
              <w:t>54 (81,8)</w:t>
            </w:r>
          </w:p>
        </w:tc>
        <w:tc>
          <w:tcPr>
            <w:tcW w:w="907" w:type="dxa"/>
          </w:tcPr>
          <w:p w14:paraId="25A7810A">
            <w:pPr>
              <w:keepNext/>
              <w:jc w:val="center"/>
              <w:rPr>
                <w:color w:val="auto"/>
                <w:highlight w:val="none"/>
              </w:rPr>
            </w:pPr>
            <w:r>
              <w:rPr>
                <w:color w:val="auto"/>
                <w:sz w:val="20"/>
                <w:highlight w:val="none"/>
              </w:rPr>
              <w:t>0,001∗</w:t>
            </w:r>
          </w:p>
        </w:tc>
      </w:tr>
      <w:tr w14:paraId="085EBAF8">
        <w:tblPrEx>
          <w:tblCellMar>
            <w:top w:w="0" w:type="dxa"/>
            <w:left w:w="108" w:type="dxa"/>
            <w:bottom w:w="0" w:type="dxa"/>
            <w:right w:w="108" w:type="dxa"/>
          </w:tblCellMar>
        </w:tblPrEx>
        <w:trPr>
          <w:jc w:val="center"/>
        </w:trPr>
        <w:tc>
          <w:tcPr>
            <w:tcW w:w="3458" w:type="dxa"/>
          </w:tcPr>
          <w:p w14:paraId="1B41D559">
            <w:pPr>
              <w:keepNext/>
              <w:jc w:val="left"/>
              <w:rPr>
                <w:color w:val="auto"/>
                <w:highlight w:val="none"/>
              </w:rPr>
            </w:pPr>
            <w:r>
              <w:rPr>
                <w:color w:val="auto"/>
                <w:sz w:val="20"/>
                <w:highlight w:val="none"/>
              </w:rPr>
              <w:t>IMT (kg/m</w:t>
            </w:r>
            <w:r>
              <w:rPr>
                <w:color w:val="auto"/>
                <w:sz w:val="20"/>
                <w:highlight w:val="none"/>
                <w:vertAlign w:val="superscript"/>
              </w:rPr>
              <w:t>2</w:t>
            </w:r>
            <w:r>
              <w:rPr>
                <w:color w:val="auto"/>
                <w:sz w:val="20"/>
                <w:highlight w:val="none"/>
              </w:rPr>
              <w:t>), rerata ± SB</w:t>
            </w:r>
          </w:p>
        </w:tc>
        <w:tc>
          <w:tcPr>
            <w:tcW w:w="1361" w:type="dxa"/>
          </w:tcPr>
          <w:p w14:paraId="1F3A9588">
            <w:pPr>
              <w:keepNext/>
              <w:jc w:val="center"/>
              <w:rPr>
                <w:rFonts w:hint="default"/>
                <w:color w:val="auto"/>
                <w:highlight w:val="none"/>
                <w:lang w:val="id-ID"/>
              </w:rPr>
            </w:pPr>
            <w:r>
              <w:rPr>
                <w:color w:val="auto"/>
                <w:sz w:val="20"/>
                <w:highlight w:val="none"/>
              </w:rPr>
              <w:t>24,1 ± 6,3</w:t>
            </w:r>
          </w:p>
        </w:tc>
        <w:tc>
          <w:tcPr>
            <w:tcW w:w="1361" w:type="dxa"/>
          </w:tcPr>
          <w:p w14:paraId="4DDF269E">
            <w:pPr>
              <w:keepNext/>
              <w:jc w:val="center"/>
              <w:rPr>
                <w:rFonts w:hint="default"/>
                <w:color w:val="auto"/>
                <w:highlight w:val="none"/>
                <w:lang w:val="id-ID"/>
              </w:rPr>
            </w:pPr>
            <w:r>
              <w:rPr>
                <w:color w:val="auto"/>
                <w:sz w:val="20"/>
                <w:highlight w:val="none"/>
              </w:rPr>
              <w:t>24,5 ± 4,0</w:t>
            </w:r>
          </w:p>
        </w:tc>
        <w:tc>
          <w:tcPr>
            <w:tcW w:w="1361" w:type="dxa"/>
          </w:tcPr>
          <w:p w14:paraId="11CB426B">
            <w:pPr>
              <w:keepNext/>
              <w:jc w:val="center"/>
              <w:rPr>
                <w:rFonts w:hint="default"/>
                <w:color w:val="auto"/>
                <w:highlight w:val="none"/>
                <w:lang w:val="id-ID"/>
              </w:rPr>
            </w:pPr>
            <w:r>
              <w:rPr>
                <w:color w:val="auto"/>
                <w:sz w:val="20"/>
                <w:highlight w:val="none"/>
              </w:rPr>
              <w:t>24,3 ± 5,4</w:t>
            </w:r>
          </w:p>
        </w:tc>
        <w:tc>
          <w:tcPr>
            <w:tcW w:w="907" w:type="dxa"/>
          </w:tcPr>
          <w:p w14:paraId="11607D0E">
            <w:pPr>
              <w:keepNext/>
              <w:jc w:val="center"/>
              <w:rPr>
                <w:rFonts w:hint="default"/>
                <w:color w:val="auto"/>
                <w:highlight w:val="none"/>
                <w:lang w:val="id-ID"/>
              </w:rPr>
            </w:pPr>
            <w:r>
              <w:rPr>
                <w:color w:val="auto"/>
                <w:sz w:val="20"/>
                <w:highlight w:val="none"/>
              </w:rPr>
              <w:t>0,327</w:t>
            </w:r>
          </w:p>
        </w:tc>
      </w:tr>
      <w:tr w14:paraId="63429C6A">
        <w:tblPrEx>
          <w:tblCellMar>
            <w:top w:w="0" w:type="dxa"/>
            <w:left w:w="108" w:type="dxa"/>
            <w:bottom w:w="0" w:type="dxa"/>
            <w:right w:w="108" w:type="dxa"/>
          </w:tblCellMar>
        </w:tblPrEx>
        <w:trPr>
          <w:jc w:val="center"/>
        </w:trPr>
        <w:tc>
          <w:tcPr>
            <w:tcW w:w="3458" w:type="dxa"/>
          </w:tcPr>
          <w:p w14:paraId="5AE61276">
            <w:pPr>
              <w:keepNext/>
              <w:jc w:val="left"/>
              <w:rPr>
                <w:color w:val="auto"/>
                <w:highlight w:val="none"/>
              </w:rPr>
            </w:pPr>
            <w:r>
              <w:rPr>
                <w:color w:val="auto"/>
                <w:sz w:val="20"/>
                <w:highlight w:val="none"/>
              </w:rPr>
              <w:t>Berat badan lebih/obesitas (IMT ≥23,0)</w:t>
            </w:r>
          </w:p>
        </w:tc>
        <w:tc>
          <w:tcPr>
            <w:tcW w:w="1361" w:type="dxa"/>
          </w:tcPr>
          <w:p w14:paraId="346E7B6A">
            <w:pPr>
              <w:keepNext/>
              <w:jc w:val="center"/>
              <w:rPr>
                <w:color w:val="auto"/>
                <w:highlight w:val="none"/>
              </w:rPr>
            </w:pPr>
            <w:r>
              <w:rPr>
                <w:color w:val="auto"/>
                <w:sz w:val="20"/>
                <w:highlight w:val="none"/>
              </w:rPr>
              <w:t>21 (47,7)</w:t>
            </w:r>
          </w:p>
        </w:tc>
        <w:tc>
          <w:tcPr>
            <w:tcW w:w="1361" w:type="dxa"/>
          </w:tcPr>
          <w:p w14:paraId="6CDE036C">
            <w:pPr>
              <w:keepNext/>
              <w:jc w:val="center"/>
              <w:rPr>
                <w:color w:val="auto"/>
                <w:highlight w:val="none"/>
              </w:rPr>
            </w:pPr>
            <w:r>
              <w:rPr>
                <w:color w:val="auto"/>
                <w:sz w:val="20"/>
                <w:highlight w:val="none"/>
              </w:rPr>
              <w:t>17 (56,7)</w:t>
            </w:r>
          </w:p>
        </w:tc>
        <w:tc>
          <w:tcPr>
            <w:tcW w:w="1361" w:type="dxa"/>
          </w:tcPr>
          <w:p w14:paraId="248E9216">
            <w:pPr>
              <w:keepNext/>
              <w:jc w:val="center"/>
              <w:rPr>
                <w:color w:val="auto"/>
                <w:highlight w:val="none"/>
              </w:rPr>
            </w:pPr>
            <w:r>
              <w:rPr>
                <w:color w:val="auto"/>
                <w:sz w:val="20"/>
                <w:highlight w:val="none"/>
              </w:rPr>
              <w:t>38 (51,4)</w:t>
            </w:r>
          </w:p>
        </w:tc>
        <w:tc>
          <w:tcPr>
            <w:tcW w:w="907" w:type="dxa"/>
          </w:tcPr>
          <w:p w14:paraId="56A9C8A5">
            <w:pPr>
              <w:keepNext/>
              <w:jc w:val="center"/>
              <w:rPr>
                <w:rFonts w:hint="default"/>
                <w:color w:val="auto"/>
                <w:highlight w:val="none"/>
                <w:lang w:val="id-ID"/>
              </w:rPr>
            </w:pPr>
            <w:r>
              <w:rPr>
                <w:color w:val="auto"/>
                <w:sz w:val="20"/>
                <w:highlight w:val="none"/>
              </w:rPr>
              <w:t>0,450</w:t>
            </w:r>
          </w:p>
        </w:tc>
      </w:tr>
      <w:tr w14:paraId="7002F6A0">
        <w:tblPrEx>
          <w:tblCellMar>
            <w:top w:w="0" w:type="dxa"/>
            <w:left w:w="108" w:type="dxa"/>
            <w:bottom w:w="0" w:type="dxa"/>
            <w:right w:w="108" w:type="dxa"/>
          </w:tblCellMar>
        </w:tblPrEx>
        <w:trPr>
          <w:jc w:val="center"/>
        </w:trPr>
        <w:tc>
          <w:tcPr>
            <w:tcW w:w="3458" w:type="dxa"/>
          </w:tcPr>
          <w:p w14:paraId="742F4BD7">
            <w:pPr>
              <w:keepNext/>
              <w:jc w:val="left"/>
              <w:rPr>
                <w:color w:val="auto"/>
                <w:highlight w:val="none"/>
              </w:rPr>
            </w:pPr>
            <w:r>
              <w:rPr>
                <w:color w:val="auto"/>
                <w:sz w:val="20"/>
                <w:highlight w:val="none"/>
              </w:rPr>
              <w:t>Platform utama: WhatsApp</w:t>
            </w:r>
          </w:p>
        </w:tc>
        <w:tc>
          <w:tcPr>
            <w:tcW w:w="1361" w:type="dxa"/>
          </w:tcPr>
          <w:p w14:paraId="0EE3DA8F">
            <w:pPr>
              <w:keepNext/>
              <w:jc w:val="center"/>
              <w:rPr>
                <w:color w:val="auto"/>
                <w:highlight w:val="none"/>
              </w:rPr>
            </w:pPr>
            <w:r>
              <w:rPr>
                <w:color w:val="auto"/>
                <w:sz w:val="20"/>
                <w:highlight w:val="none"/>
              </w:rPr>
              <w:t>22 (50,0)</w:t>
            </w:r>
          </w:p>
        </w:tc>
        <w:tc>
          <w:tcPr>
            <w:tcW w:w="1361" w:type="dxa"/>
          </w:tcPr>
          <w:p w14:paraId="1E5A5622">
            <w:pPr>
              <w:keepNext/>
              <w:jc w:val="center"/>
              <w:rPr>
                <w:color w:val="auto"/>
                <w:highlight w:val="none"/>
              </w:rPr>
            </w:pPr>
            <w:r>
              <w:rPr>
                <w:color w:val="auto"/>
                <w:sz w:val="20"/>
                <w:highlight w:val="none"/>
              </w:rPr>
              <w:t>22 (73,3)</w:t>
            </w:r>
          </w:p>
        </w:tc>
        <w:tc>
          <w:tcPr>
            <w:tcW w:w="1361" w:type="dxa"/>
          </w:tcPr>
          <w:p w14:paraId="043E7A8D">
            <w:pPr>
              <w:keepNext/>
              <w:jc w:val="center"/>
              <w:rPr>
                <w:color w:val="auto"/>
                <w:highlight w:val="none"/>
              </w:rPr>
            </w:pPr>
            <w:r>
              <w:rPr>
                <w:color w:val="auto"/>
                <w:sz w:val="20"/>
                <w:highlight w:val="none"/>
              </w:rPr>
              <w:t>44 (59,5)</w:t>
            </w:r>
          </w:p>
        </w:tc>
        <w:tc>
          <w:tcPr>
            <w:tcW w:w="907" w:type="dxa"/>
          </w:tcPr>
          <w:p w14:paraId="2A05C0BE">
            <w:pPr>
              <w:keepNext/>
              <w:jc w:val="center"/>
              <w:rPr>
                <w:color w:val="auto"/>
                <w:highlight w:val="none"/>
              </w:rPr>
            </w:pPr>
            <w:r>
              <w:rPr>
                <w:color w:val="auto"/>
                <w:sz w:val="20"/>
                <w:highlight w:val="none"/>
              </w:rPr>
              <w:t>0,045∗</w:t>
            </w:r>
          </w:p>
        </w:tc>
      </w:tr>
      <w:tr w14:paraId="7BD0331A">
        <w:tblPrEx>
          <w:tblCellMar>
            <w:top w:w="0" w:type="dxa"/>
            <w:left w:w="108" w:type="dxa"/>
            <w:bottom w:w="0" w:type="dxa"/>
            <w:right w:w="108" w:type="dxa"/>
          </w:tblCellMar>
        </w:tblPrEx>
        <w:trPr>
          <w:jc w:val="center"/>
        </w:trPr>
        <w:tc>
          <w:tcPr>
            <w:tcW w:w="3458" w:type="dxa"/>
          </w:tcPr>
          <w:p w14:paraId="46A278BD">
            <w:pPr>
              <w:keepNext/>
              <w:jc w:val="left"/>
              <w:rPr>
                <w:color w:val="auto"/>
                <w:highlight w:val="none"/>
              </w:rPr>
            </w:pPr>
            <w:r>
              <w:rPr>
                <w:color w:val="auto"/>
                <w:sz w:val="20"/>
                <w:highlight w:val="none"/>
              </w:rPr>
              <w:t>Platform utama: TikTok/Instagram</w:t>
            </w:r>
          </w:p>
        </w:tc>
        <w:tc>
          <w:tcPr>
            <w:tcW w:w="1361" w:type="dxa"/>
          </w:tcPr>
          <w:p w14:paraId="02A26C79">
            <w:pPr>
              <w:keepNext/>
              <w:jc w:val="center"/>
              <w:rPr>
                <w:color w:val="auto"/>
                <w:highlight w:val="none"/>
              </w:rPr>
            </w:pPr>
            <w:r>
              <w:rPr>
                <w:color w:val="auto"/>
                <w:sz w:val="20"/>
                <w:highlight w:val="none"/>
              </w:rPr>
              <w:t>19 (43,2)</w:t>
            </w:r>
          </w:p>
        </w:tc>
        <w:tc>
          <w:tcPr>
            <w:tcW w:w="1361" w:type="dxa"/>
          </w:tcPr>
          <w:p w14:paraId="3E0AFBF4">
            <w:pPr>
              <w:keepNext/>
              <w:jc w:val="center"/>
              <w:rPr>
                <w:color w:val="auto"/>
                <w:highlight w:val="none"/>
              </w:rPr>
            </w:pPr>
            <w:r>
              <w:rPr>
                <w:color w:val="auto"/>
                <w:sz w:val="20"/>
                <w:highlight w:val="none"/>
              </w:rPr>
              <w:t>6 (20,0)</w:t>
            </w:r>
          </w:p>
        </w:tc>
        <w:tc>
          <w:tcPr>
            <w:tcW w:w="1361" w:type="dxa"/>
          </w:tcPr>
          <w:p w14:paraId="7B99A038">
            <w:pPr>
              <w:keepNext/>
              <w:jc w:val="center"/>
              <w:rPr>
                <w:color w:val="auto"/>
                <w:highlight w:val="none"/>
              </w:rPr>
            </w:pPr>
            <w:r>
              <w:rPr>
                <w:color w:val="auto"/>
                <w:sz w:val="20"/>
                <w:highlight w:val="none"/>
              </w:rPr>
              <w:t>25 (33,8)</w:t>
            </w:r>
          </w:p>
        </w:tc>
        <w:tc>
          <w:tcPr>
            <w:tcW w:w="907" w:type="dxa"/>
          </w:tcPr>
          <w:p w14:paraId="1B0DDD38">
            <w:pPr>
              <w:keepNext/>
              <w:jc w:val="center"/>
              <w:rPr>
                <w:color w:val="auto"/>
                <w:highlight w:val="none"/>
              </w:rPr>
            </w:pPr>
            <w:r>
              <w:rPr>
                <w:color w:val="auto"/>
                <w:sz w:val="20"/>
                <w:highlight w:val="none"/>
              </w:rPr>
              <w:t>0,038∗</w:t>
            </w:r>
          </w:p>
        </w:tc>
      </w:tr>
      <w:tr w14:paraId="38936296">
        <w:tblPrEx>
          <w:tblCellMar>
            <w:top w:w="0" w:type="dxa"/>
            <w:left w:w="108" w:type="dxa"/>
            <w:bottom w:w="0" w:type="dxa"/>
            <w:right w:w="108" w:type="dxa"/>
          </w:tblCellMar>
        </w:tblPrEx>
        <w:trPr>
          <w:jc w:val="center"/>
        </w:trPr>
        <w:tc>
          <w:tcPr>
            <w:tcW w:w="3458" w:type="dxa"/>
          </w:tcPr>
          <w:p w14:paraId="036633B4">
            <w:pPr>
              <w:keepNext/>
              <w:jc w:val="left"/>
              <w:rPr>
                <w:color w:val="auto"/>
                <w:highlight w:val="none"/>
              </w:rPr>
            </w:pPr>
            <w:r>
              <w:rPr>
                <w:color w:val="auto"/>
                <w:sz w:val="20"/>
                <w:highlight w:val="none"/>
              </w:rPr>
              <w:t>Akses hampir terus-menerus (sekitar setiap jam)</w:t>
            </w:r>
          </w:p>
        </w:tc>
        <w:tc>
          <w:tcPr>
            <w:tcW w:w="1361" w:type="dxa"/>
          </w:tcPr>
          <w:p w14:paraId="4B448BAE">
            <w:pPr>
              <w:keepNext/>
              <w:jc w:val="center"/>
              <w:rPr>
                <w:color w:val="auto"/>
                <w:highlight w:val="none"/>
              </w:rPr>
            </w:pPr>
            <w:r>
              <w:rPr>
                <w:color w:val="auto"/>
                <w:sz w:val="20"/>
                <w:highlight w:val="none"/>
              </w:rPr>
              <w:t>33 (75,0)</w:t>
            </w:r>
          </w:p>
        </w:tc>
        <w:tc>
          <w:tcPr>
            <w:tcW w:w="1361" w:type="dxa"/>
          </w:tcPr>
          <w:p w14:paraId="5E8032A1">
            <w:pPr>
              <w:keepNext/>
              <w:jc w:val="center"/>
              <w:rPr>
                <w:color w:val="auto"/>
                <w:highlight w:val="none"/>
              </w:rPr>
            </w:pPr>
            <w:r>
              <w:rPr>
                <w:color w:val="auto"/>
                <w:sz w:val="20"/>
                <w:highlight w:val="none"/>
              </w:rPr>
              <w:t>21 (70,0)</w:t>
            </w:r>
          </w:p>
        </w:tc>
        <w:tc>
          <w:tcPr>
            <w:tcW w:w="1361" w:type="dxa"/>
          </w:tcPr>
          <w:p w14:paraId="4338076A">
            <w:pPr>
              <w:keepNext/>
              <w:jc w:val="center"/>
              <w:rPr>
                <w:color w:val="auto"/>
                <w:highlight w:val="none"/>
              </w:rPr>
            </w:pPr>
            <w:r>
              <w:rPr>
                <w:color w:val="auto"/>
                <w:sz w:val="20"/>
                <w:highlight w:val="none"/>
              </w:rPr>
              <w:t>54 (73,0)</w:t>
            </w:r>
          </w:p>
        </w:tc>
        <w:tc>
          <w:tcPr>
            <w:tcW w:w="907" w:type="dxa"/>
          </w:tcPr>
          <w:p w14:paraId="6ABEFD19">
            <w:pPr>
              <w:keepNext/>
              <w:jc w:val="center"/>
              <w:rPr>
                <w:rFonts w:hint="default"/>
                <w:color w:val="auto"/>
                <w:highlight w:val="none"/>
                <w:lang w:val="id-ID"/>
              </w:rPr>
            </w:pPr>
            <w:r>
              <w:rPr>
                <w:color w:val="auto"/>
                <w:sz w:val="20"/>
                <w:highlight w:val="none"/>
              </w:rPr>
              <w:t>0,634</w:t>
            </w:r>
          </w:p>
        </w:tc>
      </w:tr>
      <w:tr w14:paraId="6FFE6E9B">
        <w:tblPrEx>
          <w:tblCellMar>
            <w:top w:w="0" w:type="dxa"/>
            <w:left w:w="108" w:type="dxa"/>
            <w:bottom w:w="0" w:type="dxa"/>
            <w:right w:w="108" w:type="dxa"/>
          </w:tblCellMar>
        </w:tblPrEx>
        <w:trPr>
          <w:jc w:val="center"/>
        </w:trPr>
        <w:tc>
          <w:tcPr>
            <w:tcW w:w="3458" w:type="dxa"/>
          </w:tcPr>
          <w:p w14:paraId="338728FA">
            <w:pPr>
              <w:keepNext/>
              <w:jc w:val="left"/>
              <w:rPr>
                <w:color w:val="auto"/>
                <w:highlight w:val="none"/>
              </w:rPr>
            </w:pPr>
            <w:r>
              <w:rPr>
                <w:color w:val="auto"/>
                <w:sz w:val="20"/>
                <w:highlight w:val="none"/>
              </w:rPr>
              <w:t>Durasi ≥3 jam/hari</w:t>
            </w:r>
          </w:p>
        </w:tc>
        <w:tc>
          <w:tcPr>
            <w:tcW w:w="1361" w:type="dxa"/>
          </w:tcPr>
          <w:p w14:paraId="4A1B274E">
            <w:pPr>
              <w:keepNext/>
              <w:jc w:val="center"/>
              <w:rPr>
                <w:color w:val="auto"/>
                <w:highlight w:val="none"/>
              </w:rPr>
            </w:pPr>
            <w:r>
              <w:rPr>
                <w:color w:val="auto"/>
                <w:sz w:val="20"/>
                <w:highlight w:val="none"/>
              </w:rPr>
              <w:t>27 (61,4)</w:t>
            </w:r>
          </w:p>
        </w:tc>
        <w:tc>
          <w:tcPr>
            <w:tcW w:w="1361" w:type="dxa"/>
          </w:tcPr>
          <w:p w14:paraId="6DA66DFE">
            <w:pPr>
              <w:keepNext/>
              <w:jc w:val="center"/>
              <w:rPr>
                <w:color w:val="auto"/>
                <w:highlight w:val="none"/>
              </w:rPr>
            </w:pPr>
            <w:r>
              <w:rPr>
                <w:rFonts w:hint="default"/>
                <w:color w:val="auto"/>
                <w:sz w:val="20"/>
                <w:highlight w:val="none"/>
                <w:lang w:val="id-ID"/>
              </w:rPr>
              <w:t>11 (36,7)</w:t>
            </w:r>
          </w:p>
        </w:tc>
        <w:tc>
          <w:tcPr>
            <w:tcW w:w="1361" w:type="dxa"/>
          </w:tcPr>
          <w:p w14:paraId="14817EED">
            <w:pPr>
              <w:keepNext/>
              <w:jc w:val="center"/>
              <w:rPr>
                <w:color w:val="auto"/>
                <w:highlight w:val="none"/>
              </w:rPr>
            </w:pPr>
            <w:r>
              <w:rPr>
                <w:color w:val="auto"/>
                <w:sz w:val="20"/>
                <w:highlight w:val="none"/>
              </w:rPr>
              <w:t>38 (51,4)</w:t>
            </w:r>
          </w:p>
        </w:tc>
        <w:tc>
          <w:tcPr>
            <w:tcW w:w="907" w:type="dxa"/>
          </w:tcPr>
          <w:p w14:paraId="2457B7F2">
            <w:pPr>
              <w:keepNext/>
              <w:jc w:val="center"/>
              <w:rPr>
                <w:color w:val="auto"/>
                <w:highlight w:val="none"/>
              </w:rPr>
            </w:pPr>
            <w:r>
              <w:rPr>
                <w:color w:val="auto"/>
                <w:sz w:val="20"/>
                <w:highlight w:val="none"/>
              </w:rPr>
              <w:t>0,037∗</w:t>
            </w:r>
          </w:p>
        </w:tc>
      </w:tr>
      <w:tr w14:paraId="71D831CA">
        <w:tblPrEx>
          <w:tblCellMar>
            <w:top w:w="0" w:type="dxa"/>
            <w:left w:w="108" w:type="dxa"/>
            <w:bottom w:w="0" w:type="dxa"/>
            <w:right w:w="108" w:type="dxa"/>
          </w:tblCellMar>
        </w:tblPrEx>
        <w:trPr>
          <w:jc w:val="center"/>
        </w:trPr>
        <w:tc>
          <w:tcPr>
            <w:tcW w:w="3458" w:type="dxa"/>
          </w:tcPr>
          <w:p w14:paraId="1F43967B">
            <w:pPr>
              <w:keepNext/>
              <w:jc w:val="left"/>
              <w:rPr>
                <w:color w:val="auto"/>
                <w:highlight w:val="none"/>
              </w:rPr>
            </w:pPr>
            <w:r>
              <w:rPr>
                <w:color w:val="auto"/>
                <w:sz w:val="20"/>
                <w:highlight w:val="none"/>
              </w:rPr>
              <w:t>Pernah mencari informasi prakonsepsi</w:t>
            </w:r>
            <w:r>
              <w:rPr>
                <w:color w:val="auto"/>
                <w:sz w:val="20"/>
                <w:highlight w:val="none"/>
                <w:vertAlign w:val="superscript"/>
              </w:rPr>
              <w:t>c</w:t>
            </w:r>
          </w:p>
        </w:tc>
        <w:tc>
          <w:tcPr>
            <w:tcW w:w="1361" w:type="dxa"/>
          </w:tcPr>
          <w:p w14:paraId="5554E816">
            <w:pPr>
              <w:keepNext/>
              <w:jc w:val="center"/>
              <w:rPr>
                <w:color w:val="auto"/>
                <w:highlight w:val="none"/>
              </w:rPr>
            </w:pPr>
            <w:r>
              <w:rPr>
                <w:color w:val="auto"/>
                <w:sz w:val="20"/>
                <w:highlight w:val="none"/>
              </w:rPr>
              <w:t>39 (90,7)</w:t>
            </w:r>
          </w:p>
        </w:tc>
        <w:tc>
          <w:tcPr>
            <w:tcW w:w="1361" w:type="dxa"/>
          </w:tcPr>
          <w:p w14:paraId="225ADBE0">
            <w:pPr>
              <w:keepNext/>
              <w:jc w:val="center"/>
              <w:rPr>
                <w:color w:val="auto"/>
                <w:highlight w:val="none"/>
              </w:rPr>
            </w:pPr>
            <w:r>
              <w:rPr>
                <w:color w:val="auto"/>
                <w:sz w:val="20"/>
                <w:highlight w:val="none"/>
              </w:rPr>
              <w:t>25 (83,3)</w:t>
            </w:r>
          </w:p>
        </w:tc>
        <w:tc>
          <w:tcPr>
            <w:tcW w:w="1361" w:type="dxa"/>
          </w:tcPr>
          <w:p w14:paraId="537E8304">
            <w:pPr>
              <w:keepNext/>
              <w:jc w:val="center"/>
              <w:rPr>
                <w:color w:val="auto"/>
                <w:highlight w:val="none"/>
              </w:rPr>
            </w:pPr>
            <w:r>
              <w:rPr>
                <w:color w:val="auto"/>
                <w:sz w:val="20"/>
                <w:highlight w:val="none"/>
              </w:rPr>
              <w:t>64 (87,7)</w:t>
            </w:r>
          </w:p>
        </w:tc>
        <w:tc>
          <w:tcPr>
            <w:tcW w:w="907" w:type="dxa"/>
          </w:tcPr>
          <w:p w14:paraId="63FFA023">
            <w:pPr>
              <w:keepNext/>
              <w:jc w:val="center"/>
              <w:rPr>
                <w:color w:val="auto"/>
                <w:highlight w:val="none"/>
              </w:rPr>
            </w:pPr>
            <w:r>
              <w:rPr>
                <w:color w:val="auto"/>
                <w:sz w:val="20"/>
                <w:highlight w:val="none"/>
              </w:rPr>
              <w:t>0,473</w:t>
            </w:r>
          </w:p>
        </w:tc>
      </w:tr>
      <w:tr w14:paraId="1387774D">
        <w:tblPrEx>
          <w:tblCellMar>
            <w:top w:w="0" w:type="dxa"/>
            <w:left w:w="108" w:type="dxa"/>
            <w:bottom w:w="0" w:type="dxa"/>
            <w:right w:w="108" w:type="dxa"/>
          </w:tblCellMar>
        </w:tblPrEx>
        <w:trPr>
          <w:jc w:val="center"/>
        </w:trPr>
        <w:tc>
          <w:tcPr>
            <w:tcW w:w="3458" w:type="dxa"/>
          </w:tcPr>
          <w:p w14:paraId="56929316">
            <w:pPr>
              <w:keepNext/>
              <w:jc w:val="left"/>
              <w:rPr>
                <w:color w:val="auto"/>
                <w:highlight w:val="none"/>
              </w:rPr>
            </w:pPr>
            <w:r>
              <w:rPr>
                <w:color w:val="auto"/>
                <w:sz w:val="20"/>
                <w:highlight w:val="none"/>
              </w:rPr>
              <w:t>Selalu memeriksa kebenaran informasi</w:t>
            </w:r>
            <w:r>
              <w:rPr>
                <w:color w:val="auto"/>
                <w:sz w:val="20"/>
                <w:highlight w:val="none"/>
                <w:vertAlign w:val="superscript"/>
              </w:rPr>
              <w:t>c</w:t>
            </w:r>
          </w:p>
        </w:tc>
        <w:tc>
          <w:tcPr>
            <w:tcW w:w="1361" w:type="dxa"/>
          </w:tcPr>
          <w:p w14:paraId="120D6140">
            <w:pPr>
              <w:keepNext/>
              <w:jc w:val="center"/>
              <w:rPr>
                <w:color w:val="auto"/>
                <w:highlight w:val="none"/>
              </w:rPr>
            </w:pPr>
            <w:r>
              <w:rPr>
                <w:color w:val="auto"/>
                <w:sz w:val="20"/>
                <w:highlight w:val="none"/>
              </w:rPr>
              <w:t>27 (62,8)</w:t>
            </w:r>
          </w:p>
        </w:tc>
        <w:tc>
          <w:tcPr>
            <w:tcW w:w="1361" w:type="dxa"/>
          </w:tcPr>
          <w:p w14:paraId="34921101">
            <w:pPr>
              <w:keepNext/>
              <w:jc w:val="center"/>
              <w:rPr>
                <w:color w:val="auto"/>
                <w:highlight w:val="none"/>
              </w:rPr>
            </w:pPr>
            <w:r>
              <w:rPr>
                <w:color w:val="auto"/>
                <w:sz w:val="20"/>
                <w:highlight w:val="none"/>
              </w:rPr>
              <w:t>18 (60,0)</w:t>
            </w:r>
          </w:p>
        </w:tc>
        <w:tc>
          <w:tcPr>
            <w:tcW w:w="1361" w:type="dxa"/>
          </w:tcPr>
          <w:p w14:paraId="3192AA20">
            <w:pPr>
              <w:keepNext/>
              <w:jc w:val="center"/>
              <w:rPr>
                <w:color w:val="auto"/>
                <w:highlight w:val="none"/>
              </w:rPr>
            </w:pPr>
            <w:r>
              <w:rPr>
                <w:color w:val="auto"/>
                <w:sz w:val="20"/>
                <w:highlight w:val="none"/>
              </w:rPr>
              <w:t>45 (61,6)</w:t>
            </w:r>
          </w:p>
        </w:tc>
        <w:tc>
          <w:tcPr>
            <w:tcW w:w="907" w:type="dxa"/>
          </w:tcPr>
          <w:p w14:paraId="6AAD0A96">
            <w:pPr>
              <w:keepNext/>
              <w:jc w:val="center"/>
              <w:rPr>
                <w:rFonts w:hint="default"/>
                <w:color w:val="auto"/>
                <w:highlight w:val="none"/>
                <w:lang w:val="id-ID"/>
              </w:rPr>
            </w:pPr>
            <w:r>
              <w:rPr>
                <w:color w:val="auto"/>
                <w:sz w:val="20"/>
                <w:highlight w:val="none"/>
              </w:rPr>
              <w:t>0,809</w:t>
            </w:r>
          </w:p>
        </w:tc>
      </w:tr>
      <w:tr w14:paraId="6998D6EE">
        <w:tblPrEx>
          <w:tblCellMar>
            <w:top w:w="0" w:type="dxa"/>
            <w:left w:w="108" w:type="dxa"/>
            <w:bottom w:w="0" w:type="dxa"/>
            <w:right w:w="108" w:type="dxa"/>
          </w:tblCellMar>
        </w:tblPrEx>
        <w:trPr>
          <w:jc w:val="center"/>
        </w:trPr>
        <w:tc>
          <w:tcPr>
            <w:tcW w:w="3458" w:type="dxa"/>
          </w:tcPr>
          <w:p w14:paraId="53E2D100">
            <w:pPr>
              <w:keepNext/>
              <w:jc w:val="left"/>
              <w:rPr>
                <w:color w:val="auto"/>
                <w:highlight w:val="none"/>
              </w:rPr>
            </w:pPr>
            <w:r>
              <w:rPr>
                <w:color w:val="auto"/>
                <w:sz w:val="20"/>
                <w:highlight w:val="none"/>
              </w:rPr>
              <w:t>Sumber: akun tenaga kesehatan/resmi</w:t>
            </w:r>
            <w:r>
              <w:rPr>
                <w:color w:val="auto"/>
                <w:sz w:val="20"/>
                <w:highlight w:val="none"/>
                <w:vertAlign w:val="superscript"/>
              </w:rPr>
              <w:t>d</w:t>
            </w:r>
          </w:p>
        </w:tc>
        <w:tc>
          <w:tcPr>
            <w:tcW w:w="1361" w:type="dxa"/>
          </w:tcPr>
          <w:p w14:paraId="6B9C1481">
            <w:pPr>
              <w:keepNext/>
              <w:jc w:val="center"/>
              <w:rPr>
                <w:color w:val="auto"/>
                <w:highlight w:val="none"/>
              </w:rPr>
            </w:pPr>
            <w:r>
              <w:rPr>
                <w:color w:val="auto"/>
                <w:sz w:val="20"/>
                <w:highlight w:val="none"/>
              </w:rPr>
              <w:t>34 (77,3)</w:t>
            </w:r>
          </w:p>
        </w:tc>
        <w:tc>
          <w:tcPr>
            <w:tcW w:w="1361" w:type="dxa"/>
          </w:tcPr>
          <w:p w14:paraId="4D48769D">
            <w:pPr>
              <w:keepNext/>
              <w:jc w:val="center"/>
              <w:rPr>
                <w:color w:val="auto"/>
                <w:highlight w:val="none"/>
              </w:rPr>
            </w:pPr>
            <w:r>
              <w:rPr>
                <w:color w:val="auto"/>
                <w:sz w:val="20"/>
                <w:highlight w:val="none"/>
              </w:rPr>
              <w:t>22 (73,3)</w:t>
            </w:r>
          </w:p>
        </w:tc>
        <w:tc>
          <w:tcPr>
            <w:tcW w:w="1361" w:type="dxa"/>
          </w:tcPr>
          <w:p w14:paraId="12649CF2">
            <w:pPr>
              <w:keepNext/>
              <w:jc w:val="center"/>
              <w:rPr>
                <w:color w:val="auto"/>
                <w:highlight w:val="none"/>
              </w:rPr>
            </w:pPr>
            <w:r>
              <w:rPr>
                <w:color w:val="auto"/>
                <w:sz w:val="20"/>
                <w:highlight w:val="none"/>
              </w:rPr>
              <w:t>56 (75,7)</w:t>
            </w:r>
          </w:p>
        </w:tc>
        <w:tc>
          <w:tcPr>
            <w:tcW w:w="907" w:type="dxa"/>
          </w:tcPr>
          <w:p w14:paraId="5A9F94A9">
            <w:pPr>
              <w:keepNext/>
              <w:jc w:val="center"/>
              <w:rPr>
                <w:rFonts w:hint="default"/>
                <w:color w:val="auto"/>
                <w:highlight w:val="none"/>
                <w:lang w:val="id-ID"/>
              </w:rPr>
            </w:pPr>
            <w:r>
              <w:rPr>
                <w:color w:val="auto"/>
                <w:sz w:val="20"/>
                <w:highlight w:val="none"/>
              </w:rPr>
              <w:t>0,698</w:t>
            </w:r>
          </w:p>
        </w:tc>
      </w:tr>
      <w:tr w14:paraId="1D9D0BD9">
        <w:tblPrEx>
          <w:tblCellMar>
            <w:top w:w="0" w:type="dxa"/>
            <w:left w:w="108" w:type="dxa"/>
            <w:bottom w:w="0" w:type="dxa"/>
            <w:right w:w="108" w:type="dxa"/>
          </w:tblCellMar>
        </w:tblPrEx>
        <w:trPr>
          <w:jc w:val="center"/>
        </w:trPr>
        <w:tc>
          <w:tcPr>
            <w:tcW w:w="3458" w:type="dxa"/>
          </w:tcPr>
          <w:p w14:paraId="67D023CC">
            <w:pPr>
              <w:keepNext/>
              <w:jc w:val="left"/>
              <w:rPr>
                <w:color w:val="auto"/>
                <w:highlight w:val="none"/>
              </w:rPr>
            </w:pPr>
            <w:r>
              <w:rPr>
                <w:color w:val="auto"/>
                <w:sz w:val="20"/>
                <w:highlight w:val="none"/>
              </w:rPr>
              <w:t xml:space="preserve">Sumber: </w:t>
            </w:r>
            <w:r>
              <w:rPr>
                <w:i/>
                <w:color w:val="auto"/>
                <w:sz w:val="20"/>
                <w:highlight w:val="none"/>
              </w:rPr>
              <w:t>influencer</w:t>
            </w:r>
            <w:r>
              <w:rPr>
                <w:color w:val="auto"/>
                <w:sz w:val="20"/>
                <w:highlight w:val="none"/>
                <w:vertAlign w:val="superscript"/>
              </w:rPr>
              <w:t>d</w:t>
            </w:r>
          </w:p>
        </w:tc>
        <w:tc>
          <w:tcPr>
            <w:tcW w:w="1361" w:type="dxa"/>
          </w:tcPr>
          <w:p w14:paraId="6B5D9336">
            <w:pPr>
              <w:keepNext/>
              <w:jc w:val="center"/>
              <w:rPr>
                <w:color w:val="auto"/>
                <w:highlight w:val="none"/>
              </w:rPr>
            </w:pPr>
            <w:r>
              <w:rPr>
                <w:color w:val="auto"/>
                <w:sz w:val="20"/>
                <w:highlight w:val="none"/>
              </w:rPr>
              <w:t>19 (43,2)</w:t>
            </w:r>
          </w:p>
        </w:tc>
        <w:tc>
          <w:tcPr>
            <w:tcW w:w="1361" w:type="dxa"/>
          </w:tcPr>
          <w:p w14:paraId="3862304B">
            <w:pPr>
              <w:keepNext/>
              <w:jc w:val="center"/>
              <w:rPr>
                <w:color w:val="auto"/>
                <w:highlight w:val="none"/>
              </w:rPr>
            </w:pPr>
            <w:r>
              <w:rPr>
                <w:color w:val="auto"/>
                <w:sz w:val="20"/>
                <w:highlight w:val="none"/>
              </w:rPr>
              <w:t>10 (33,3)</w:t>
            </w:r>
          </w:p>
        </w:tc>
        <w:tc>
          <w:tcPr>
            <w:tcW w:w="1361" w:type="dxa"/>
          </w:tcPr>
          <w:p w14:paraId="3ADEFF14">
            <w:pPr>
              <w:keepNext/>
              <w:jc w:val="center"/>
              <w:rPr>
                <w:color w:val="auto"/>
                <w:highlight w:val="none"/>
              </w:rPr>
            </w:pPr>
            <w:r>
              <w:rPr>
                <w:color w:val="auto"/>
                <w:sz w:val="20"/>
                <w:highlight w:val="none"/>
              </w:rPr>
              <w:t>29 (39,2)</w:t>
            </w:r>
          </w:p>
        </w:tc>
        <w:tc>
          <w:tcPr>
            <w:tcW w:w="907" w:type="dxa"/>
          </w:tcPr>
          <w:p w14:paraId="7E91B5E6">
            <w:pPr>
              <w:keepNext/>
              <w:jc w:val="center"/>
              <w:rPr>
                <w:rFonts w:hint="default"/>
                <w:color w:val="auto"/>
                <w:highlight w:val="none"/>
                <w:lang w:val="id-ID"/>
              </w:rPr>
            </w:pPr>
            <w:r>
              <w:rPr>
                <w:color w:val="auto"/>
                <w:sz w:val="20"/>
                <w:highlight w:val="none"/>
              </w:rPr>
              <w:t>0,394</w:t>
            </w:r>
          </w:p>
        </w:tc>
      </w:tr>
      <w:tr w14:paraId="11B4131C">
        <w:tblPrEx>
          <w:tblCellMar>
            <w:top w:w="0" w:type="dxa"/>
            <w:left w:w="108" w:type="dxa"/>
            <w:bottom w:w="0" w:type="dxa"/>
            <w:right w:w="108" w:type="dxa"/>
          </w:tblCellMar>
        </w:tblPrEx>
        <w:trPr>
          <w:jc w:val="center"/>
        </w:trPr>
        <w:tc>
          <w:tcPr>
            <w:tcW w:w="3458" w:type="dxa"/>
          </w:tcPr>
          <w:p w14:paraId="10DBC8DE">
            <w:pPr>
              <w:keepNext/>
              <w:jc w:val="left"/>
              <w:rPr>
                <w:color w:val="auto"/>
                <w:highlight w:val="none"/>
              </w:rPr>
            </w:pPr>
            <w:r>
              <w:rPr>
                <w:color w:val="auto"/>
                <w:sz w:val="20"/>
                <w:highlight w:val="none"/>
              </w:rPr>
              <w:t>Pernah tertarik produk yang dipromosikan</w:t>
            </w:r>
          </w:p>
        </w:tc>
        <w:tc>
          <w:tcPr>
            <w:tcW w:w="1361" w:type="dxa"/>
          </w:tcPr>
          <w:p w14:paraId="49407D5D">
            <w:pPr>
              <w:keepNext/>
              <w:jc w:val="center"/>
              <w:rPr>
                <w:color w:val="auto"/>
                <w:highlight w:val="none"/>
              </w:rPr>
            </w:pPr>
            <w:r>
              <w:rPr>
                <w:color w:val="auto"/>
                <w:sz w:val="20"/>
                <w:highlight w:val="none"/>
              </w:rPr>
              <w:t>34 (77,3)</w:t>
            </w:r>
          </w:p>
        </w:tc>
        <w:tc>
          <w:tcPr>
            <w:tcW w:w="1361" w:type="dxa"/>
          </w:tcPr>
          <w:p w14:paraId="0142F374">
            <w:pPr>
              <w:keepNext/>
              <w:jc w:val="center"/>
              <w:rPr>
                <w:color w:val="auto"/>
                <w:highlight w:val="none"/>
              </w:rPr>
            </w:pPr>
            <w:r>
              <w:rPr>
                <w:rFonts w:hint="default"/>
                <w:color w:val="auto"/>
                <w:sz w:val="20"/>
                <w:highlight w:val="none"/>
                <w:lang w:val="id-ID"/>
              </w:rPr>
              <w:t>19 (63,3)</w:t>
            </w:r>
          </w:p>
        </w:tc>
        <w:tc>
          <w:tcPr>
            <w:tcW w:w="1361" w:type="dxa"/>
          </w:tcPr>
          <w:p w14:paraId="42DF1786">
            <w:pPr>
              <w:keepNext/>
              <w:jc w:val="center"/>
              <w:rPr>
                <w:color w:val="auto"/>
                <w:highlight w:val="none"/>
              </w:rPr>
            </w:pPr>
            <w:r>
              <w:rPr>
                <w:color w:val="auto"/>
                <w:sz w:val="20"/>
                <w:highlight w:val="none"/>
              </w:rPr>
              <w:t>53 (71,6)</w:t>
            </w:r>
          </w:p>
        </w:tc>
        <w:tc>
          <w:tcPr>
            <w:tcW w:w="907" w:type="dxa"/>
          </w:tcPr>
          <w:p w14:paraId="5CE349C6">
            <w:pPr>
              <w:keepNext/>
              <w:jc w:val="center"/>
              <w:rPr>
                <w:rFonts w:hint="default"/>
                <w:color w:val="auto"/>
                <w:highlight w:val="none"/>
                <w:lang w:val="id-ID"/>
              </w:rPr>
            </w:pPr>
            <w:r>
              <w:rPr>
                <w:color w:val="auto"/>
                <w:sz w:val="20"/>
                <w:highlight w:val="none"/>
              </w:rPr>
              <w:t>0,192</w:t>
            </w:r>
          </w:p>
        </w:tc>
      </w:tr>
      <w:tr w14:paraId="736F0794">
        <w:tblPrEx>
          <w:tblCellMar>
            <w:top w:w="0" w:type="dxa"/>
            <w:left w:w="108" w:type="dxa"/>
            <w:bottom w:w="0" w:type="dxa"/>
            <w:right w:w="108" w:type="dxa"/>
          </w:tblCellMar>
        </w:tblPrEx>
        <w:trPr>
          <w:jc w:val="center"/>
        </w:trPr>
        <w:tc>
          <w:tcPr>
            <w:tcW w:w="3458" w:type="dxa"/>
          </w:tcPr>
          <w:p w14:paraId="05DEA7E0">
            <w:pPr>
              <w:keepNext/>
              <w:jc w:val="left"/>
              <w:rPr>
                <w:color w:val="auto"/>
                <w:highlight w:val="none"/>
              </w:rPr>
            </w:pPr>
            <w:r>
              <w:rPr>
                <w:color w:val="auto"/>
                <w:sz w:val="20"/>
                <w:highlight w:val="none"/>
              </w:rPr>
              <w:t>Skor pengetahuan (%), rerata ± SB</w:t>
            </w:r>
          </w:p>
        </w:tc>
        <w:tc>
          <w:tcPr>
            <w:tcW w:w="1361" w:type="dxa"/>
          </w:tcPr>
          <w:p w14:paraId="61F61C53">
            <w:pPr>
              <w:keepNext/>
              <w:jc w:val="center"/>
              <w:rPr>
                <w:rFonts w:hint="default"/>
                <w:color w:val="auto"/>
                <w:highlight w:val="none"/>
                <w:lang w:val="id-ID"/>
              </w:rPr>
            </w:pPr>
            <w:r>
              <w:rPr>
                <w:color w:val="auto"/>
                <w:sz w:val="20"/>
                <w:highlight w:val="none"/>
              </w:rPr>
              <w:t>84,3 ± 13,6</w:t>
            </w:r>
          </w:p>
        </w:tc>
        <w:tc>
          <w:tcPr>
            <w:tcW w:w="1361" w:type="dxa"/>
          </w:tcPr>
          <w:p w14:paraId="57CE8600">
            <w:pPr>
              <w:keepNext/>
              <w:jc w:val="center"/>
              <w:rPr>
                <w:rFonts w:hint="default"/>
                <w:color w:val="auto"/>
                <w:highlight w:val="none"/>
                <w:lang w:val="id-ID"/>
              </w:rPr>
            </w:pPr>
            <w:r>
              <w:rPr>
                <w:color w:val="auto"/>
                <w:sz w:val="20"/>
                <w:highlight w:val="none"/>
              </w:rPr>
              <w:t>76,5 ± 19,9</w:t>
            </w:r>
          </w:p>
        </w:tc>
        <w:tc>
          <w:tcPr>
            <w:tcW w:w="1361" w:type="dxa"/>
          </w:tcPr>
          <w:p w14:paraId="53E641E5">
            <w:pPr>
              <w:keepNext/>
              <w:jc w:val="center"/>
              <w:rPr>
                <w:rFonts w:hint="default"/>
                <w:color w:val="auto"/>
                <w:highlight w:val="none"/>
                <w:lang w:val="id-ID"/>
              </w:rPr>
            </w:pPr>
            <w:r>
              <w:rPr>
                <w:color w:val="auto"/>
                <w:sz w:val="20"/>
                <w:highlight w:val="none"/>
              </w:rPr>
              <w:t>81,1 ± 16,8</w:t>
            </w:r>
          </w:p>
        </w:tc>
        <w:tc>
          <w:tcPr>
            <w:tcW w:w="907" w:type="dxa"/>
          </w:tcPr>
          <w:p w14:paraId="54E359A7">
            <w:pPr>
              <w:keepNext/>
              <w:jc w:val="center"/>
              <w:rPr>
                <w:rFonts w:hint="default"/>
                <w:color w:val="auto"/>
                <w:highlight w:val="none"/>
                <w:lang w:val="id-ID"/>
              </w:rPr>
            </w:pPr>
            <w:r>
              <w:rPr>
                <w:color w:val="auto"/>
                <w:sz w:val="20"/>
                <w:highlight w:val="none"/>
              </w:rPr>
              <w:t>0,150</w:t>
            </w:r>
          </w:p>
        </w:tc>
      </w:tr>
      <w:tr w14:paraId="141852A3">
        <w:tblPrEx>
          <w:tblCellMar>
            <w:top w:w="0" w:type="dxa"/>
            <w:left w:w="108" w:type="dxa"/>
            <w:bottom w:w="0" w:type="dxa"/>
            <w:right w:w="108" w:type="dxa"/>
          </w:tblCellMar>
        </w:tblPrEx>
        <w:trPr>
          <w:jc w:val="center"/>
        </w:trPr>
        <w:tc>
          <w:tcPr>
            <w:tcW w:w="3458" w:type="dxa"/>
          </w:tcPr>
          <w:p w14:paraId="686A82B6">
            <w:pPr>
              <w:keepNext/>
              <w:jc w:val="left"/>
              <w:rPr>
                <w:color w:val="auto"/>
                <w:highlight w:val="none"/>
              </w:rPr>
            </w:pPr>
            <w:r>
              <w:rPr>
                <w:color w:val="auto"/>
                <w:sz w:val="20"/>
                <w:highlight w:val="none"/>
              </w:rPr>
              <w:t>Pengetahuan baik (&gt;80%)</w:t>
            </w:r>
          </w:p>
        </w:tc>
        <w:tc>
          <w:tcPr>
            <w:tcW w:w="1361" w:type="dxa"/>
          </w:tcPr>
          <w:p w14:paraId="123AA9F6">
            <w:pPr>
              <w:keepNext/>
              <w:jc w:val="center"/>
              <w:rPr>
                <w:color w:val="auto"/>
                <w:highlight w:val="none"/>
              </w:rPr>
            </w:pPr>
            <w:r>
              <w:rPr>
                <w:color w:val="auto"/>
                <w:sz w:val="20"/>
                <w:highlight w:val="none"/>
              </w:rPr>
              <w:t>29 (65,9)</w:t>
            </w:r>
          </w:p>
        </w:tc>
        <w:tc>
          <w:tcPr>
            <w:tcW w:w="1361" w:type="dxa"/>
          </w:tcPr>
          <w:p w14:paraId="02B3D12C">
            <w:pPr>
              <w:keepNext/>
              <w:jc w:val="center"/>
              <w:rPr>
                <w:color w:val="auto"/>
                <w:highlight w:val="none"/>
              </w:rPr>
            </w:pPr>
            <w:r>
              <w:rPr>
                <w:color w:val="auto"/>
                <w:sz w:val="20"/>
                <w:highlight w:val="none"/>
              </w:rPr>
              <w:t>15 (50,0)</w:t>
            </w:r>
          </w:p>
        </w:tc>
        <w:tc>
          <w:tcPr>
            <w:tcW w:w="1361" w:type="dxa"/>
          </w:tcPr>
          <w:p w14:paraId="44FE3770">
            <w:pPr>
              <w:keepNext/>
              <w:jc w:val="center"/>
              <w:rPr>
                <w:color w:val="auto"/>
                <w:highlight w:val="none"/>
              </w:rPr>
            </w:pPr>
            <w:r>
              <w:rPr>
                <w:color w:val="auto"/>
                <w:sz w:val="20"/>
                <w:highlight w:val="none"/>
              </w:rPr>
              <w:t>44 (59,5)</w:t>
            </w:r>
          </w:p>
        </w:tc>
        <w:tc>
          <w:tcPr>
            <w:tcW w:w="907" w:type="dxa"/>
          </w:tcPr>
          <w:p w14:paraId="62C7039D">
            <w:pPr>
              <w:keepNext/>
              <w:jc w:val="center"/>
              <w:rPr>
                <w:rFonts w:hint="default"/>
                <w:color w:val="auto"/>
                <w:highlight w:val="none"/>
                <w:lang w:val="id-ID"/>
              </w:rPr>
            </w:pPr>
            <w:r>
              <w:rPr>
                <w:color w:val="auto"/>
                <w:sz w:val="20"/>
                <w:highlight w:val="none"/>
              </w:rPr>
              <w:t>0,171</w:t>
            </w:r>
          </w:p>
        </w:tc>
      </w:tr>
      <w:tr w14:paraId="6CB516B1">
        <w:tblPrEx>
          <w:tblCellMar>
            <w:top w:w="0" w:type="dxa"/>
            <w:left w:w="108" w:type="dxa"/>
            <w:bottom w:w="0" w:type="dxa"/>
            <w:right w:w="108" w:type="dxa"/>
          </w:tblCellMar>
        </w:tblPrEx>
        <w:trPr>
          <w:jc w:val="center"/>
        </w:trPr>
        <w:tc>
          <w:tcPr>
            <w:tcW w:w="3458" w:type="dxa"/>
          </w:tcPr>
          <w:p w14:paraId="251A4D0F">
            <w:pPr>
              <w:keepNext/>
              <w:jc w:val="left"/>
              <w:rPr>
                <w:color w:val="auto"/>
                <w:highlight w:val="none"/>
              </w:rPr>
            </w:pPr>
            <w:r>
              <w:rPr>
                <w:color w:val="auto"/>
                <w:sz w:val="20"/>
                <w:highlight w:val="none"/>
              </w:rPr>
              <w:t>Skor sikap (24–96), rerata ± SB</w:t>
            </w:r>
          </w:p>
        </w:tc>
        <w:tc>
          <w:tcPr>
            <w:tcW w:w="1361" w:type="dxa"/>
          </w:tcPr>
          <w:p w14:paraId="6B20ACF7">
            <w:pPr>
              <w:keepNext/>
              <w:jc w:val="center"/>
              <w:rPr>
                <w:rFonts w:hint="default"/>
                <w:color w:val="auto"/>
                <w:highlight w:val="none"/>
                <w:lang w:val="id-ID"/>
              </w:rPr>
            </w:pPr>
            <w:r>
              <w:rPr>
                <w:color w:val="auto"/>
                <w:sz w:val="20"/>
                <w:highlight w:val="none"/>
              </w:rPr>
              <w:t>75,7 ± 10,4</w:t>
            </w:r>
          </w:p>
        </w:tc>
        <w:tc>
          <w:tcPr>
            <w:tcW w:w="1361" w:type="dxa"/>
          </w:tcPr>
          <w:p w14:paraId="308D2A67">
            <w:pPr>
              <w:keepNext/>
              <w:jc w:val="center"/>
              <w:rPr>
                <w:rFonts w:hint="default"/>
                <w:color w:val="auto"/>
                <w:highlight w:val="none"/>
                <w:lang w:val="id-ID"/>
              </w:rPr>
            </w:pPr>
            <w:r>
              <w:rPr>
                <w:color w:val="auto"/>
                <w:sz w:val="20"/>
                <w:highlight w:val="none"/>
              </w:rPr>
              <w:t>74,9 ± 12,0</w:t>
            </w:r>
          </w:p>
        </w:tc>
        <w:tc>
          <w:tcPr>
            <w:tcW w:w="1361" w:type="dxa"/>
          </w:tcPr>
          <w:p w14:paraId="222C46FB">
            <w:pPr>
              <w:keepNext/>
              <w:jc w:val="center"/>
              <w:rPr>
                <w:color w:val="auto"/>
                <w:highlight w:val="none"/>
              </w:rPr>
            </w:pPr>
            <w:r>
              <w:rPr>
                <w:color w:val="auto"/>
                <w:sz w:val="20"/>
                <w:highlight w:val="none"/>
              </w:rPr>
              <w:t>75,4 ± 11,0</w:t>
            </w:r>
          </w:p>
        </w:tc>
        <w:tc>
          <w:tcPr>
            <w:tcW w:w="907" w:type="dxa"/>
          </w:tcPr>
          <w:p w14:paraId="43CBD21D">
            <w:pPr>
              <w:keepNext/>
              <w:jc w:val="center"/>
              <w:rPr>
                <w:rFonts w:hint="default"/>
                <w:color w:val="auto"/>
                <w:highlight w:val="none"/>
                <w:lang w:val="id-ID"/>
              </w:rPr>
            </w:pPr>
            <w:r>
              <w:rPr>
                <w:color w:val="auto"/>
                <w:sz w:val="20"/>
                <w:highlight w:val="none"/>
              </w:rPr>
              <w:t>0,480</w:t>
            </w:r>
          </w:p>
        </w:tc>
      </w:tr>
      <w:tr w14:paraId="2108ECB1">
        <w:tblPrEx>
          <w:tblCellMar>
            <w:top w:w="0" w:type="dxa"/>
            <w:left w:w="108" w:type="dxa"/>
            <w:bottom w:w="0" w:type="dxa"/>
            <w:right w:w="108" w:type="dxa"/>
          </w:tblCellMar>
        </w:tblPrEx>
        <w:trPr>
          <w:jc w:val="center"/>
        </w:trPr>
        <w:tc>
          <w:tcPr>
            <w:tcW w:w="3458" w:type="dxa"/>
            <w:tcBorders>
              <w:bottom w:val="single" w:color="000000" w:sz="6" w:space="0"/>
            </w:tcBorders>
          </w:tcPr>
          <w:p w14:paraId="692C3908">
            <w:pPr>
              <w:keepNext/>
              <w:jc w:val="left"/>
              <w:rPr>
                <w:color w:val="auto"/>
                <w:highlight w:val="none"/>
              </w:rPr>
            </w:pPr>
            <w:r>
              <w:rPr>
                <w:color w:val="auto"/>
                <w:sz w:val="20"/>
                <w:highlight w:val="none"/>
              </w:rPr>
              <w:t>Sikap positif (≥72)</w:t>
            </w:r>
          </w:p>
        </w:tc>
        <w:tc>
          <w:tcPr>
            <w:tcW w:w="1361" w:type="dxa"/>
            <w:tcBorders>
              <w:bottom w:val="single" w:color="000000" w:sz="6" w:space="0"/>
            </w:tcBorders>
          </w:tcPr>
          <w:p w14:paraId="11123372">
            <w:pPr>
              <w:keepNext/>
              <w:jc w:val="center"/>
              <w:rPr>
                <w:color w:val="auto"/>
                <w:highlight w:val="none"/>
              </w:rPr>
            </w:pPr>
            <w:r>
              <w:rPr>
                <w:color w:val="auto"/>
                <w:sz w:val="20"/>
                <w:highlight w:val="none"/>
              </w:rPr>
              <w:t>33 (75,0)</w:t>
            </w:r>
          </w:p>
        </w:tc>
        <w:tc>
          <w:tcPr>
            <w:tcW w:w="1361" w:type="dxa"/>
            <w:tcBorders>
              <w:bottom w:val="single" w:color="000000" w:sz="6" w:space="0"/>
            </w:tcBorders>
          </w:tcPr>
          <w:p w14:paraId="61009B8F">
            <w:pPr>
              <w:keepNext/>
              <w:jc w:val="center"/>
              <w:rPr>
                <w:color w:val="auto"/>
                <w:highlight w:val="none"/>
              </w:rPr>
            </w:pPr>
            <w:r>
              <w:rPr>
                <w:color w:val="auto"/>
                <w:sz w:val="20"/>
                <w:highlight w:val="none"/>
              </w:rPr>
              <w:t>16 (53,3)</w:t>
            </w:r>
          </w:p>
        </w:tc>
        <w:tc>
          <w:tcPr>
            <w:tcW w:w="1361" w:type="dxa"/>
            <w:tcBorders>
              <w:bottom w:val="single" w:color="000000" w:sz="6" w:space="0"/>
            </w:tcBorders>
          </w:tcPr>
          <w:p w14:paraId="683BE16E">
            <w:pPr>
              <w:keepNext/>
              <w:jc w:val="center"/>
              <w:rPr>
                <w:color w:val="auto"/>
                <w:highlight w:val="none"/>
              </w:rPr>
            </w:pPr>
            <w:r>
              <w:rPr>
                <w:rFonts w:hint="default"/>
                <w:color w:val="auto"/>
                <w:sz w:val="20"/>
                <w:highlight w:val="none"/>
                <w:lang w:val="id-ID"/>
              </w:rPr>
              <w:t>49 (66,2)</w:t>
            </w:r>
          </w:p>
        </w:tc>
        <w:tc>
          <w:tcPr>
            <w:tcW w:w="907" w:type="dxa"/>
            <w:tcBorders>
              <w:bottom w:val="single" w:color="000000" w:sz="6" w:space="0"/>
            </w:tcBorders>
          </w:tcPr>
          <w:p w14:paraId="0E70787A">
            <w:pPr>
              <w:keepNext/>
              <w:jc w:val="center"/>
              <w:rPr>
                <w:color w:val="auto"/>
                <w:highlight w:val="none"/>
              </w:rPr>
            </w:pPr>
            <w:r>
              <w:rPr>
                <w:color w:val="auto"/>
                <w:sz w:val="20"/>
                <w:highlight w:val="none"/>
              </w:rPr>
              <w:t>0,053</w:t>
            </w:r>
          </w:p>
        </w:tc>
      </w:tr>
    </w:tbl>
    <w:p w14:paraId="07B38C01">
      <w:pPr>
        <w:spacing w:before="40" w:after="120"/>
        <w:jc w:val="left"/>
        <w:rPr>
          <w:color w:val="auto"/>
          <w:highlight w:val="none"/>
        </w:rPr>
      </w:pPr>
      <w:r>
        <w:rPr>
          <w:color w:val="auto"/>
          <w:sz w:val="18"/>
          <w:highlight w:val="none"/>
        </w:rPr>
        <w:t xml:space="preserve">Data disajikan sebagai n (%) kecuali dinyatakan lain; uji Mann-Whitney untuk data numerik dan uji khi-kuadrat atau eksak Fisher untuk data kategorik. </w:t>
      </w:r>
      <w:r>
        <w:rPr>
          <w:color w:val="auto"/>
          <w:sz w:val="18"/>
          <w:highlight w:val="none"/>
          <w:vertAlign w:val="superscript"/>
        </w:rPr>
        <w:t>a</w:t>
      </w:r>
      <w:r>
        <w:rPr>
          <w:color w:val="auto"/>
          <w:sz w:val="18"/>
          <w:highlight w:val="none"/>
        </w:rPr>
        <w:t xml:space="preserve">n=37 dan 27. </w:t>
      </w:r>
      <w:r>
        <w:rPr>
          <w:color w:val="auto"/>
          <w:sz w:val="18"/>
          <w:highlight w:val="none"/>
          <w:vertAlign w:val="superscript"/>
        </w:rPr>
        <w:t>b</w:t>
      </w:r>
      <w:r>
        <w:rPr>
          <w:color w:val="auto"/>
          <w:sz w:val="18"/>
          <w:highlight w:val="none"/>
        </w:rPr>
        <w:t xml:space="preserve">n=38 dan 28. </w:t>
      </w:r>
      <w:r>
        <w:rPr>
          <w:color w:val="auto"/>
          <w:sz w:val="18"/>
          <w:highlight w:val="none"/>
          <w:vertAlign w:val="superscript"/>
        </w:rPr>
        <w:t>c</w:t>
      </w:r>
      <w:r>
        <w:rPr>
          <w:color w:val="auto"/>
          <w:sz w:val="18"/>
          <w:highlight w:val="none"/>
        </w:rPr>
        <w:t>n=43 dan 30</w:t>
      </w:r>
      <w:r>
        <w:rPr>
          <w:rFonts w:hint="default"/>
          <w:color w:val="auto"/>
          <w:sz w:val="18"/>
          <w:highlight w:val="none"/>
          <w:lang w:val="id-ID"/>
        </w:rPr>
        <w:t xml:space="preserve">. </w:t>
      </w:r>
      <w:r>
        <w:rPr>
          <w:color w:val="auto"/>
          <w:sz w:val="18"/>
          <w:highlight w:val="none"/>
          <w:vertAlign w:val="superscript"/>
        </w:rPr>
        <w:t>d</w:t>
      </w:r>
      <w:r>
        <w:rPr>
          <w:color w:val="auto"/>
          <w:sz w:val="18"/>
          <w:highlight w:val="none"/>
        </w:rPr>
        <w:t>Dapat memilih lebih dari satu sumber. ∗</w:t>
      </w:r>
      <w:r>
        <w:rPr>
          <w:i/>
          <w:color w:val="auto"/>
          <w:sz w:val="18"/>
          <w:highlight w:val="none"/>
        </w:rPr>
        <w:t>p</w:t>
      </w:r>
      <w:r>
        <w:rPr>
          <w:color w:val="auto"/>
          <w:sz w:val="18"/>
          <w:highlight w:val="none"/>
        </w:rPr>
        <w:t>&lt;0,05. SB: simpangan baku; IMT: indeks massa tubuh.</w:t>
      </w:r>
    </w:p>
    <w:p w14:paraId="7C6EF6AF">
      <w:pPr>
        <w:keepNext/>
        <w:spacing w:before="120" w:after="60"/>
        <w:jc w:val="left"/>
        <w:rPr>
          <w:color w:val="auto"/>
          <w:highlight w:val="none"/>
        </w:rPr>
      </w:pPr>
      <w:r>
        <w:rPr>
          <w:b/>
          <w:color w:val="auto"/>
          <w:highlight w:val="none"/>
        </w:rPr>
        <w:t>Hubungan Penggunaan Media Sosial dengan Pengetahuan, Sikap, dan IMT</w:t>
      </w:r>
    </w:p>
    <w:p w14:paraId="25DD96E1">
      <w:pPr>
        <w:spacing w:before="0" w:after="0"/>
        <w:ind w:firstLine="567"/>
        <w:jc w:val="both"/>
        <w:rPr>
          <w:color w:val="auto"/>
          <w:highlight w:val="none"/>
        </w:rPr>
      </w:pPr>
      <w:r>
        <w:rPr>
          <w:color w:val="auto"/>
          <w:highlight w:val="none"/>
        </w:rPr>
        <w:t>Rerata skor pengetahuan adalah 81,1 ± 16,8% dan berkorelasi positif dengan sikap (</w:t>
      </w:r>
      <w:r>
        <w:rPr>
          <w:i/>
          <w:color w:val="auto"/>
          <w:highlight w:val="none"/>
        </w:rPr>
        <w:t>r</w:t>
      </w:r>
      <w:r>
        <w:rPr>
          <w:color w:val="auto"/>
          <w:highlight w:val="none"/>
        </w:rPr>
        <w:t xml:space="preserve">=0,414; </w:t>
      </w:r>
      <w:r>
        <w:rPr>
          <w:i/>
          <w:color w:val="auto"/>
          <w:highlight w:val="none"/>
        </w:rPr>
        <w:t>p</w:t>
      </w:r>
      <w:r>
        <w:rPr>
          <w:color w:val="auto"/>
          <w:highlight w:val="none"/>
        </w:rPr>
        <w:t>&lt;0,001), terutama dengan persepsi hambatan (</w:t>
      </w:r>
      <w:r>
        <w:rPr>
          <w:i/>
          <w:color w:val="auto"/>
          <w:highlight w:val="none"/>
        </w:rPr>
        <w:t>r</w:t>
      </w:r>
      <w:r>
        <w:rPr>
          <w:color w:val="auto"/>
          <w:highlight w:val="none"/>
        </w:rPr>
        <w:t xml:space="preserve">=0,449; </w:t>
      </w:r>
      <w:r>
        <w:rPr>
          <w:i/>
          <w:color w:val="auto"/>
          <w:highlight w:val="none"/>
        </w:rPr>
        <w:t>p</w:t>
      </w:r>
      <w:r>
        <w:rPr>
          <w:color w:val="auto"/>
          <w:highlight w:val="none"/>
        </w:rPr>
        <w:t>&lt;0,001) dan kerentanan (</w:t>
      </w:r>
      <w:r>
        <w:rPr>
          <w:i/>
          <w:color w:val="auto"/>
          <w:highlight w:val="none"/>
        </w:rPr>
        <w:t>r</w:t>
      </w:r>
      <w:r>
        <w:rPr>
          <w:color w:val="auto"/>
          <w:highlight w:val="none"/>
        </w:rPr>
        <w:t xml:space="preserve">=0,410; </w:t>
      </w:r>
      <w:r>
        <w:rPr>
          <w:i/>
          <w:color w:val="auto"/>
          <w:highlight w:val="none"/>
        </w:rPr>
        <w:t>p</w:t>
      </w:r>
      <w:r>
        <w:rPr>
          <w:color w:val="auto"/>
          <w:highlight w:val="none"/>
        </w:rPr>
        <w:t>&lt;0,001). Durasi harian penggunaan media sosial berkorelasi negatif dengan IMT (</w:t>
      </w:r>
      <w:r>
        <w:rPr>
          <w:i/>
          <w:color w:val="auto"/>
          <w:highlight w:val="none"/>
        </w:rPr>
        <w:t>r</w:t>
      </w:r>
      <w:r>
        <w:rPr>
          <w:color w:val="auto"/>
          <w:highlight w:val="none"/>
        </w:rPr>
        <w:t xml:space="preserve">=-0,331; </w:t>
      </w:r>
      <w:r>
        <w:rPr>
          <w:i/>
          <w:color w:val="auto"/>
          <w:highlight w:val="none"/>
        </w:rPr>
        <w:t>p</w:t>
      </w:r>
      <w:r>
        <w:rPr>
          <w:color w:val="auto"/>
          <w:highlight w:val="none"/>
        </w:rPr>
        <w:t>=0,004), juga setelah dikontrol dengan peran (</w:t>
      </w:r>
      <w:r>
        <w:rPr>
          <w:i/>
          <w:color w:val="auto"/>
          <w:highlight w:val="none"/>
        </w:rPr>
        <w:t>r</w:t>
      </w:r>
      <w:r>
        <w:rPr>
          <w:color w:val="auto"/>
          <w:highlight w:val="none"/>
        </w:rPr>
        <w:t xml:space="preserve"> parsial=-0,315; </w:t>
      </w:r>
      <w:r>
        <w:rPr>
          <w:i/>
          <w:color w:val="auto"/>
          <w:highlight w:val="none"/>
        </w:rPr>
        <w:t>p</w:t>
      </w:r>
      <w:r>
        <w:rPr>
          <w:color w:val="auto"/>
          <w:highlight w:val="none"/>
        </w:rPr>
        <w:t>=0,006), tetapi tidak berkorelasi bermakna dengan pengetahuan (</w:t>
      </w:r>
      <w:r>
        <w:rPr>
          <w:i/>
          <w:color w:val="auto"/>
          <w:highlight w:val="none"/>
        </w:rPr>
        <w:t>r</w:t>
      </w:r>
      <w:r>
        <w:rPr>
          <w:color w:val="auto"/>
          <w:highlight w:val="none"/>
        </w:rPr>
        <w:t xml:space="preserve">=0,175; </w:t>
      </w:r>
      <w:r>
        <w:rPr>
          <w:i/>
          <w:color w:val="auto"/>
          <w:highlight w:val="none"/>
        </w:rPr>
        <w:t>p</w:t>
      </w:r>
      <w:r>
        <w:rPr>
          <w:color w:val="auto"/>
          <w:highlight w:val="none"/>
        </w:rPr>
        <w:t xml:space="preserve">=0,135). Subjek yang memperoleh informasi dari akun tenaga kesehatan atau lembaga resmi memiliki IMT lebih rendah (median 22,5 vs 26,6 kg/m²; </w:t>
      </w:r>
      <w:r>
        <w:rPr>
          <w:i/>
          <w:color w:val="auto"/>
          <w:highlight w:val="none"/>
        </w:rPr>
        <w:t>p</w:t>
      </w:r>
      <w:r>
        <w:rPr>
          <w:color w:val="auto"/>
          <w:highlight w:val="none"/>
        </w:rPr>
        <w:t>=0,022), dan kebiasaan memeriksa kebenaran informasi berkorelasi dengan sikap yang lebih positif (</w:t>
      </w:r>
      <w:r>
        <w:rPr>
          <w:i/>
          <w:color w:val="auto"/>
          <w:highlight w:val="none"/>
        </w:rPr>
        <w:t>r</w:t>
      </w:r>
      <w:r>
        <w:rPr>
          <w:color w:val="auto"/>
          <w:highlight w:val="none"/>
        </w:rPr>
        <w:t xml:space="preserve">=0,287; </w:t>
      </w:r>
      <w:r>
        <w:rPr>
          <w:i/>
          <w:color w:val="auto"/>
          <w:highlight w:val="none"/>
        </w:rPr>
        <w:t>p</w:t>
      </w:r>
      <w:r>
        <w:rPr>
          <w:color w:val="auto"/>
          <w:highlight w:val="none"/>
        </w:rPr>
        <w:t>=0,014). Sikap juga berbeda menurut platform utama (</w:t>
      </w:r>
      <w:r>
        <w:rPr>
          <w:i/>
          <w:color w:val="auto"/>
          <w:highlight w:val="none"/>
        </w:rPr>
        <w:t>p</w:t>
      </w:r>
      <w:r>
        <w:rPr>
          <w:color w:val="auto"/>
          <w:highlight w:val="none"/>
        </w:rPr>
        <w:t>=0,006), dengan skor terendah pada pengguna WhatsApp, dan pola serupa terlihat pada pengetahuan. Frekuensi akses, pencarian informasi prakonsepsi, pengetahuan, dan sikap tidak berhubungan bermakna dengan IMT (Tabel 5).</w:t>
      </w:r>
    </w:p>
    <w:p w14:paraId="5B5946F7">
      <w:pPr>
        <w:keepNext/>
        <w:spacing w:before="160" w:after="60"/>
        <w:jc w:val="center"/>
        <w:rPr>
          <w:color w:val="auto"/>
          <w:highlight w:val="none"/>
        </w:rPr>
      </w:pPr>
      <w:r>
        <w:rPr>
          <w:color w:val="auto"/>
          <w:sz w:val="22"/>
          <w:highlight w:val="none"/>
        </w:rPr>
        <w:t>Tabel 5 Hubungan penggunaan media sosial, pengetahuan, sikap, dan indeks massa tubuh (n=74)</w:t>
      </w:r>
    </w:p>
    <w:tbl>
      <w:tblPr>
        <w:tblStyle w:val="12"/>
        <w:tblW w:w="0" w:type="auto"/>
        <w:jc w:val="center"/>
        <w:tblLayout w:type="fixed"/>
        <w:tblCellMar>
          <w:top w:w="0" w:type="dxa"/>
          <w:left w:w="108" w:type="dxa"/>
          <w:bottom w:w="0" w:type="dxa"/>
          <w:right w:w="108" w:type="dxa"/>
        </w:tblCellMar>
      </w:tblPr>
      <w:tblGrid>
        <w:gridCol w:w="3175"/>
        <w:gridCol w:w="1814"/>
        <w:gridCol w:w="1814"/>
        <w:gridCol w:w="1814"/>
      </w:tblGrid>
      <w:tr w14:paraId="3AECA8FE">
        <w:tblPrEx>
          <w:tblCellMar>
            <w:top w:w="0" w:type="dxa"/>
            <w:left w:w="108" w:type="dxa"/>
            <w:bottom w:w="0" w:type="dxa"/>
            <w:right w:w="108" w:type="dxa"/>
          </w:tblCellMar>
        </w:tblPrEx>
        <w:trPr>
          <w:jc w:val="center"/>
        </w:trPr>
        <w:tc>
          <w:tcPr>
            <w:tcW w:w="3175" w:type="dxa"/>
            <w:tcBorders>
              <w:top w:val="single" w:color="000000" w:sz="6" w:space="0"/>
              <w:bottom w:val="single" w:color="000000" w:sz="6" w:space="0"/>
            </w:tcBorders>
          </w:tcPr>
          <w:p w14:paraId="5908DCB1">
            <w:pPr>
              <w:keepNext/>
              <w:jc w:val="left"/>
              <w:rPr>
                <w:color w:val="auto"/>
                <w:highlight w:val="none"/>
              </w:rPr>
            </w:pPr>
            <w:r>
              <w:rPr>
                <w:b/>
                <w:color w:val="auto"/>
                <w:sz w:val="20"/>
                <w:highlight w:val="none"/>
              </w:rPr>
              <w:t>Variabel</w:t>
            </w:r>
          </w:p>
        </w:tc>
        <w:tc>
          <w:tcPr>
            <w:tcW w:w="1814" w:type="dxa"/>
            <w:tcBorders>
              <w:top w:val="single" w:color="000000" w:sz="6" w:space="0"/>
              <w:bottom w:val="single" w:color="000000" w:sz="6" w:space="0"/>
            </w:tcBorders>
          </w:tcPr>
          <w:p w14:paraId="4AF36CE9">
            <w:pPr>
              <w:keepNext/>
              <w:jc w:val="center"/>
              <w:rPr>
                <w:color w:val="auto"/>
                <w:highlight w:val="none"/>
              </w:rPr>
            </w:pPr>
            <w:r>
              <w:rPr>
                <w:b/>
                <w:color w:val="auto"/>
                <w:sz w:val="20"/>
                <w:highlight w:val="none"/>
              </w:rPr>
              <w:t>Pengetahuan</w:t>
            </w:r>
          </w:p>
        </w:tc>
        <w:tc>
          <w:tcPr>
            <w:tcW w:w="1814" w:type="dxa"/>
            <w:tcBorders>
              <w:top w:val="single" w:color="000000" w:sz="6" w:space="0"/>
              <w:bottom w:val="single" w:color="000000" w:sz="6" w:space="0"/>
            </w:tcBorders>
          </w:tcPr>
          <w:p w14:paraId="531654D3">
            <w:pPr>
              <w:keepNext/>
              <w:jc w:val="center"/>
              <w:rPr>
                <w:color w:val="auto"/>
                <w:highlight w:val="none"/>
              </w:rPr>
            </w:pPr>
            <w:r>
              <w:rPr>
                <w:b/>
                <w:color w:val="auto"/>
                <w:sz w:val="20"/>
                <w:highlight w:val="none"/>
              </w:rPr>
              <w:t>Sikap</w:t>
            </w:r>
          </w:p>
        </w:tc>
        <w:tc>
          <w:tcPr>
            <w:tcW w:w="1814" w:type="dxa"/>
            <w:tcBorders>
              <w:top w:val="single" w:color="000000" w:sz="6" w:space="0"/>
              <w:bottom w:val="single" w:color="000000" w:sz="6" w:space="0"/>
            </w:tcBorders>
          </w:tcPr>
          <w:p w14:paraId="4422E34F">
            <w:pPr>
              <w:keepNext/>
              <w:jc w:val="center"/>
              <w:rPr>
                <w:color w:val="auto"/>
                <w:highlight w:val="none"/>
              </w:rPr>
            </w:pPr>
            <w:r>
              <w:rPr>
                <w:b/>
                <w:color w:val="auto"/>
                <w:sz w:val="20"/>
                <w:highlight w:val="none"/>
              </w:rPr>
              <w:t>IMT</w:t>
            </w:r>
          </w:p>
        </w:tc>
      </w:tr>
      <w:tr w14:paraId="55B0FC0E">
        <w:tblPrEx>
          <w:tblCellMar>
            <w:top w:w="0" w:type="dxa"/>
            <w:left w:w="108" w:type="dxa"/>
            <w:bottom w:w="0" w:type="dxa"/>
            <w:right w:w="108" w:type="dxa"/>
          </w:tblCellMar>
        </w:tblPrEx>
        <w:trPr>
          <w:jc w:val="center"/>
        </w:trPr>
        <w:tc>
          <w:tcPr>
            <w:tcW w:w="3175" w:type="dxa"/>
          </w:tcPr>
          <w:p w14:paraId="6EDA7691">
            <w:pPr>
              <w:keepNext/>
              <w:jc w:val="left"/>
              <w:rPr>
                <w:color w:val="auto"/>
                <w:highlight w:val="none"/>
              </w:rPr>
            </w:pPr>
            <w:r>
              <w:rPr>
                <w:color w:val="auto"/>
                <w:sz w:val="20"/>
                <w:highlight w:val="none"/>
              </w:rPr>
              <w:t>Frekuensi akses</w:t>
            </w:r>
          </w:p>
        </w:tc>
        <w:tc>
          <w:tcPr>
            <w:tcW w:w="1814" w:type="dxa"/>
          </w:tcPr>
          <w:p w14:paraId="4613FFCB">
            <w:pPr>
              <w:keepNext/>
              <w:jc w:val="center"/>
              <w:rPr>
                <w:color w:val="auto"/>
                <w:highlight w:val="none"/>
              </w:rPr>
            </w:pPr>
            <w:r>
              <w:rPr>
                <w:color w:val="auto"/>
                <w:sz w:val="20"/>
                <w:highlight w:val="none"/>
              </w:rPr>
              <w:t>-0,092 (0,436)</w:t>
            </w:r>
          </w:p>
        </w:tc>
        <w:tc>
          <w:tcPr>
            <w:tcW w:w="1814" w:type="dxa"/>
          </w:tcPr>
          <w:p w14:paraId="5C73DB54">
            <w:pPr>
              <w:keepNext/>
              <w:jc w:val="center"/>
              <w:rPr>
                <w:color w:val="auto"/>
                <w:highlight w:val="none"/>
              </w:rPr>
            </w:pPr>
            <w:r>
              <w:rPr>
                <w:color w:val="auto"/>
                <w:sz w:val="20"/>
                <w:highlight w:val="none"/>
              </w:rPr>
              <w:t>0,031 (0,796)</w:t>
            </w:r>
          </w:p>
        </w:tc>
        <w:tc>
          <w:tcPr>
            <w:tcW w:w="1814" w:type="dxa"/>
          </w:tcPr>
          <w:p w14:paraId="7EF72986">
            <w:pPr>
              <w:keepNext/>
              <w:jc w:val="center"/>
              <w:rPr>
                <w:color w:val="auto"/>
                <w:highlight w:val="none"/>
              </w:rPr>
            </w:pPr>
            <w:r>
              <w:rPr>
                <w:color w:val="auto"/>
                <w:sz w:val="20"/>
                <w:highlight w:val="none"/>
              </w:rPr>
              <w:t>0,038 (0,746)</w:t>
            </w:r>
          </w:p>
        </w:tc>
      </w:tr>
      <w:tr w14:paraId="45AA23EF">
        <w:tblPrEx>
          <w:tblCellMar>
            <w:top w:w="0" w:type="dxa"/>
            <w:left w:w="108" w:type="dxa"/>
            <w:bottom w:w="0" w:type="dxa"/>
            <w:right w:w="108" w:type="dxa"/>
          </w:tblCellMar>
        </w:tblPrEx>
        <w:trPr>
          <w:jc w:val="center"/>
        </w:trPr>
        <w:tc>
          <w:tcPr>
            <w:tcW w:w="3175" w:type="dxa"/>
          </w:tcPr>
          <w:p w14:paraId="702ED93C">
            <w:pPr>
              <w:keepNext/>
              <w:jc w:val="left"/>
              <w:rPr>
                <w:color w:val="auto"/>
                <w:highlight w:val="none"/>
              </w:rPr>
            </w:pPr>
            <w:r>
              <w:rPr>
                <w:color w:val="auto"/>
                <w:sz w:val="20"/>
                <w:highlight w:val="none"/>
              </w:rPr>
              <w:t>Durasi harian</w:t>
            </w:r>
          </w:p>
        </w:tc>
        <w:tc>
          <w:tcPr>
            <w:tcW w:w="1814" w:type="dxa"/>
          </w:tcPr>
          <w:p w14:paraId="6C79D853">
            <w:pPr>
              <w:keepNext/>
              <w:jc w:val="center"/>
              <w:rPr>
                <w:color w:val="auto"/>
                <w:highlight w:val="none"/>
              </w:rPr>
            </w:pPr>
            <w:r>
              <w:rPr>
                <w:color w:val="auto"/>
                <w:sz w:val="20"/>
                <w:highlight w:val="none"/>
              </w:rPr>
              <w:t>0,175 (0,135)</w:t>
            </w:r>
          </w:p>
        </w:tc>
        <w:tc>
          <w:tcPr>
            <w:tcW w:w="1814" w:type="dxa"/>
          </w:tcPr>
          <w:p w14:paraId="476374DA">
            <w:pPr>
              <w:keepNext/>
              <w:jc w:val="center"/>
              <w:rPr>
                <w:color w:val="auto"/>
                <w:highlight w:val="none"/>
              </w:rPr>
            </w:pPr>
            <w:r>
              <w:rPr>
                <w:color w:val="auto"/>
                <w:sz w:val="20"/>
                <w:highlight w:val="none"/>
              </w:rPr>
              <w:t>0,199 (0,090)</w:t>
            </w:r>
          </w:p>
        </w:tc>
        <w:tc>
          <w:tcPr>
            <w:tcW w:w="1814" w:type="dxa"/>
          </w:tcPr>
          <w:p w14:paraId="3F465CE5">
            <w:pPr>
              <w:keepNext/>
              <w:jc w:val="center"/>
              <w:rPr>
                <w:color w:val="auto"/>
                <w:highlight w:val="none"/>
              </w:rPr>
            </w:pPr>
            <w:r>
              <w:rPr>
                <w:color w:val="auto"/>
                <w:sz w:val="20"/>
                <w:highlight w:val="none"/>
              </w:rPr>
              <w:t>-0,331 (0,004)*</w:t>
            </w:r>
          </w:p>
        </w:tc>
      </w:tr>
      <w:tr w14:paraId="02D76DEF">
        <w:tblPrEx>
          <w:tblCellMar>
            <w:top w:w="0" w:type="dxa"/>
            <w:left w:w="108" w:type="dxa"/>
            <w:bottom w:w="0" w:type="dxa"/>
            <w:right w:w="108" w:type="dxa"/>
          </w:tblCellMar>
        </w:tblPrEx>
        <w:trPr>
          <w:jc w:val="center"/>
        </w:trPr>
        <w:tc>
          <w:tcPr>
            <w:tcW w:w="3175" w:type="dxa"/>
          </w:tcPr>
          <w:p w14:paraId="674207F0">
            <w:pPr>
              <w:keepNext/>
              <w:jc w:val="left"/>
              <w:rPr>
                <w:color w:val="auto"/>
                <w:highlight w:val="none"/>
              </w:rPr>
            </w:pPr>
            <w:r>
              <w:rPr>
                <w:color w:val="auto"/>
                <w:sz w:val="20"/>
                <w:highlight w:val="none"/>
              </w:rPr>
              <w:t>Mencari informasi prakonsepsi</w:t>
            </w:r>
          </w:p>
        </w:tc>
        <w:tc>
          <w:tcPr>
            <w:tcW w:w="1814" w:type="dxa"/>
          </w:tcPr>
          <w:p w14:paraId="6B17EDE3">
            <w:pPr>
              <w:keepNext/>
              <w:jc w:val="center"/>
              <w:rPr>
                <w:color w:val="auto"/>
                <w:highlight w:val="none"/>
              </w:rPr>
            </w:pPr>
            <w:r>
              <w:rPr>
                <w:color w:val="auto"/>
                <w:sz w:val="20"/>
                <w:highlight w:val="none"/>
              </w:rPr>
              <w:t>0,057 (0,631)</w:t>
            </w:r>
          </w:p>
        </w:tc>
        <w:tc>
          <w:tcPr>
            <w:tcW w:w="1814" w:type="dxa"/>
          </w:tcPr>
          <w:p w14:paraId="15C02C20">
            <w:pPr>
              <w:keepNext/>
              <w:jc w:val="center"/>
              <w:rPr>
                <w:color w:val="auto"/>
                <w:highlight w:val="none"/>
              </w:rPr>
            </w:pPr>
            <w:r>
              <w:rPr>
                <w:color w:val="auto"/>
                <w:sz w:val="20"/>
                <w:highlight w:val="none"/>
              </w:rPr>
              <w:t>0,216 (0,066)</w:t>
            </w:r>
          </w:p>
        </w:tc>
        <w:tc>
          <w:tcPr>
            <w:tcW w:w="1814" w:type="dxa"/>
          </w:tcPr>
          <w:p w14:paraId="1B8A6211">
            <w:pPr>
              <w:keepNext/>
              <w:jc w:val="center"/>
              <w:rPr>
                <w:color w:val="auto"/>
                <w:highlight w:val="none"/>
              </w:rPr>
            </w:pPr>
            <w:r>
              <w:rPr>
                <w:color w:val="auto"/>
                <w:sz w:val="20"/>
                <w:highlight w:val="none"/>
              </w:rPr>
              <w:t>-0,181 (0,125)</w:t>
            </w:r>
          </w:p>
        </w:tc>
      </w:tr>
      <w:tr w14:paraId="5AC1C5AC">
        <w:tblPrEx>
          <w:tblCellMar>
            <w:top w:w="0" w:type="dxa"/>
            <w:left w:w="108" w:type="dxa"/>
            <w:bottom w:w="0" w:type="dxa"/>
            <w:right w:w="108" w:type="dxa"/>
          </w:tblCellMar>
        </w:tblPrEx>
        <w:trPr>
          <w:jc w:val="center"/>
        </w:trPr>
        <w:tc>
          <w:tcPr>
            <w:tcW w:w="3175" w:type="dxa"/>
          </w:tcPr>
          <w:p w14:paraId="1579C14D">
            <w:pPr>
              <w:keepNext/>
              <w:jc w:val="left"/>
              <w:rPr>
                <w:color w:val="auto"/>
                <w:highlight w:val="none"/>
              </w:rPr>
            </w:pPr>
            <w:r>
              <w:rPr>
                <w:color w:val="auto"/>
                <w:sz w:val="20"/>
                <w:highlight w:val="none"/>
              </w:rPr>
              <w:t>Memeriksa kebenaran informasi</w:t>
            </w:r>
          </w:p>
        </w:tc>
        <w:tc>
          <w:tcPr>
            <w:tcW w:w="1814" w:type="dxa"/>
          </w:tcPr>
          <w:p w14:paraId="0967B6EB">
            <w:pPr>
              <w:keepNext/>
              <w:jc w:val="center"/>
              <w:rPr>
                <w:color w:val="auto"/>
                <w:highlight w:val="none"/>
              </w:rPr>
            </w:pPr>
            <w:r>
              <w:rPr>
                <w:color w:val="auto"/>
                <w:sz w:val="20"/>
                <w:highlight w:val="none"/>
              </w:rPr>
              <w:t>0,116 (0,327)</w:t>
            </w:r>
          </w:p>
        </w:tc>
        <w:tc>
          <w:tcPr>
            <w:tcW w:w="1814" w:type="dxa"/>
          </w:tcPr>
          <w:p w14:paraId="26C32402">
            <w:pPr>
              <w:keepNext/>
              <w:jc w:val="center"/>
              <w:rPr>
                <w:color w:val="auto"/>
                <w:highlight w:val="none"/>
              </w:rPr>
            </w:pPr>
            <w:r>
              <w:rPr>
                <w:color w:val="auto"/>
                <w:sz w:val="20"/>
                <w:highlight w:val="none"/>
              </w:rPr>
              <w:t>0,287 (0,014)*</w:t>
            </w:r>
          </w:p>
        </w:tc>
        <w:tc>
          <w:tcPr>
            <w:tcW w:w="1814" w:type="dxa"/>
          </w:tcPr>
          <w:p w14:paraId="04C3185E">
            <w:pPr>
              <w:keepNext/>
              <w:jc w:val="center"/>
              <w:rPr>
                <w:color w:val="auto"/>
                <w:highlight w:val="none"/>
              </w:rPr>
            </w:pPr>
            <w:r>
              <w:rPr>
                <w:color w:val="auto"/>
                <w:sz w:val="20"/>
                <w:highlight w:val="none"/>
              </w:rPr>
              <w:t>0,042 (0,723)</w:t>
            </w:r>
          </w:p>
        </w:tc>
      </w:tr>
      <w:tr w14:paraId="15AE526E">
        <w:tblPrEx>
          <w:tblCellMar>
            <w:top w:w="0" w:type="dxa"/>
            <w:left w:w="108" w:type="dxa"/>
            <w:bottom w:w="0" w:type="dxa"/>
            <w:right w:w="108" w:type="dxa"/>
          </w:tblCellMar>
        </w:tblPrEx>
        <w:trPr>
          <w:jc w:val="center"/>
        </w:trPr>
        <w:tc>
          <w:tcPr>
            <w:tcW w:w="3175" w:type="dxa"/>
          </w:tcPr>
          <w:p w14:paraId="7BA7622C">
            <w:pPr>
              <w:keepNext/>
              <w:jc w:val="left"/>
              <w:rPr>
                <w:color w:val="auto"/>
                <w:highlight w:val="none"/>
              </w:rPr>
            </w:pPr>
            <w:r>
              <w:rPr>
                <w:color w:val="auto"/>
                <w:sz w:val="20"/>
                <w:highlight w:val="none"/>
              </w:rPr>
              <w:t>Platform utama</w:t>
            </w:r>
            <w:r>
              <w:rPr>
                <w:color w:val="auto"/>
                <w:sz w:val="20"/>
                <w:highlight w:val="none"/>
                <w:vertAlign w:val="superscript"/>
              </w:rPr>
              <w:t>a</w:t>
            </w:r>
          </w:p>
        </w:tc>
        <w:tc>
          <w:tcPr>
            <w:tcW w:w="1814" w:type="dxa"/>
          </w:tcPr>
          <w:p w14:paraId="2622AA25">
            <w:pPr>
              <w:keepNext/>
              <w:jc w:val="center"/>
              <w:rPr>
                <w:color w:val="auto"/>
                <w:highlight w:val="none"/>
              </w:rPr>
            </w:pPr>
            <w:r>
              <w:rPr>
                <w:color w:val="auto"/>
                <w:sz w:val="20"/>
                <w:highlight w:val="none"/>
              </w:rPr>
              <w:t>– (0,047)*</w:t>
            </w:r>
          </w:p>
        </w:tc>
        <w:tc>
          <w:tcPr>
            <w:tcW w:w="1814" w:type="dxa"/>
          </w:tcPr>
          <w:p w14:paraId="44A085DA">
            <w:pPr>
              <w:keepNext/>
              <w:jc w:val="center"/>
              <w:rPr>
                <w:color w:val="auto"/>
                <w:highlight w:val="none"/>
              </w:rPr>
            </w:pPr>
            <w:r>
              <w:rPr>
                <w:color w:val="auto"/>
                <w:sz w:val="20"/>
                <w:highlight w:val="none"/>
              </w:rPr>
              <w:t>– (0,006)*</w:t>
            </w:r>
          </w:p>
        </w:tc>
        <w:tc>
          <w:tcPr>
            <w:tcW w:w="1814" w:type="dxa"/>
          </w:tcPr>
          <w:p w14:paraId="281D6045">
            <w:pPr>
              <w:keepNext/>
              <w:jc w:val="center"/>
              <w:rPr>
                <w:color w:val="auto"/>
                <w:highlight w:val="none"/>
              </w:rPr>
            </w:pPr>
            <w:r>
              <w:rPr>
                <w:color w:val="auto"/>
                <w:sz w:val="20"/>
                <w:highlight w:val="none"/>
              </w:rPr>
              <w:t>– (0,919)</w:t>
            </w:r>
          </w:p>
        </w:tc>
      </w:tr>
      <w:tr w14:paraId="710C88CA">
        <w:tblPrEx>
          <w:tblCellMar>
            <w:top w:w="0" w:type="dxa"/>
            <w:left w:w="108" w:type="dxa"/>
            <w:bottom w:w="0" w:type="dxa"/>
            <w:right w:w="108" w:type="dxa"/>
          </w:tblCellMar>
        </w:tblPrEx>
        <w:trPr>
          <w:jc w:val="center"/>
        </w:trPr>
        <w:tc>
          <w:tcPr>
            <w:tcW w:w="3175" w:type="dxa"/>
          </w:tcPr>
          <w:p w14:paraId="53D78E97">
            <w:pPr>
              <w:keepNext/>
              <w:jc w:val="left"/>
              <w:rPr>
                <w:color w:val="auto"/>
                <w:highlight w:val="none"/>
              </w:rPr>
            </w:pPr>
            <w:r>
              <w:rPr>
                <w:color w:val="auto"/>
                <w:sz w:val="20"/>
                <w:highlight w:val="none"/>
              </w:rPr>
              <w:t>Sumber tenaga kesehatan/resmi</w:t>
            </w:r>
            <w:r>
              <w:rPr>
                <w:color w:val="auto"/>
                <w:sz w:val="20"/>
                <w:highlight w:val="none"/>
                <w:vertAlign w:val="superscript"/>
              </w:rPr>
              <w:t>b</w:t>
            </w:r>
          </w:p>
        </w:tc>
        <w:tc>
          <w:tcPr>
            <w:tcW w:w="1814" w:type="dxa"/>
          </w:tcPr>
          <w:p w14:paraId="4AB8E6F5">
            <w:pPr>
              <w:keepNext/>
              <w:jc w:val="center"/>
              <w:rPr>
                <w:color w:val="auto"/>
                <w:highlight w:val="none"/>
              </w:rPr>
            </w:pPr>
            <w:r>
              <w:rPr>
                <w:color w:val="auto"/>
                <w:sz w:val="20"/>
                <w:highlight w:val="none"/>
              </w:rPr>
              <w:t>– (0,950)</w:t>
            </w:r>
          </w:p>
        </w:tc>
        <w:tc>
          <w:tcPr>
            <w:tcW w:w="1814" w:type="dxa"/>
          </w:tcPr>
          <w:p w14:paraId="52C6A470">
            <w:pPr>
              <w:keepNext/>
              <w:jc w:val="center"/>
              <w:rPr>
                <w:color w:val="auto"/>
                <w:highlight w:val="none"/>
              </w:rPr>
            </w:pPr>
            <w:r>
              <w:rPr>
                <w:color w:val="auto"/>
                <w:sz w:val="20"/>
                <w:highlight w:val="none"/>
              </w:rPr>
              <w:t>– (0,456)</w:t>
            </w:r>
          </w:p>
        </w:tc>
        <w:tc>
          <w:tcPr>
            <w:tcW w:w="1814" w:type="dxa"/>
          </w:tcPr>
          <w:p w14:paraId="1AC3F269">
            <w:pPr>
              <w:keepNext/>
              <w:jc w:val="center"/>
              <w:rPr>
                <w:color w:val="auto"/>
                <w:highlight w:val="none"/>
              </w:rPr>
            </w:pPr>
            <w:r>
              <w:rPr>
                <w:color w:val="auto"/>
                <w:sz w:val="20"/>
                <w:highlight w:val="none"/>
              </w:rPr>
              <w:t>– (0,022)*</w:t>
            </w:r>
          </w:p>
        </w:tc>
      </w:tr>
      <w:tr w14:paraId="615E1564">
        <w:tblPrEx>
          <w:tblCellMar>
            <w:top w:w="0" w:type="dxa"/>
            <w:left w:w="108" w:type="dxa"/>
            <w:bottom w:w="0" w:type="dxa"/>
            <w:right w:w="108" w:type="dxa"/>
          </w:tblCellMar>
        </w:tblPrEx>
        <w:trPr>
          <w:jc w:val="center"/>
        </w:trPr>
        <w:tc>
          <w:tcPr>
            <w:tcW w:w="3175" w:type="dxa"/>
          </w:tcPr>
          <w:p w14:paraId="7B160642">
            <w:pPr>
              <w:keepNext/>
              <w:jc w:val="left"/>
              <w:rPr>
                <w:color w:val="auto"/>
                <w:highlight w:val="none"/>
              </w:rPr>
            </w:pPr>
            <w:r>
              <w:rPr>
                <w:color w:val="auto"/>
                <w:sz w:val="20"/>
                <w:highlight w:val="none"/>
              </w:rPr>
              <w:t>Skor pengetahuan</w:t>
            </w:r>
          </w:p>
        </w:tc>
        <w:tc>
          <w:tcPr>
            <w:tcW w:w="1814" w:type="dxa"/>
          </w:tcPr>
          <w:p w14:paraId="0DF61C6E">
            <w:pPr>
              <w:keepNext/>
              <w:jc w:val="center"/>
              <w:rPr>
                <w:color w:val="auto"/>
                <w:highlight w:val="none"/>
              </w:rPr>
            </w:pPr>
            <w:r>
              <w:rPr>
                <w:color w:val="auto"/>
                <w:sz w:val="20"/>
                <w:highlight w:val="none"/>
              </w:rPr>
              <w:t>–</w:t>
            </w:r>
          </w:p>
        </w:tc>
        <w:tc>
          <w:tcPr>
            <w:tcW w:w="1814" w:type="dxa"/>
          </w:tcPr>
          <w:p w14:paraId="5750F199">
            <w:pPr>
              <w:keepNext/>
              <w:jc w:val="center"/>
              <w:rPr>
                <w:color w:val="auto"/>
                <w:highlight w:val="none"/>
              </w:rPr>
            </w:pPr>
            <w:r>
              <w:rPr>
                <w:color w:val="auto"/>
                <w:sz w:val="20"/>
                <w:highlight w:val="none"/>
              </w:rPr>
              <w:t>0,414 (&lt;0,001)*</w:t>
            </w:r>
          </w:p>
        </w:tc>
        <w:tc>
          <w:tcPr>
            <w:tcW w:w="1814" w:type="dxa"/>
          </w:tcPr>
          <w:p w14:paraId="630EC64E">
            <w:pPr>
              <w:keepNext/>
              <w:jc w:val="center"/>
              <w:rPr>
                <w:color w:val="auto"/>
                <w:highlight w:val="none"/>
              </w:rPr>
            </w:pPr>
            <w:r>
              <w:rPr>
                <w:color w:val="auto"/>
                <w:sz w:val="20"/>
                <w:highlight w:val="none"/>
              </w:rPr>
              <w:t>-0,009 (0,939)</w:t>
            </w:r>
          </w:p>
        </w:tc>
      </w:tr>
      <w:tr w14:paraId="0A3D31C3">
        <w:tblPrEx>
          <w:tblCellMar>
            <w:top w:w="0" w:type="dxa"/>
            <w:left w:w="108" w:type="dxa"/>
            <w:bottom w:w="0" w:type="dxa"/>
            <w:right w:w="108" w:type="dxa"/>
          </w:tblCellMar>
        </w:tblPrEx>
        <w:trPr>
          <w:jc w:val="center"/>
        </w:trPr>
        <w:tc>
          <w:tcPr>
            <w:tcW w:w="3175" w:type="dxa"/>
            <w:tcBorders>
              <w:bottom w:val="single" w:color="000000" w:sz="6" w:space="0"/>
            </w:tcBorders>
          </w:tcPr>
          <w:p w14:paraId="6AFBA9C1">
            <w:pPr>
              <w:keepNext/>
              <w:jc w:val="left"/>
              <w:rPr>
                <w:color w:val="auto"/>
                <w:highlight w:val="none"/>
              </w:rPr>
            </w:pPr>
            <w:r>
              <w:rPr>
                <w:color w:val="auto"/>
                <w:sz w:val="20"/>
                <w:highlight w:val="none"/>
              </w:rPr>
              <w:t>Skor sikap</w:t>
            </w:r>
          </w:p>
        </w:tc>
        <w:tc>
          <w:tcPr>
            <w:tcW w:w="1814" w:type="dxa"/>
            <w:tcBorders>
              <w:bottom w:val="single" w:color="000000" w:sz="6" w:space="0"/>
            </w:tcBorders>
          </w:tcPr>
          <w:p w14:paraId="6D553B8D">
            <w:pPr>
              <w:keepNext/>
              <w:jc w:val="center"/>
              <w:rPr>
                <w:color w:val="auto"/>
                <w:highlight w:val="none"/>
              </w:rPr>
            </w:pPr>
            <w:r>
              <w:rPr>
                <w:color w:val="auto"/>
                <w:sz w:val="20"/>
                <w:highlight w:val="none"/>
              </w:rPr>
              <w:t>–</w:t>
            </w:r>
          </w:p>
        </w:tc>
        <w:tc>
          <w:tcPr>
            <w:tcW w:w="1814" w:type="dxa"/>
            <w:tcBorders>
              <w:bottom w:val="single" w:color="000000" w:sz="6" w:space="0"/>
            </w:tcBorders>
          </w:tcPr>
          <w:p w14:paraId="1876B3A9">
            <w:pPr>
              <w:keepNext/>
              <w:jc w:val="center"/>
              <w:rPr>
                <w:color w:val="auto"/>
                <w:highlight w:val="none"/>
              </w:rPr>
            </w:pPr>
            <w:r>
              <w:rPr>
                <w:color w:val="auto"/>
                <w:sz w:val="20"/>
                <w:highlight w:val="none"/>
              </w:rPr>
              <w:t>–</w:t>
            </w:r>
          </w:p>
        </w:tc>
        <w:tc>
          <w:tcPr>
            <w:tcW w:w="1814" w:type="dxa"/>
            <w:tcBorders>
              <w:bottom w:val="single" w:color="000000" w:sz="6" w:space="0"/>
            </w:tcBorders>
          </w:tcPr>
          <w:p w14:paraId="15E4E794">
            <w:pPr>
              <w:keepNext/>
              <w:jc w:val="center"/>
              <w:rPr>
                <w:color w:val="auto"/>
                <w:highlight w:val="none"/>
              </w:rPr>
            </w:pPr>
            <w:r>
              <w:rPr>
                <w:color w:val="auto"/>
                <w:sz w:val="20"/>
                <w:highlight w:val="none"/>
              </w:rPr>
              <w:t>-0,212 (0,070)</w:t>
            </w:r>
          </w:p>
        </w:tc>
      </w:tr>
    </w:tbl>
    <w:p w14:paraId="1FE80762">
      <w:pPr>
        <w:spacing w:before="40" w:after="120"/>
        <w:jc w:val="left"/>
        <w:rPr>
          <w:color w:val="auto"/>
          <w:highlight w:val="none"/>
        </w:rPr>
      </w:pPr>
      <w:r>
        <w:rPr>
          <w:color w:val="auto"/>
          <w:sz w:val="18"/>
          <w:highlight w:val="none"/>
        </w:rPr>
        <w:t xml:space="preserve">Nilai: koefisien korelasi Spearman, </w:t>
      </w:r>
      <w:r>
        <w:rPr>
          <w:i/>
          <w:color w:val="auto"/>
          <w:sz w:val="18"/>
          <w:highlight w:val="none"/>
        </w:rPr>
        <w:t>r</w:t>
      </w:r>
      <w:r>
        <w:rPr>
          <w:color w:val="auto"/>
          <w:sz w:val="18"/>
          <w:highlight w:val="none"/>
          <w:vertAlign w:val="subscript"/>
        </w:rPr>
        <w:t>s</w:t>
      </w:r>
      <w:r>
        <w:rPr>
          <w:color w:val="auto"/>
          <w:sz w:val="18"/>
          <w:highlight w:val="none"/>
        </w:rPr>
        <w:t xml:space="preserve"> (</w:t>
      </w:r>
      <w:r>
        <w:rPr>
          <w:i/>
          <w:color w:val="auto"/>
          <w:sz w:val="18"/>
          <w:highlight w:val="none"/>
        </w:rPr>
        <w:t>p</w:t>
      </w:r>
      <w:r>
        <w:rPr>
          <w:color w:val="auto"/>
          <w:sz w:val="18"/>
          <w:highlight w:val="none"/>
        </w:rPr>
        <w:t xml:space="preserve">). </w:t>
      </w:r>
      <w:r>
        <w:rPr>
          <w:color w:val="auto"/>
          <w:sz w:val="18"/>
          <w:highlight w:val="none"/>
          <w:vertAlign w:val="superscript"/>
        </w:rPr>
        <w:t>a</w:t>
      </w:r>
      <w:r>
        <w:rPr>
          <w:color w:val="auto"/>
          <w:sz w:val="18"/>
          <w:highlight w:val="none"/>
        </w:rPr>
        <w:t xml:space="preserve">Uji Kruskal-Wallis (WhatsApp, Instagram, TikTok). </w:t>
      </w:r>
      <w:r>
        <w:rPr>
          <w:color w:val="auto"/>
          <w:sz w:val="18"/>
          <w:highlight w:val="none"/>
          <w:vertAlign w:val="superscript"/>
        </w:rPr>
        <w:t>b</w:t>
      </w:r>
      <w:r>
        <w:rPr>
          <w:color w:val="auto"/>
          <w:sz w:val="18"/>
          <w:highlight w:val="none"/>
        </w:rPr>
        <w:t>Uji Mann-Whitney. ∗</w:t>
      </w:r>
      <w:r>
        <w:rPr>
          <w:i/>
          <w:color w:val="auto"/>
          <w:sz w:val="18"/>
          <w:highlight w:val="none"/>
        </w:rPr>
        <w:t>p</w:t>
      </w:r>
      <w:r>
        <w:rPr>
          <w:color w:val="auto"/>
          <w:sz w:val="18"/>
          <w:highlight w:val="none"/>
        </w:rPr>
        <w:t>&lt;0,05. IMT: indeks massa tubuh.</w:t>
      </w:r>
    </w:p>
    <w:p w14:paraId="20222D86">
      <w:pPr>
        <w:spacing w:before="0" w:after="0"/>
        <w:ind w:firstLine="567"/>
        <w:jc w:val="both"/>
        <w:rPr>
          <w:color w:val="auto"/>
          <w:highlight w:val="none"/>
        </w:rPr>
      </w:pPr>
      <w:r>
        <w:rPr>
          <w:color w:val="auto"/>
          <w:highlight w:val="none"/>
        </w:rPr>
        <w:t xml:space="preserve">Temuan ini menunjukkan bahwa cara memilih dan menilai informasi lebih berhubungan dengan IMT dan sikap daripada frekuensi akses media sosial. Literasi kesehatan yang rendah berhubungan dengan penggunaan dan kepercayaan yang lebih besar terhadap media sosial serta kepercayaan yang lebih kecil terhadap dokter spesialis (Chen </w:t>
      </w:r>
      <w:r>
        <w:rPr>
          <w:i/>
          <w:color w:val="auto"/>
          <w:highlight w:val="none"/>
        </w:rPr>
        <w:t>et al</w:t>
      </w:r>
      <w:r>
        <w:rPr>
          <w:color w:val="auto"/>
          <w:highlight w:val="none"/>
        </w:rPr>
        <w:t xml:space="preserve">. 2018). Unggahan gizi yang ditulis ahli gizi atau dietisien lebih akurat (Denniss </w:t>
      </w:r>
      <w:r>
        <w:rPr>
          <w:i/>
          <w:color w:val="auto"/>
          <w:highlight w:val="none"/>
        </w:rPr>
        <w:t>et al</w:t>
      </w:r>
      <w:r>
        <w:rPr>
          <w:color w:val="auto"/>
          <w:highlight w:val="none"/>
        </w:rPr>
        <w:t xml:space="preserve">. 2024), dan studi kualitatif pada orang dewasa muda melaporkan bahwa partisipan lebih memercayai konten yang disebut dibuat oleh tenaga kesehatan serta meragukan konten bersponsor (Lam </w:t>
      </w:r>
      <w:r>
        <w:rPr>
          <w:i/>
          <w:color w:val="auto"/>
          <w:highlight w:val="none"/>
        </w:rPr>
        <w:t>et al</w:t>
      </w:r>
      <w:r>
        <w:rPr>
          <w:color w:val="auto"/>
          <w:highlight w:val="none"/>
        </w:rPr>
        <w:t xml:space="preserve">. 2025). Korelasi negatif durasi harian dengan IMT berbeda dari penelitian pada remaja dan mahasiswi, yang menemukan hubungan penggunaan media sosial dengan perilaku atau sikap makan, tetapi tidak dengan IMT (Sampasa-Kanyinga </w:t>
      </w:r>
      <w:r>
        <w:rPr>
          <w:i/>
          <w:color w:val="auto"/>
          <w:highlight w:val="none"/>
        </w:rPr>
        <w:t>et al</w:t>
      </w:r>
      <w:r>
        <w:rPr>
          <w:color w:val="auto"/>
          <w:highlight w:val="none"/>
        </w:rPr>
        <w:t xml:space="preserve">. 2015; Aktaç </w:t>
      </w:r>
      <w:r>
        <w:rPr>
          <w:i/>
          <w:color w:val="auto"/>
          <w:highlight w:val="none"/>
        </w:rPr>
        <w:t>et al</w:t>
      </w:r>
      <w:r>
        <w:rPr>
          <w:color w:val="auto"/>
          <w:highlight w:val="none"/>
        </w:rPr>
        <w:t>. 2021); temuan ini perlu dikonfirmasi. Skor sikap yang lebih rendah pada pengguna WhatsApp dapat mencerminkan penggunaannya untuk pesan pribadi dan grup, tempat informasi kesehatan diteruskan tanpa verifikasi, sedangkan Instagram dan TikTok memaparkan pengguna pada pembuat konten kesehatan yang lebih beragam. Perbedaan ini bukan semata karena pengguna WhatsApp lebih banyak laki-laki, karena tetap terlihat di antara catin perempuan (</w:t>
      </w:r>
      <w:r>
        <w:rPr>
          <w:i/>
          <w:color w:val="auto"/>
          <w:highlight w:val="none"/>
        </w:rPr>
        <w:t>p</w:t>
      </w:r>
      <w:r>
        <w:rPr>
          <w:color w:val="auto"/>
          <w:highlight w:val="none"/>
        </w:rPr>
        <w:t>=0,004) dan setelah dikontrol dengan peran (</w:t>
      </w:r>
      <w:r>
        <w:rPr>
          <w:i/>
          <w:color w:val="auto"/>
          <w:highlight w:val="none"/>
        </w:rPr>
        <w:t>p</w:t>
      </w:r>
      <w:r>
        <w:rPr>
          <w:color w:val="auto"/>
          <w:highlight w:val="none"/>
        </w:rPr>
        <w:t>=0,005). Korelasi pengetahuan dengan sikap lebih kuat pada catin laki-laki (</w:t>
      </w:r>
      <w:r>
        <w:rPr>
          <w:i/>
          <w:color w:val="auto"/>
          <w:highlight w:val="none"/>
        </w:rPr>
        <w:t>r</w:t>
      </w:r>
      <w:r>
        <w:rPr>
          <w:color w:val="auto"/>
          <w:highlight w:val="none"/>
        </w:rPr>
        <w:t xml:space="preserve">=0,583; </w:t>
      </w:r>
      <w:r>
        <w:rPr>
          <w:i/>
          <w:color w:val="auto"/>
          <w:highlight w:val="none"/>
        </w:rPr>
        <w:t>p</w:t>
      </w:r>
      <w:r>
        <w:rPr>
          <w:color w:val="auto"/>
          <w:highlight w:val="none"/>
        </w:rPr>
        <w:t>&lt;0,001), dan hubungan pencarian informasi dengan IMT yang lebih rendah hanya terlihat pada catin perempuan (</w:t>
      </w:r>
      <w:r>
        <w:rPr>
          <w:i/>
          <w:color w:val="auto"/>
          <w:highlight w:val="none"/>
        </w:rPr>
        <w:t>r</w:t>
      </w:r>
      <w:r>
        <w:rPr>
          <w:color w:val="auto"/>
          <w:highlight w:val="none"/>
        </w:rPr>
        <w:t xml:space="preserve">=-0,355; </w:t>
      </w:r>
      <w:r>
        <w:rPr>
          <w:i/>
          <w:color w:val="auto"/>
          <w:highlight w:val="none"/>
        </w:rPr>
        <w:t>p</w:t>
      </w:r>
      <w:r>
        <w:rPr>
          <w:color w:val="auto"/>
          <w:highlight w:val="none"/>
        </w:rPr>
        <w:t xml:space="preserve">=0,019), tetapi temuan subkelompok ini bersifat eksploratif. Korelasi pengetahuan dengan sikap sejalan dengan asumsi HBM (Janz dan Becker 1984) dan intervensi berbasis HBM pada remaja Indonesia (Kisda </w:t>
      </w:r>
      <w:r>
        <w:rPr>
          <w:i/>
          <w:color w:val="auto"/>
          <w:highlight w:val="none"/>
        </w:rPr>
        <w:t>et al</w:t>
      </w:r>
      <w:r>
        <w:rPr>
          <w:color w:val="auto"/>
          <w:highlight w:val="none"/>
        </w:rPr>
        <w:t xml:space="preserve">. 2024), tetapi pengetahuan yang baik tidak diikuti status gizi yang sehat, serupa dengan temuan pada catin perempuan di Sleman (Ansari </w:t>
      </w:r>
      <w:r>
        <w:rPr>
          <w:i/>
          <w:color w:val="auto"/>
          <w:highlight w:val="none"/>
        </w:rPr>
        <w:t>et al</w:t>
      </w:r>
      <w:r>
        <w:rPr>
          <w:color w:val="auto"/>
          <w:highlight w:val="none"/>
        </w:rPr>
        <w:t>. 2023).</w:t>
      </w:r>
    </w:p>
    <w:p w14:paraId="178D99B6">
      <w:pPr>
        <w:spacing w:before="0" w:after="0"/>
        <w:ind w:firstLine="567"/>
        <w:jc w:val="both"/>
        <w:rPr>
          <w:color w:val="auto"/>
          <w:highlight w:val="none"/>
        </w:rPr>
      </w:pPr>
      <w:r>
        <w:rPr>
          <w:color w:val="auto"/>
          <w:highlight w:val="none"/>
        </w:rPr>
        <w:t>Persepsi hambatan memiliki skor terendah di antara konstruk HBM (68,5% dari skor maksimal), yang menunjukkan bahwa catin masih menghadapi kendala praktis seperti biaya, waktu, dan kebiasaan makan keluarga. Padahal, persepsi hambatan dan manfaat merupakan prediktor perilaku terkuat di antara konstruk HBM (Janz dan Becker 1984; Carpenter 2010). Catin dengan pengetahuan lebih tinggi merasakan hambatan yang lebih sedikit (</w:t>
      </w:r>
      <w:r>
        <w:rPr>
          <w:i/>
          <w:color w:val="auto"/>
          <w:highlight w:val="none"/>
        </w:rPr>
        <w:t>r</w:t>
      </w:r>
      <w:r>
        <w:rPr>
          <w:color w:val="auto"/>
          <w:highlight w:val="none"/>
        </w:rPr>
        <w:t xml:space="preserve">=0,449; </w:t>
      </w:r>
      <w:r>
        <w:rPr>
          <w:i/>
          <w:color w:val="auto"/>
          <w:highlight w:val="none"/>
        </w:rPr>
        <w:t>p</w:t>
      </w:r>
      <w:r>
        <w:rPr>
          <w:color w:val="auto"/>
          <w:highlight w:val="none"/>
        </w:rPr>
        <w:t xml:space="preserve">&lt;0,001), tetapi pengetahuan tidak berkorelasi dengan efikasi diri, sehingga pengetahuan saja kemungkinan belum cukup membangun keyakinan catin untuk menerapkan pola makan sehat. Intervensi berbasis HBM pada remaja di Bogor meningkatkan pengetahuan, sikap, dan efikasi diri, tetapi tidak mengubah persepsi hambatan maupun kualitas diet (Kisda </w:t>
      </w:r>
      <w:r>
        <w:rPr>
          <w:i/>
          <w:color w:val="auto"/>
          <w:highlight w:val="none"/>
        </w:rPr>
        <w:t>et al</w:t>
      </w:r>
      <w:r>
        <w:rPr>
          <w:color w:val="auto"/>
          <w:highlight w:val="none"/>
        </w:rPr>
        <w:t xml:space="preserve">. 2024). Tidak adanya hubungan pengetahuan atau sikap dengan IMT dapat dipahami karena IMT mencerminkan keseimbangan energi jangka panjang. Oleh karena itu, edukasi </w:t>
      </w:r>
      <w:r>
        <w:rPr>
          <w:i/>
          <w:color w:val="auto"/>
          <w:highlight w:val="none"/>
        </w:rPr>
        <w:t>online</w:t>
      </w:r>
      <w:r>
        <w:rPr>
          <w:color w:val="auto"/>
          <w:highlight w:val="none"/>
        </w:rPr>
        <w:t xml:space="preserve"> perlu dilengkapi pendampingan yang membantu catin mengatasi hambatan praktis. Dalam uji acak terkontrol di Belanda, pendampingan melalui aplikasi selama 24 minggu meningkatkan asupan sayur pada perempuan yang merencanakan kehamilan atau pada awal kehamilan (van Dijk </w:t>
      </w:r>
      <w:r>
        <w:rPr>
          <w:i/>
          <w:color w:val="auto"/>
          <w:highlight w:val="none"/>
        </w:rPr>
        <w:t>et al</w:t>
      </w:r>
      <w:r>
        <w:rPr>
          <w:color w:val="auto"/>
          <w:highlight w:val="none"/>
        </w:rPr>
        <w:t xml:space="preserve">. 2020), meskipun meta-analisis intervensi aplikasi prakonsepsi belum menemukan efek bermakna terhadap asupan energi dan berat badan (Musgrave </w:t>
      </w:r>
      <w:r>
        <w:rPr>
          <w:i/>
          <w:color w:val="auto"/>
          <w:highlight w:val="none"/>
        </w:rPr>
        <w:t>et al</w:t>
      </w:r>
      <w:r>
        <w:rPr>
          <w:color w:val="auto"/>
          <w:highlight w:val="none"/>
        </w:rPr>
        <w:t>. 2023).</w:t>
      </w:r>
    </w:p>
    <w:p w14:paraId="16E839A7">
      <w:pPr>
        <w:keepNext/>
        <w:spacing w:before="120" w:after="60"/>
        <w:jc w:val="left"/>
        <w:rPr>
          <w:color w:val="auto"/>
          <w:highlight w:val="none"/>
        </w:rPr>
      </w:pPr>
      <w:r>
        <w:rPr>
          <w:b/>
          <w:color w:val="auto"/>
          <w:highlight w:val="none"/>
        </w:rPr>
        <w:t xml:space="preserve">Implikasi bagi Pengembangan Edukasi Gizi </w:t>
      </w:r>
      <w:r>
        <w:rPr>
          <w:b/>
          <w:i/>
          <w:color w:val="auto"/>
          <w:highlight w:val="none"/>
        </w:rPr>
        <w:t>Online</w:t>
      </w:r>
    </w:p>
    <w:p w14:paraId="117441AD">
      <w:pPr>
        <w:spacing w:before="0" w:after="0"/>
        <w:ind w:firstLine="567"/>
        <w:jc w:val="both"/>
        <w:rPr>
          <w:color w:val="auto"/>
          <w:highlight w:val="none"/>
        </w:rPr>
      </w:pPr>
      <w:r>
        <w:rPr>
          <w:color w:val="auto"/>
          <w:highlight w:val="none"/>
        </w:rPr>
        <w:t xml:space="preserve">Kedua rangkaian temuan menghasilkan enam implikasi. </w:t>
      </w:r>
      <w:r>
        <w:rPr>
          <w:i/>
          <w:color w:val="auto"/>
          <w:highlight w:val="none"/>
        </w:rPr>
        <w:t>Pertama</w:t>
      </w:r>
      <w:r>
        <w:rPr>
          <w:color w:val="auto"/>
          <w:highlight w:val="none"/>
        </w:rPr>
        <w:t xml:space="preserve">, beban dan urutan instrumen lebih menentukan keberlanjutan peserta daripada kemudahan antarmuka, sehingga instrumen perlu dipersingkat, tes panjang dipecah ke beberapa kunjungan, dan fitur simpan-lanjut disediakan. </w:t>
      </w:r>
      <w:r>
        <w:rPr>
          <w:i/>
          <w:color w:val="auto"/>
          <w:highlight w:val="none"/>
        </w:rPr>
        <w:t>Kedua</w:t>
      </w:r>
      <w:r>
        <w:rPr>
          <w:color w:val="auto"/>
          <w:highlight w:val="none"/>
        </w:rPr>
        <w:t xml:space="preserve">, angka berhenti perlu diantisipasi sejak awal melalui pengingat terjadwal di WhatsApp, saluran yang paling banyak digunakan catin (Laurence </w:t>
      </w:r>
      <w:r>
        <w:rPr>
          <w:i/>
          <w:color w:val="auto"/>
          <w:highlight w:val="none"/>
        </w:rPr>
        <w:t>et al</w:t>
      </w:r>
      <w:r>
        <w:rPr>
          <w:color w:val="auto"/>
          <w:highlight w:val="none"/>
        </w:rPr>
        <w:t xml:space="preserve">. 2025), karena keterlibatan mencakup intensitas penggunaan dan pengalaman pengguna (Perski </w:t>
      </w:r>
      <w:r>
        <w:rPr>
          <w:i/>
          <w:color w:val="auto"/>
          <w:highlight w:val="none"/>
        </w:rPr>
        <w:t>et al</w:t>
      </w:r>
      <w:r>
        <w:rPr>
          <w:color w:val="auto"/>
          <w:highlight w:val="none"/>
        </w:rPr>
        <w:t xml:space="preserve">. 2017). </w:t>
      </w:r>
      <w:r>
        <w:rPr>
          <w:i/>
          <w:color w:val="auto"/>
          <w:highlight w:val="none"/>
        </w:rPr>
        <w:t>Ketiga</w:t>
      </w:r>
      <w:r>
        <w:rPr>
          <w:color w:val="auto"/>
          <w:highlight w:val="none"/>
        </w:rPr>
        <w:t xml:space="preserve">, kiriman ganda dan HP bersama perlu dianggap kondisi yang lazim dan ditangani dengan penanda setiap peserta serta aturan pemilihan kiriman yang ditetapkan sebelumnya. </w:t>
      </w:r>
      <w:r>
        <w:rPr>
          <w:i/>
          <w:color w:val="auto"/>
          <w:highlight w:val="none"/>
        </w:rPr>
        <w:t>Keempat</w:t>
      </w:r>
      <w:r>
        <w:rPr>
          <w:color w:val="auto"/>
          <w:highlight w:val="none"/>
        </w:rPr>
        <w:t xml:space="preserve">, penyimpanan data perlu dikonfirmasi oleh server dan data dipantau setiap minggu agar kehilangan data yang tidak terlihat segera terdeteksi. </w:t>
      </w:r>
      <w:r>
        <w:rPr>
          <w:i/>
          <w:color w:val="auto"/>
          <w:highlight w:val="none"/>
        </w:rPr>
        <w:t>Kelima</w:t>
      </w:r>
      <w:r>
        <w:rPr>
          <w:color w:val="auto"/>
          <w:highlight w:val="none"/>
        </w:rPr>
        <w:t xml:space="preserve">, pesan bagi catin laki-laki lebih tepat disampaikan melalui WhatsApp, sedangkan catin perempuan juga dapat dijangkau melalui konten singkat di TikTok atau Instagram. </w:t>
      </w:r>
      <w:r>
        <w:rPr>
          <w:i/>
          <w:color w:val="auto"/>
          <w:highlight w:val="none"/>
        </w:rPr>
        <w:t>Keenam</w:t>
      </w:r>
      <w:r>
        <w:rPr>
          <w:color w:val="auto"/>
          <w:highlight w:val="none"/>
        </w:rPr>
        <w:t>, perubahan platform perlu didokumentasikan bertanggal, dan pemisahan kelompok kontrol dan intervensi dijaga dengan kode akses dan pemeriksaan silang (Eysenbach 2011).</w:t>
      </w:r>
    </w:p>
    <w:p w14:paraId="5DBBC125">
      <w:pPr>
        <w:keepNext/>
        <w:spacing w:before="120" w:after="60"/>
        <w:jc w:val="left"/>
        <w:rPr>
          <w:color w:val="auto"/>
          <w:highlight w:val="none"/>
        </w:rPr>
      </w:pPr>
      <w:r>
        <w:rPr>
          <w:b/>
          <w:color w:val="auto"/>
          <w:highlight w:val="none"/>
        </w:rPr>
        <w:t>Keterbatasan Penelitian</w:t>
      </w:r>
    </w:p>
    <w:p w14:paraId="10F422FD">
      <w:pPr>
        <w:spacing w:before="0" w:after="0"/>
        <w:ind w:firstLine="567"/>
        <w:jc w:val="both"/>
        <w:rPr>
          <w:color w:val="auto"/>
          <w:highlight w:val="none"/>
        </w:rPr>
      </w:pPr>
      <w:r>
        <w:rPr>
          <w:rFonts w:hint="default"/>
          <w:color w:val="auto"/>
          <w:highlight w:val="none"/>
          <w:lang w:val="id-ID"/>
        </w:rPr>
        <w:t xml:space="preserve">Jumlah sampel terbatas, berat dan tinggi badan dilaporkan sendiri, analisis bersifat eksploratif tanpa analisis regresi, dan desain </w:t>
      </w:r>
      <w:r>
        <w:rPr>
          <w:rFonts w:hint="default"/>
          <w:i/>
          <w:color w:val="auto"/>
          <w:highlight w:val="none"/>
          <w:lang w:val="id-ID"/>
        </w:rPr>
        <w:t>cross-sectional</w:t>
      </w:r>
      <w:r>
        <w:rPr>
          <w:rFonts w:hint="default"/>
          <w:color w:val="auto"/>
          <w:highlight w:val="none"/>
          <w:lang w:val="id-ID"/>
        </w:rPr>
        <w:t xml:space="preserve"> tidak dapat menunjukkan hubungan sebab-akibat. Platform hanya merekam data yang telah dikirim, sehingga alasan peserta berhenti tidak diketahui. Perbandingan sebelum dan sesudah perbaikan platform didasarkan pada periode yang singkat dan jumlah peserta yang sedikit, sehingga dampak pengembangan iteratif terhadap penyelesaian pengisian belum dapat dipastikan.</w:t>
      </w:r>
    </w:p>
    <w:p w14:paraId="3BA2212E">
      <w:pPr>
        <w:keepNext/>
        <w:spacing w:before="240" w:after="120"/>
        <w:jc w:val="center"/>
        <w:rPr>
          <w:color w:val="auto"/>
          <w:highlight w:val="none"/>
        </w:rPr>
      </w:pPr>
      <w:r>
        <w:rPr>
          <w:b/>
          <w:color w:val="auto"/>
          <w:highlight w:val="none"/>
        </w:rPr>
        <w:t>SIMPULAN DAN SARAN</w:t>
      </w:r>
    </w:p>
    <w:p w14:paraId="7A6B9C89">
      <w:pPr>
        <w:keepNext/>
        <w:spacing w:before="120" w:after="60"/>
        <w:jc w:val="left"/>
        <w:rPr>
          <w:color w:val="auto"/>
          <w:highlight w:val="none"/>
        </w:rPr>
      </w:pPr>
      <w:r>
        <w:rPr>
          <w:b/>
          <w:color w:val="auto"/>
          <w:highlight w:val="none"/>
        </w:rPr>
        <w:t>Simpulan</w:t>
      </w:r>
    </w:p>
    <w:p w14:paraId="5D5F67BF">
      <w:pPr>
        <w:spacing w:before="0" w:after="0"/>
        <w:ind w:firstLine="567"/>
        <w:jc w:val="both"/>
        <w:rPr>
          <w:color w:val="auto"/>
          <w:highlight w:val="none"/>
        </w:rPr>
      </w:pPr>
      <w:r>
        <w:rPr>
          <w:color w:val="auto"/>
          <w:highlight w:val="none"/>
        </w:rPr>
        <w:t xml:space="preserve">Platform web sederhana dapat dimanfaatkan untuk penelitian prakonsepsi </w:t>
      </w:r>
      <w:r>
        <w:rPr>
          <w:i/>
          <w:color w:val="auto"/>
          <w:highlight w:val="none"/>
        </w:rPr>
        <w:t>online</w:t>
      </w:r>
      <w:r>
        <w:rPr>
          <w:color w:val="auto"/>
          <w:highlight w:val="none"/>
        </w:rPr>
        <w:t>, tetapi beban peserta, kiriman ganda, dan kehilangan data yang tidak terlihat merupakan masalah yang lazim terjadi sehingga perlu diantisipasi sejak tahap perancangan. Penggunaan media sosial catin tergolong intensif dan didominasi WhatsApp. Pengetahuan gizi prakonsepsi umumnya baik dan berkorelasi dengan sikap berbasis HBM, tetapi lebih dari separuh catin mengalami berat badan lebih atau obesitas. IMT yang lebih rendah dan sikap yang lebih positif berhubungan dengan pemanfaatan sumber kesehatan yang kredibel dan kebiasaan memeriksa kebenaran informasi, bukan dengan frekuensi akses.</w:t>
      </w:r>
    </w:p>
    <w:p w14:paraId="209D1B9E">
      <w:pPr>
        <w:keepNext/>
        <w:spacing w:before="120" w:after="60"/>
        <w:jc w:val="left"/>
        <w:rPr>
          <w:color w:val="auto"/>
          <w:highlight w:val="none"/>
        </w:rPr>
      </w:pPr>
      <w:r>
        <w:rPr>
          <w:b/>
          <w:color w:val="auto"/>
          <w:highlight w:val="none"/>
        </w:rPr>
        <w:t>Saran</w:t>
      </w:r>
    </w:p>
    <w:p w14:paraId="28A9A7D8">
      <w:pPr>
        <w:spacing w:before="0" w:after="0"/>
        <w:ind w:firstLine="567"/>
        <w:jc w:val="both"/>
        <w:rPr>
          <w:color w:val="auto"/>
          <w:highlight w:val="none"/>
        </w:rPr>
      </w:pPr>
      <w:r>
        <w:rPr>
          <w:color w:val="auto"/>
          <w:highlight w:val="none"/>
        </w:rPr>
        <w:t xml:space="preserve">Platform sejenis perlu memakai instrumen ringkas dan memantau data secara rutin. Edukasi gizi prakonsepsi </w:t>
      </w:r>
      <w:r>
        <w:rPr>
          <w:i/>
          <w:color w:val="auto"/>
          <w:highlight w:val="none"/>
        </w:rPr>
        <w:t>online</w:t>
      </w:r>
      <w:r>
        <w:rPr>
          <w:color w:val="auto"/>
          <w:highlight w:val="none"/>
        </w:rPr>
        <w:t xml:space="preserve"> bagi catin perlu membiasakan catin memeriksa kebenaran informasi dan izin edar produk, menggunakan referensi yang kredibel, serta memanfaatkan WhatsApp sebagai pengingat dan pendampingan.</w:t>
      </w:r>
    </w:p>
    <w:p w14:paraId="3817099A">
      <w:pPr>
        <w:keepNext/>
        <w:spacing w:before="240" w:after="120"/>
        <w:jc w:val="center"/>
        <w:rPr>
          <w:color w:val="auto"/>
          <w:highlight w:val="none"/>
        </w:rPr>
      </w:pPr>
      <w:r>
        <w:rPr>
          <w:b/>
          <w:color w:val="auto"/>
          <w:highlight w:val="none"/>
        </w:rPr>
        <w:t>UCAPAN TERIMA KASIH</w:t>
      </w:r>
    </w:p>
    <w:p w14:paraId="15756C21">
      <w:pPr>
        <w:spacing w:before="0" w:after="0"/>
        <w:ind w:firstLine="567"/>
        <w:jc w:val="both"/>
        <w:rPr>
          <w:color w:val="auto"/>
          <w:highlight w:val="none"/>
        </w:rPr>
      </w:pPr>
      <w:r>
        <w:rPr>
          <w:color w:val="auto"/>
          <w:highlight w:val="none"/>
        </w:rPr>
        <w:t xml:space="preserve">Penulis mengucapkan terima kasih kepada </w:t>
      </w:r>
      <w:r>
        <w:rPr>
          <w:rFonts w:hint="default"/>
          <w:color w:val="auto"/>
          <w:highlight w:val="none"/>
          <w:lang w:val="id-ID"/>
        </w:rPr>
        <w:t xml:space="preserve">para </w:t>
      </w:r>
      <w:r>
        <w:rPr>
          <w:color w:val="auto"/>
          <w:highlight w:val="none"/>
          <w:lang w:val="id-ID"/>
        </w:rPr>
        <w:t>catin</w:t>
      </w:r>
      <w:r>
        <w:rPr>
          <w:color w:val="auto"/>
          <w:highlight w:val="none"/>
        </w:rPr>
        <w:t xml:space="preserve"> dan mitra pemerintah daerah Kota Binjai atas dukungannya, serta Universitas Terbuka atas beasiswa doktor yang diberikan kepada penulis pertama.</w:t>
      </w:r>
    </w:p>
    <w:p w14:paraId="5D9526C9">
      <w:pPr>
        <w:keepNext/>
        <w:spacing w:before="240" w:after="120"/>
        <w:jc w:val="center"/>
        <w:rPr>
          <w:color w:val="auto"/>
          <w:highlight w:val="none"/>
        </w:rPr>
      </w:pPr>
      <w:r>
        <w:rPr>
          <w:b/>
          <w:color w:val="auto"/>
          <w:highlight w:val="none"/>
        </w:rPr>
        <w:t>DAFTAR PUSTAKA</w:t>
      </w:r>
    </w:p>
    <w:p w14:paraId="44B5A1FD">
      <w:pPr>
        <w:spacing w:before="0" w:after="0"/>
        <w:ind w:left="567" w:hanging="567"/>
        <w:jc w:val="both"/>
        <w:rPr>
          <w:color w:val="auto"/>
          <w:highlight w:val="none"/>
        </w:rPr>
      </w:pPr>
      <w:r>
        <w:rPr>
          <w:color w:val="auto"/>
          <w:highlight w:val="none"/>
        </w:rPr>
        <w:t>Agustiani FY, Mahes'sa TD, Aulya N, Rahim FK, Amalia IS. 2026. Hubungan paparan influencer, self-esteem, pengetahuan badan pengawasan obat dan makanan terhadap penggunaan kosmetik remaja. J Public Health Innov. 6(2):301–309. doi:10.34305/551x2s74.</w:t>
      </w:r>
    </w:p>
    <w:p w14:paraId="21BCD3AE">
      <w:pPr>
        <w:spacing w:before="0" w:after="0"/>
        <w:ind w:left="567" w:hanging="567"/>
        <w:jc w:val="both"/>
        <w:rPr>
          <w:color w:val="auto"/>
          <w:highlight w:val="none"/>
        </w:rPr>
      </w:pPr>
      <w:r>
        <w:rPr>
          <w:color w:val="auto"/>
          <w:highlight w:val="none"/>
        </w:rPr>
        <w:t>Aktaç Ş, Karğın D, Güneş FE. 2021. The relationship between social media use, eating attitude and body mass index among nutrition and dietetic female students: a cross-sectional study. Rev Esp Nutr Hum Diet. 25(1):78–86. doi:10.14306/renhyd.25.1.1094.</w:t>
      </w:r>
    </w:p>
    <w:p w14:paraId="4A1A1A1A">
      <w:pPr>
        <w:spacing w:before="0" w:after="0"/>
        <w:ind w:left="567" w:hanging="567"/>
        <w:jc w:val="both"/>
        <w:rPr>
          <w:color w:val="auto"/>
          <w:highlight w:val="none"/>
        </w:rPr>
      </w:pPr>
      <w:r>
        <w:rPr>
          <w:color w:val="auto"/>
          <w:highlight w:val="none"/>
        </w:rPr>
        <w:t>Amiri P, Nadri H, Bahaadinbeigy K. 2023. Facilitators and barriers of mHealth interventions during the Covid-19 pandemic: systematic review. BMC Health Serv Res. 23:1176. doi:10.1186/s12913-023-10171-w.</w:t>
      </w:r>
    </w:p>
    <w:p w14:paraId="040F7020">
      <w:pPr>
        <w:spacing w:before="0" w:after="0"/>
        <w:ind w:left="567" w:hanging="567"/>
        <w:jc w:val="both"/>
        <w:rPr>
          <w:color w:val="auto"/>
          <w:highlight w:val="none"/>
        </w:rPr>
      </w:pPr>
      <w:r>
        <w:rPr>
          <w:color w:val="auto"/>
          <w:highlight w:val="none"/>
        </w:rPr>
        <w:t>Ansari MR, Putri F, Nangley W, Kandarina BJI. 2023. Association between pre-conception health and nutrition knowledge-attitude-practice and anemia among pre-marital women in Sleman, Indonesia. J Gizi Pangan. 18(Supp.1):49–51. doi:10.25182/jgp.2023.18.Supp.1.49-51.</w:t>
      </w:r>
    </w:p>
    <w:p w14:paraId="25A2A5EE">
      <w:pPr>
        <w:spacing w:before="0" w:after="0"/>
        <w:ind w:left="567" w:hanging="567"/>
        <w:jc w:val="left"/>
        <w:rPr>
          <w:color w:val="auto"/>
          <w:highlight w:val="none"/>
        </w:rPr>
      </w:pPr>
      <w:r>
        <w:rPr>
          <w:color w:val="auto"/>
          <w:highlight w:val="none"/>
        </w:rPr>
        <w:t>[</w:t>
      </w:r>
      <w:r>
        <w:rPr>
          <w:color w:val="auto"/>
          <w:highlight w:val="none"/>
        </w:rPr>
        <w:t>APJII</w:t>
      </w:r>
      <w:r>
        <w:rPr>
          <w:color w:val="auto"/>
          <w:highlight w:val="none"/>
        </w:rPr>
        <w:t>] Asosiasi Penyelenggara Jasa Internet Indonesia. 2024. APJII jumlah pengguna internet Indonesia tembus 221 juta orang. [diakses 2026 Okt 20]. https://apjii.or.id/berita/d/apjii-jumlah-pengguna-internet-indonesia-tembus-221-juta-orang.</w:t>
      </w:r>
    </w:p>
    <w:p w14:paraId="5B7BB51B">
      <w:pPr>
        <w:spacing w:before="0" w:after="0"/>
        <w:ind w:left="567" w:hanging="567"/>
        <w:jc w:val="both"/>
        <w:rPr>
          <w:color w:val="auto"/>
          <w:highlight w:val="none"/>
        </w:rPr>
      </w:pPr>
      <w:r>
        <w:rPr>
          <w:color w:val="auto"/>
          <w:highlight w:val="none"/>
        </w:rPr>
        <w:t>Atmaka DR, Haryana NR, Rachmah Q, Setyaningtyas SW, Fitria AL, Pratiw</w:t>
      </w:r>
      <w:r>
        <w:rPr>
          <w:color w:val="auto"/>
          <w:highlight w:val="none"/>
        </w:rPr>
        <w:t xml:space="preserve">i AA, </w:t>
      </w:r>
      <w:r>
        <w:rPr>
          <w:i/>
          <w:color w:val="auto"/>
          <w:highlight w:val="none"/>
        </w:rPr>
        <w:t>et al</w:t>
      </w:r>
      <w:r>
        <w:rPr>
          <w:color w:val="auto"/>
          <w:highlight w:val="none"/>
        </w:rPr>
        <w:t>. 2022. Perbandingan metode online dan offline dalam peningkatan awareness calon pengantin terhadap gizi prakonsepsi sebagai upaya pencegahan stunting pada kursus persiapan pernikahan. Media Gizi Indones. 17(1SP):1–5. doi:10.20473/mgi.v17i1sp.1-5.</w:t>
      </w:r>
    </w:p>
    <w:p w14:paraId="24349B4E">
      <w:pPr>
        <w:spacing w:before="0" w:after="0"/>
        <w:ind w:left="567" w:hanging="567"/>
        <w:jc w:val="both"/>
        <w:rPr>
          <w:color w:val="auto"/>
          <w:highlight w:val="none"/>
        </w:rPr>
      </w:pPr>
      <w:r>
        <w:rPr>
          <w:color w:val="auto"/>
          <w:highlight w:val="none"/>
        </w:rPr>
        <w:t>Carpenter CJ. 2010. A meta-analysis of the effectiveness of health belief model variables in predicting behavior. Health Commun. 25(8):661–669. doi:10.1080/10410236.2010.521906.</w:t>
      </w:r>
    </w:p>
    <w:p w14:paraId="15CB5E34">
      <w:pPr>
        <w:spacing w:before="0" w:after="0"/>
        <w:ind w:left="567" w:hanging="567"/>
        <w:jc w:val="both"/>
        <w:rPr>
          <w:color w:val="auto"/>
          <w:highlight w:val="none"/>
        </w:rPr>
      </w:pPr>
      <w:r>
        <w:rPr>
          <w:color w:val="auto"/>
          <w:highlight w:val="none"/>
        </w:rPr>
        <w:t xml:space="preserve">Chen X, Hay JL, Waters EA, Kiviniemi MT, Biddle C, Schofield E, </w:t>
      </w:r>
      <w:r>
        <w:rPr>
          <w:i/>
          <w:color w:val="auto"/>
          <w:highlight w:val="none"/>
        </w:rPr>
        <w:t>et al</w:t>
      </w:r>
      <w:r>
        <w:rPr>
          <w:color w:val="auto"/>
          <w:highlight w:val="none"/>
        </w:rPr>
        <w:t>. 2018. Health literacy and use and trust in health information. J Health Commun. 23(8):724–734. doi:10.1080/10810730.2018.1511658.</w:t>
      </w:r>
    </w:p>
    <w:p w14:paraId="7919AD54">
      <w:pPr>
        <w:spacing w:before="0" w:after="0"/>
        <w:ind w:left="567" w:hanging="567"/>
        <w:jc w:val="both"/>
        <w:rPr>
          <w:color w:val="auto"/>
          <w:highlight w:val="none"/>
        </w:rPr>
      </w:pPr>
      <w:r>
        <w:rPr>
          <w:color w:val="auto"/>
          <w:highlight w:val="none"/>
        </w:rPr>
        <w:t>Couper MP, Peterson GJ. 2017. Why do web surveys take longer on smartphones? Soc Sci Comput Rev. 35(3):357–377. doi:10.1177/0894439316629932.</w:t>
      </w:r>
    </w:p>
    <w:p w14:paraId="0203A454">
      <w:pPr>
        <w:spacing w:before="0" w:after="0"/>
        <w:ind w:left="567" w:hanging="567"/>
        <w:jc w:val="both"/>
        <w:rPr>
          <w:color w:val="auto"/>
          <w:highlight w:val="none"/>
        </w:rPr>
      </w:pPr>
      <w:r>
        <w:rPr>
          <w:color w:val="auto"/>
          <w:highlight w:val="none"/>
        </w:rPr>
        <w:t>Denniss E, Lindberg R, Marchese LE, McNaughton SA. 2024.</w:t>
      </w:r>
      <w:r>
        <w:rPr>
          <w:color w:val="auto"/>
          <w:highlight w:val="none"/>
        </w:rPr>
        <w:t xml:space="preserve"> #Fail: the quality and accuracy of nutrition-related information by influential Australian Instagram accounts. Int J Behav Nutr Phys Act. 21:16. doi:10.1186/s12966-024-01565-y.</w:t>
      </w:r>
    </w:p>
    <w:p w14:paraId="170AF3FA">
      <w:pPr>
        <w:spacing w:before="0" w:after="0"/>
        <w:ind w:left="567" w:hanging="567"/>
        <w:jc w:val="both"/>
        <w:rPr>
          <w:color w:val="auto"/>
          <w:highlight w:val="none"/>
        </w:rPr>
      </w:pPr>
      <w:r>
        <w:rPr>
          <w:color w:val="auto"/>
          <w:highlight w:val="none"/>
        </w:rPr>
        <w:t xml:space="preserve">Eysenbach G. 2005. </w:t>
      </w:r>
      <w:r>
        <w:rPr>
          <w:color w:val="auto"/>
          <w:highlight w:val="none"/>
        </w:rPr>
        <w:t>The law of attrition. J Med Internet Res. 7(1):e11. doi:10.2196/jmir.7.1.e11.</w:t>
      </w:r>
    </w:p>
    <w:p w14:paraId="601D16C2">
      <w:pPr>
        <w:spacing w:before="0" w:after="0"/>
        <w:ind w:left="567" w:hanging="567"/>
        <w:jc w:val="both"/>
        <w:rPr>
          <w:color w:val="auto"/>
          <w:highlight w:val="none"/>
        </w:rPr>
      </w:pPr>
      <w:r>
        <w:rPr>
          <w:color w:val="auto"/>
          <w:highlight w:val="none"/>
        </w:rPr>
        <w:t>Eysenbach G, CONSORT-EHEALTH Group. 2011.</w:t>
      </w:r>
      <w:r>
        <w:rPr>
          <w:color w:val="auto"/>
          <w:highlight w:val="none"/>
        </w:rPr>
        <w:t xml:space="preserve"> CONSORT-EHEALTH: improving and standardizing evaluation reports of web-based and mobile health interventions. J Med Internet Res. 13(4):e126. doi:10.2196/jmir.1923.</w:t>
      </w:r>
    </w:p>
    <w:p w14:paraId="5F0585C4">
      <w:pPr>
        <w:spacing w:before="0" w:after="0"/>
        <w:ind w:left="567" w:hanging="567"/>
        <w:jc w:val="left"/>
        <w:rPr>
          <w:color w:val="auto"/>
          <w:highlight w:val="none"/>
        </w:rPr>
      </w:pPr>
      <w:r>
        <w:rPr>
          <w:color w:val="auto"/>
          <w:highlight w:val="none"/>
        </w:rPr>
        <w:t>Faverio M, Sidoti O. 2024</w:t>
      </w:r>
      <w:r>
        <w:rPr>
          <w:color w:val="auto"/>
          <w:highlight w:val="none"/>
        </w:rPr>
        <w:t xml:space="preserve">. Teens, Social Media and Technology 2024. Washington DC (US): </w:t>
      </w:r>
      <w:r>
        <w:rPr>
          <w:color w:val="auto"/>
          <w:highlight w:val="none"/>
        </w:rPr>
        <w:t>Pew Research Center</w:t>
      </w:r>
      <w:r>
        <w:rPr>
          <w:color w:val="auto"/>
          <w:highlight w:val="none"/>
        </w:rPr>
        <w:t>. [diakses 2026 Okt 20]. https://www.pewresearch.org/internet/2024/12/12/teens-social-media-and-technology-2024/.</w:t>
      </w:r>
    </w:p>
    <w:p w14:paraId="2B26B1E1">
      <w:pPr>
        <w:spacing w:before="0" w:after="0"/>
        <w:ind w:left="567" w:hanging="567"/>
        <w:jc w:val="both"/>
        <w:rPr>
          <w:color w:val="auto"/>
          <w:highlight w:val="none"/>
        </w:rPr>
      </w:pPr>
      <w:r>
        <w:rPr>
          <w:color w:val="auto"/>
          <w:highlight w:val="none"/>
        </w:rPr>
        <w:t>Galesic M, Bosnjak M. 2009. Effects of questionnaire length on participation and indicators of response quality in a web survey. Public Opin Q. 73(2):349–360. doi:10.1093/poq/nfp031.</w:t>
      </w:r>
    </w:p>
    <w:p w14:paraId="42E329F4">
      <w:pPr>
        <w:spacing w:before="0" w:after="0"/>
        <w:ind w:left="567" w:hanging="567"/>
        <w:jc w:val="both"/>
        <w:rPr>
          <w:color w:val="auto"/>
          <w:highlight w:val="none"/>
        </w:rPr>
      </w:pPr>
      <w:r>
        <w:rPr>
          <w:color w:val="auto"/>
          <w:highlight w:val="none"/>
        </w:rPr>
        <w:t>Janz NK, Becker MH. 198</w:t>
      </w:r>
      <w:r>
        <w:rPr>
          <w:color w:val="auto"/>
          <w:highlight w:val="none"/>
        </w:rPr>
        <w:t>4. The health belief model: a decade later. Health Educ Q. 11(1):1–47. doi:10.1177/109019818401100101.</w:t>
      </w:r>
    </w:p>
    <w:p w14:paraId="2AE7E697">
      <w:pPr>
        <w:spacing w:before="0" w:after="0"/>
        <w:ind w:left="567" w:hanging="567"/>
        <w:jc w:val="both"/>
        <w:rPr>
          <w:color w:val="auto"/>
          <w:highlight w:val="none"/>
        </w:rPr>
      </w:pPr>
      <w:r>
        <w:rPr>
          <w:color w:val="auto"/>
          <w:highlight w:val="none"/>
        </w:rPr>
        <w:t>[</w:t>
      </w:r>
      <w:r>
        <w:rPr>
          <w:color w:val="auto"/>
          <w:highlight w:val="none"/>
        </w:rPr>
        <w:t>Kemenkes</w:t>
      </w:r>
      <w:r>
        <w:rPr>
          <w:color w:val="auto"/>
          <w:highlight w:val="none"/>
        </w:rPr>
        <w:t xml:space="preserve"> RI] Kementerian Kesehatan Republik Indonesia. 2025. Keputusan Menteri Kesehatan Republik Indonesia Nomor HK.01.07/MENKES/509/2025 tentang Pedoman Nasional Pelayanan Klinis Tata Laksana Obesitas Dewasa. Jakarta (ID): Kementerian Kesehatan RI.</w:t>
      </w:r>
    </w:p>
    <w:p w14:paraId="4B67511F">
      <w:pPr>
        <w:spacing w:before="0" w:after="0"/>
        <w:ind w:left="567" w:hanging="567"/>
        <w:jc w:val="both"/>
        <w:rPr>
          <w:color w:val="auto"/>
          <w:highlight w:val="none"/>
        </w:rPr>
      </w:pPr>
      <w:r>
        <w:rPr>
          <w:color w:val="auto"/>
          <w:highlight w:val="none"/>
        </w:rPr>
        <w:t>Khomsan A. 2022</w:t>
      </w:r>
      <w:r>
        <w:rPr>
          <w:color w:val="auto"/>
          <w:highlight w:val="none"/>
        </w:rPr>
        <w:t>. Teknik Pengukuran Pengetahuan Gizi. Bogor (ID): IPB Press.</w:t>
      </w:r>
    </w:p>
    <w:p w14:paraId="37D6917A">
      <w:pPr>
        <w:spacing w:before="0" w:after="0"/>
        <w:ind w:left="567" w:hanging="567"/>
        <w:jc w:val="both"/>
        <w:rPr>
          <w:color w:val="auto"/>
          <w:highlight w:val="none"/>
        </w:rPr>
      </w:pPr>
      <w:r>
        <w:rPr>
          <w:color w:val="auto"/>
          <w:highlight w:val="none"/>
        </w:rPr>
        <w:t>Kisda AV, Ekayanti I, Sinaga T. 2024. Effect of health belief model-based interventions to increase diet quality of adolescents. Media Gizi Indones. 19(3):249–258. doi:10.20473/mgi.v19i3.249-258.</w:t>
      </w:r>
    </w:p>
    <w:p w14:paraId="1A11813F">
      <w:pPr>
        <w:spacing w:before="0" w:after="0"/>
        <w:ind w:left="567" w:hanging="567"/>
        <w:jc w:val="both"/>
        <w:rPr>
          <w:color w:val="auto"/>
          <w:highlight w:val="none"/>
        </w:rPr>
      </w:pPr>
      <w:r>
        <w:rPr>
          <w:color w:val="auto"/>
          <w:highlight w:val="none"/>
        </w:rPr>
        <w:t>Lam BT, Szymlek-Gay EA, Larsson C, Margerison C. 2025. Preferences, perceptions, and use of online nutrition content among young Australian adults: qualitative study. J Med Internet Res. 27:e67640. doi:10.2196/67640.</w:t>
      </w:r>
    </w:p>
    <w:p w14:paraId="46780347">
      <w:pPr>
        <w:spacing w:before="0" w:after="0"/>
        <w:ind w:left="567" w:hanging="567"/>
        <w:jc w:val="both"/>
        <w:rPr>
          <w:color w:val="auto"/>
          <w:highlight w:val="none"/>
        </w:rPr>
      </w:pPr>
      <w:r>
        <w:rPr>
          <w:color w:val="auto"/>
          <w:highlight w:val="none"/>
        </w:rPr>
        <w:t xml:space="preserve">Laurence MC, Titaley CR, Tahitu R, Asmin E, Kailola NE, Istia SS, </w:t>
      </w:r>
      <w:r>
        <w:rPr>
          <w:i/>
          <w:color w:val="auto"/>
          <w:highlight w:val="none"/>
        </w:rPr>
        <w:t>et al</w:t>
      </w:r>
      <w:r>
        <w:rPr>
          <w:color w:val="auto"/>
          <w:highlight w:val="none"/>
        </w:rPr>
        <w:t>. 2025. The effect of WhatsApp-based reminders on enhancing knowledge and adherence to weekly iron-folic acid supplementation among adolescent girls in Maluku, Indonesia. Front Digit Health. 7:1542006. doi:10.3389/fdgth.2025.1542006.</w:t>
      </w:r>
    </w:p>
    <w:p w14:paraId="2E4795B6">
      <w:pPr>
        <w:spacing w:before="0" w:after="0"/>
        <w:ind w:left="567" w:hanging="567"/>
        <w:jc w:val="both"/>
        <w:rPr>
          <w:color w:val="auto"/>
          <w:highlight w:val="none"/>
        </w:rPr>
      </w:pPr>
      <w:r>
        <w:rPr>
          <w:color w:val="auto"/>
          <w:highlight w:val="none"/>
        </w:rPr>
        <w:t xml:space="preserve">Lim MSC, Molenaar A, Brennan L, Reid M, McCaffrey T. </w:t>
      </w:r>
      <w:r>
        <w:rPr>
          <w:color w:val="auto"/>
          <w:highlight w:val="none"/>
        </w:rPr>
        <w:t>2022. Young adults' use of different social media platforms for health information: insights from web-based conversations. J Med Internet Res. 24(1):e23656. doi:10.2196/23656.</w:t>
      </w:r>
    </w:p>
    <w:p w14:paraId="54BBDE76">
      <w:pPr>
        <w:spacing w:before="0" w:after="0"/>
        <w:ind w:left="567" w:hanging="567"/>
        <w:jc w:val="both"/>
        <w:rPr>
          <w:color w:val="auto"/>
          <w:highlight w:val="none"/>
        </w:rPr>
      </w:pPr>
      <w:r>
        <w:rPr>
          <w:color w:val="auto"/>
          <w:highlight w:val="none"/>
        </w:rPr>
        <w:t>Melani V, Kuswari M. 2019.</w:t>
      </w:r>
      <w:r>
        <w:rPr>
          <w:color w:val="auto"/>
          <w:highlight w:val="none"/>
        </w:rPr>
        <w:t xml:space="preserve"> Pengetahuan gizi seimbang calon pengantin di beberapa Kantor Urusan Agama (KUA) Jakarta Barat. Darussalam Nutr J. 3(1):1–6. doi:10.21111/dnj.v3i1.3030.</w:t>
      </w:r>
    </w:p>
    <w:p w14:paraId="48ACDC95">
      <w:pPr>
        <w:spacing w:before="0" w:after="0"/>
        <w:ind w:left="567" w:hanging="567"/>
        <w:jc w:val="both"/>
        <w:rPr>
          <w:color w:val="auto"/>
          <w:highlight w:val="none"/>
        </w:rPr>
      </w:pPr>
      <w:r>
        <w:rPr>
          <w:color w:val="auto"/>
          <w:highlight w:val="none"/>
        </w:rPr>
        <w:t>Meyerowitz-Katz G, Ravi S, Arnolda L, Feng X, Maberly G, Astell-Burt T. 2</w:t>
      </w:r>
      <w:r>
        <w:rPr>
          <w:color w:val="auto"/>
          <w:highlight w:val="none"/>
        </w:rPr>
        <w:t>020. Rates of attrition and dropout in app-based interventions for chronic disease: systematic review and meta-analysis. J Med Internet Res. 22(9):e20283. doi:10.2196/20283.</w:t>
      </w:r>
    </w:p>
    <w:p w14:paraId="4378EE53">
      <w:pPr>
        <w:spacing w:before="0" w:after="0"/>
        <w:ind w:left="567" w:hanging="567"/>
        <w:jc w:val="both"/>
        <w:rPr>
          <w:color w:val="auto"/>
          <w:highlight w:val="none"/>
        </w:rPr>
      </w:pPr>
      <w:r>
        <w:rPr>
          <w:color w:val="auto"/>
          <w:highlight w:val="none"/>
        </w:rPr>
        <w:t>Musgrave L, Cheney K, Dorney E, Homer CSE, Gordon A. 20</w:t>
      </w:r>
      <w:r>
        <w:rPr>
          <w:color w:val="auto"/>
          <w:highlight w:val="none"/>
        </w:rPr>
        <w:t>23. Addressing preconception behavior change through mobile phone apps: systematic review and meta-analysis. J Med Internet Res. 25:e41900. doi:10.2196/41900.</w:t>
      </w:r>
    </w:p>
    <w:p w14:paraId="6128C31A">
      <w:pPr>
        <w:spacing w:before="0" w:after="0"/>
        <w:ind w:left="567" w:hanging="567"/>
        <w:jc w:val="both"/>
        <w:rPr>
          <w:color w:val="auto"/>
          <w:highlight w:val="none"/>
        </w:rPr>
      </w:pPr>
      <w:r>
        <w:rPr>
          <w:color w:val="auto"/>
          <w:highlight w:val="none"/>
        </w:rPr>
        <w:t>Pengpid S, Peltzer K. 2017</w:t>
      </w:r>
      <w:r>
        <w:rPr>
          <w:color w:val="auto"/>
          <w:highlight w:val="none"/>
        </w:rPr>
        <w:t>. The prevalence of underweight, overweight/obesity and their related lifestyle factors in Indonesia, 2014–15. AIMS Public Health. 4(6):633–649. doi:10.3934/publichealth.2017.6.633.</w:t>
      </w:r>
    </w:p>
    <w:p w14:paraId="231ADF84">
      <w:pPr>
        <w:spacing w:before="0" w:after="0"/>
        <w:ind w:left="567" w:hanging="567"/>
        <w:jc w:val="both"/>
        <w:rPr>
          <w:color w:val="auto"/>
          <w:highlight w:val="none"/>
        </w:rPr>
      </w:pPr>
      <w:r>
        <w:rPr>
          <w:color w:val="auto"/>
          <w:highlight w:val="none"/>
        </w:rPr>
        <w:t>Perski O, Blandford A, West R, Michie S. 2017. Conceptualising engagement with digital behaviour change interventions: a systematic review using principles from critical interpretive synthesis. Transl Behav Med. 7(2):254–267. doi:10.1007/s13142-016-0453-1.</w:t>
      </w:r>
    </w:p>
    <w:p w14:paraId="17FD3775">
      <w:pPr>
        <w:spacing w:before="0" w:after="0"/>
        <w:ind w:left="567" w:hanging="567"/>
        <w:jc w:val="both"/>
        <w:rPr>
          <w:color w:val="auto"/>
          <w:highlight w:val="none"/>
        </w:rPr>
      </w:pPr>
      <w:r>
        <w:rPr>
          <w:color w:val="auto"/>
          <w:highlight w:val="none"/>
        </w:rPr>
        <w:t>Sampasa-Kanyinga H, Chaput JP, Hamilton HA. 2015. Associations between the use of social networking sites and unhealthy eating behaviours and excess body weight in adolescents. Br J Nutr. 114(11):1941–1947. doi:10.1017/S0007114515003566.</w:t>
      </w:r>
    </w:p>
    <w:p w14:paraId="4A60B4A7">
      <w:pPr>
        <w:spacing w:before="0" w:after="0"/>
        <w:ind w:left="567" w:hanging="567"/>
        <w:jc w:val="both"/>
        <w:rPr>
          <w:color w:val="auto"/>
          <w:highlight w:val="none"/>
        </w:rPr>
      </w:pPr>
      <w:r>
        <w:rPr>
          <w:color w:val="auto"/>
          <w:highlight w:val="none"/>
        </w:rPr>
        <w:t>Stephenson J, Heslehurst N, Hall</w:t>
      </w:r>
      <w:r>
        <w:rPr>
          <w:color w:val="auto"/>
          <w:highlight w:val="none"/>
        </w:rPr>
        <w:t xml:space="preserve"> J, Schoenaker DAJM, Hutchinson J, Cade JE, Poston L, Barrett G, Crozier SR, Barker M, </w:t>
      </w:r>
      <w:r>
        <w:rPr>
          <w:i/>
          <w:color w:val="auto"/>
          <w:highlight w:val="none"/>
        </w:rPr>
        <w:t>et al</w:t>
      </w:r>
      <w:r>
        <w:rPr>
          <w:color w:val="auto"/>
          <w:highlight w:val="none"/>
        </w:rPr>
        <w:t>. 2018. Before the beginning: nutrition and lifestyle in the preconception period and its importance for future health. Lancet. 391(10132):1830–1841. doi:10.1016/S0140-6736(18)30311-8.</w:t>
      </w:r>
    </w:p>
    <w:p w14:paraId="18D8A279">
      <w:pPr>
        <w:spacing w:before="0" w:after="0"/>
        <w:ind w:left="567" w:hanging="567"/>
        <w:jc w:val="both"/>
        <w:rPr>
          <w:color w:val="auto"/>
          <w:highlight w:val="none"/>
        </w:rPr>
      </w:pPr>
      <w:r>
        <w:rPr>
          <w:color w:val="auto"/>
          <w:highlight w:val="none"/>
        </w:rPr>
        <w:t>Suarez-Lledo V, Alvarez-Galvez J. 2021.</w:t>
      </w:r>
      <w:r>
        <w:rPr>
          <w:color w:val="auto"/>
          <w:highlight w:val="none"/>
        </w:rPr>
        <w:t xml:space="preserve"> Prevalence of health misinformation on social media: systematic review. J Med Internet Res. 23(1):e17187. doi:10.2196/17187.</w:t>
      </w:r>
    </w:p>
    <w:p w14:paraId="0AFCE4FE">
      <w:pPr>
        <w:spacing w:before="0" w:after="0"/>
        <w:ind w:left="567" w:hanging="567"/>
        <w:jc w:val="both"/>
        <w:rPr>
          <w:color w:val="auto"/>
          <w:highlight w:val="none"/>
        </w:rPr>
      </w:pPr>
      <w:r>
        <w:rPr>
          <w:color w:val="auto"/>
          <w:highlight w:val="none"/>
        </w:rPr>
        <w:t>Teitcher JEF, Bockting WO, Bauermeister JA, Hoefer CJ, Miner MH, Klitzman RL. 2015. Detecting, preventing, and responding to "fraudsters" in internet research: ethics and tradeoffs. J Law Med Ethics. 43(1):116–133. doi:10.1111/jlme.12200.</w:t>
      </w:r>
    </w:p>
    <w:p w14:paraId="5C174A8B">
      <w:pPr>
        <w:spacing w:before="0" w:after="0"/>
        <w:ind w:left="567" w:hanging="567"/>
        <w:jc w:val="both"/>
        <w:rPr>
          <w:color w:val="auto"/>
          <w:highlight w:val="none"/>
        </w:rPr>
      </w:pPr>
      <w:r>
        <w:rPr>
          <w:color w:val="auto"/>
          <w:highlight w:val="none"/>
        </w:rPr>
        <w:t>van Dijk MR, Koster MPH, Oostingh EC, Willemsen SP, Steegers EAP, Steegers-Theunissen RPM. 2020. A mobile app lifestyle intervention to improve healthy nutrition in women before and during early pregnancy: single-center randomized controlled trial. J Med Internet Res. 22(5):e15773. doi:10.2196/15773.</w:t>
      </w:r>
    </w:p>
    <w:p w14:paraId="4A2230FC">
      <w:pPr>
        <w:spacing w:before="0" w:after="0"/>
        <w:ind w:left="567" w:hanging="567"/>
        <w:jc w:val="both"/>
        <w:rPr>
          <w:color w:val="auto"/>
          <w:highlight w:val="none"/>
        </w:rPr>
      </w:pPr>
      <w:r>
        <w:rPr>
          <w:color w:val="auto"/>
          <w:highlight w:val="none"/>
        </w:rPr>
        <w:t>Wang Y, McKee M, Torbica A, Stuckler D. 2019</w:t>
      </w:r>
      <w:r>
        <w:rPr>
          <w:color w:val="auto"/>
          <w:highlight w:val="none"/>
        </w:rPr>
        <w:t>. Systematic literature review on the spread of health-related misinformation on social media. Soc Sci Med. 240:112552. doi:10.1016/j.socscimed.2019.112552.</w:t>
      </w:r>
    </w:p>
    <w:p w14:paraId="1478CC4B">
      <w:pPr>
        <w:spacing w:before="0" w:after="0"/>
        <w:ind w:left="567" w:hanging="567"/>
        <w:jc w:val="both"/>
        <w:rPr>
          <w:color w:val="auto"/>
          <w:highlight w:val="none"/>
        </w:rPr>
      </w:pPr>
      <w:r>
        <w:rPr>
          <w:color w:val="auto"/>
          <w:highlight w:val="none"/>
        </w:rPr>
        <w:t>Yardley L, Morrison L, Bradbury K, Muller I. 2015. The person-based approach to intervention development: application to digital health-related behavior change interventions. J Med Internet Res. 17(1):e30. doi:10.2196/jmir.4055.</w:t>
      </w:r>
    </w:p>
    <w:p w14:paraId="588482ED">
      <w:pPr>
        <w:spacing w:before="0" w:after="0"/>
        <w:ind w:left="567" w:hanging="567"/>
        <w:jc w:val="both"/>
        <w:rPr>
          <w:color w:val="auto"/>
          <w:highlight w:val="none"/>
        </w:rPr>
      </w:pPr>
      <w:r>
        <w:rPr>
          <w:color w:val="auto"/>
          <w:highlight w:val="none"/>
        </w:rPr>
        <w:t>Zahra SS, Khusun H, Setyawati YD. 2024</w:t>
      </w:r>
      <w:r>
        <w:rPr>
          <w:color w:val="auto"/>
          <w:highlight w:val="none"/>
        </w:rPr>
        <w:t>. Gambaran status gizi, pengetahuan dan sikap gizi prakonsepsi pada calon pengantin di Kabupaten Bogor. Health Promot Community Engagem J. 3(1). doi:10.70041/hpcej.v3i1.107.</w:t>
      </w:r>
    </w:p>
    <w:sectPr>
      <w:head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pPr>
        <w:spacing w:before="0" w:after="0" w:line="240" w:lineRule="auto"/>
      </w:pPr>
      <w:r>
        <w:separator/>
      </w:r>
    </w:p>
  </w:footnote>
  <w:footnote w:type="continuationSeparator" w:id="11">
    <w:p>
      <w:pPr>
        <w:spacing w:before="0" w:after="0" w:line="240" w:lineRule="auto"/>
      </w:pPr>
      <w:r>
        <w:continuationSeparator/>
      </w:r>
    </w:p>
  </w:footnote>
  <w:footnote w:id="0">
    <w:p w14:paraId="5FAAED25">
      <w:pPr>
        <w:spacing w:after="0"/>
      </w:pPr>
      <w:r>
        <w:rPr>
          <w:rFonts w:ascii="Times New Roman" w:hAnsi="Times New Roman"/>
          <w:sz w:val="16"/>
          <w:vertAlign w:val="superscript"/>
        </w:rPr>
        <w:footnoteRef/>
      </w:r>
      <w:r>
        <w:rPr>
          <w:rFonts w:ascii="Times New Roman" w:hAnsi="Times New Roman"/>
          <w:sz w:val="16"/>
        </w:rPr>
        <w:t>Bagian dari disertasi, disampaikan pada Seminar Sekolah Pascasarjana IPB</w:t>
      </w:r>
    </w:p>
  </w:footnote>
  <w:footnote w:id="1">
    <w:p w14:paraId="65F3CAF9">
      <w:pPr>
        <w:spacing w:after="0"/>
      </w:pPr>
      <w:r>
        <w:rPr>
          <w:rFonts w:ascii="Times New Roman" w:hAnsi="Times New Roman"/>
          <w:sz w:val="16"/>
          <w:vertAlign w:val="superscript"/>
        </w:rPr>
        <w:footnoteRef/>
      </w:r>
      <w:r>
        <w:rPr>
          <w:rFonts w:ascii="Times New Roman" w:hAnsi="Times New Roman"/>
          <w:sz w:val="16"/>
        </w:rPr>
        <w:t>Mahasiswa Program Doktor Program Studi Ilmu Gizi, Fakultas Kedokteran dan Gizi (FKGiz) IPB</w:t>
      </w:r>
    </w:p>
  </w:footnote>
  <w:footnote w:id="2">
    <w:p w14:paraId="269C7598">
      <w:pPr>
        <w:spacing w:after="0"/>
      </w:pPr>
      <w:r>
        <w:rPr>
          <w:rFonts w:ascii="Times New Roman" w:hAnsi="Times New Roman"/>
          <w:sz w:val="16"/>
          <w:vertAlign w:val="superscript"/>
        </w:rPr>
        <w:footnoteRef/>
      </w:r>
      <w:r>
        <w:rPr>
          <w:rFonts w:ascii="Times New Roman" w:hAnsi="Times New Roman"/>
          <w:sz w:val="16"/>
        </w:rPr>
        <w:t>Ketua Komisi Pembimbing, Staf Pengajar Program Studi Ilmu Gizi, FKGiz IPB</w:t>
      </w:r>
    </w:p>
  </w:footnote>
  <w:footnote w:id="3">
    <w:p w14:paraId="4DC3E70B">
      <w:pPr>
        <w:spacing w:after="0"/>
      </w:pPr>
      <w:r>
        <w:rPr>
          <w:rFonts w:ascii="Times New Roman" w:hAnsi="Times New Roman"/>
          <w:sz w:val="16"/>
          <w:vertAlign w:val="superscript"/>
        </w:rPr>
        <w:footnoteRef/>
      </w:r>
      <w:r>
        <w:rPr>
          <w:rFonts w:ascii="Times New Roman" w:hAnsi="Times New Roman"/>
          <w:sz w:val="16"/>
        </w:rPr>
        <w:t>Anggota Komisi Pembimbing, Staf Pengajar Program Studi Ilmu Gizi, FKGiz IPB</w:t>
      </w:r>
    </w:p>
  </w:footnote>
  <w:footnote w:id="4">
    <w:p w14:paraId="3C1E271E">
      <w:pPr>
        <w:spacing w:after="0"/>
      </w:pPr>
      <w:r>
        <w:rPr>
          <w:rFonts w:ascii="Times New Roman" w:hAnsi="Times New Roman"/>
          <w:sz w:val="16"/>
          <w:vertAlign w:val="superscript"/>
        </w:rPr>
        <w:footnoteRef/>
      </w:r>
      <w:r>
        <w:rPr>
          <w:rFonts w:ascii="Times New Roman" w:hAnsi="Times New Roman"/>
          <w:sz w:val="16"/>
        </w:rPr>
        <w:t xml:space="preserve">Anggota Komisi Pembimbing, Staf Pengajar Program Studi Ilmu Komputer, </w:t>
      </w:r>
      <w:r>
        <w:rPr>
          <w:rFonts w:hint="default"/>
          <w:sz w:val="16"/>
          <w:lang w:val="id-ID"/>
        </w:rPr>
        <w:t xml:space="preserve">FMIPA </w:t>
      </w:r>
      <w:r>
        <w:rPr>
          <w:rFonts w:ascii="Times New Roman" w:hAnsi="Times New Roman"/>
          <w:sz w:val="16"/>
        </w:rPr>
        <w:t>IPB</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65BDA">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6950">
    <w:pPr>
      <w:pStyle w:val="19"/>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10"/>
    <w:footnote w:id="1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C4126"/>
    <w:rsid w:val="02F900F0"/>
    <w:rsid w:val="032B053F"/>
    <w:rsid w:val="04673383"/>
    <w:rsid w:val="0570230B"/>
    <w:rsid w:val="07A84615"/>
    <w:rsid w:val="07D56CE9"/>
    <w:rsid w:val="080B7A27"/>
    <w:rsid w:val="087C019B"/>
    <w:rsid w:val="0A1B4B05"/>
    <w:rsid w:val="0B420A87"/>
    <w:rsid w:val="0CF47651"/>
    <w:rsid w:val="0DBE6D75"/>
    <w:rsid w:val="0EF6229A"/>
    <w:rsid w:val="103E0032"/>
    <w:rsid w:val="106946FA"/>
    <w:rsid w:val="10E248FB"/>
    <w:rsid w:val="11AE18EC"/>
    <w:rsid w:val="12FC6EBD"/>
    <w:rsid w:val="15423137"/>
    <w:rsid w:val="15D20959"/>
    <w:rsid w:val="16920D97"/>
    <w:rsid w:val="16A1087F"/>
    <w:rsid w:val="17C824F4"/>
    <w:rsid w:val="17E6460F"/>
    <w:rsid w:val="18437CCE"/>
    <w:rsid w:val="1B982D53"/>
    <w:rsid w:val="1BBD770F"/>
    <w:rsid w:val="1D3F244F"/>
    <w:rsid w:val="1D6F213C"/>
    <w:rsid w:val="1DC241B1"/>
    <w:rsid w:val="1DCC5F50"/>
    <w:rsid w:val="20481DC4"/>
    <w:rsid w:val="20AC4867"/>
    <w:rsid w:val="23F4608B"/>
    <w:rsid w:val="241210AB"/>
    <w:rsid w:val="24AA1806"/>
    <w:rsid w:val="25F02B6B"/>
    <w:rsid w:val="261D396E"/>
    <w:rsid w:val="269D62C3"/>
    <w:rsid w:val="28026311"/>
    <w:rsid w:val="286163A5"/>
    <w:rsid w:val="28E91F8D"/>
    <w:rsid w:val="29496228"/>
    <w:rsid w:val="29DC2F7B"/>
    <w:rsid w:val="2A5A52A3"/>
    <w:rsid w:val="2ABE6DBE"/>
    <w:rsid w:val="2DBB3DB0"/>
    <w:rsid w:val="2DCC4AB9"/>
    <w:rsid w:val="2E4A3F27"/>
    <w:rsid w:val="2EB72FE9"/>
    <w:rsid w:val="337D6587"/>
    <w:rsid w:val="33AA64DB"/>
    <w:rsid w:val="34B44085"/>
    <w:rsid w:val="35014102"/>
    <w:rsid w:val="364B0BA2"/>
    <w:rsid w:val="37E159C9"/>
    <w:rsid w:val="38521C1B"/>
    <w:rsid w:val="38B71A19"/>
    <w:rsid w:val="3A127D55"/>
    <w:rsid w:val="3B2B0DDE"/>
    <w:rsid w:val="3B6C2E48"/>
    <w:rsid w:val="3B8D6D24"/>
    <w:rsid w:val="3D9F37A9"/>
    <w:rsid w:val="3F071045"/>
    <w:rsid w:val="4008053C"/>
    <w:rsid w:val="40622392"/>
    <w:rsid w:val="43361162"/>
    <w:rsid w:val="452A0575"/>
    <w:rsid w:val="45477A03"/>
    <w:rsid w:val="48015E98"/>
    <w:rsid w:val="48DA2FD2"/>
    <w:rsid w:val="4B4E0182"/>
    <w:rsid w:val="4B807014"/>
    <w:rsid w:val="4C292472"/>
    <w:rsid w:val="4C654E7C"/>
    <w:rsid w:val="4CD6088E"/>
    <w:rsid w:val="4D161053"/>
    <w:rsid w:val="4FE425B1"/>
    <w:rsid w:val="4FFA0B11"/>
    <w:rsid w:val="500C31F2"/>
    <w:rsid w:val="52163CBE"/>
    <w:rsid w:val="533273FB"/>
    <w:rsid w:val="53B87967"/>
    <w:rsid w:val="5428756C"/>
    <w:rsid w:val="543770F8"/>
    <w:rsid w:val="558034C9"/>
    <w:rsid w:val="576069E7"/>
    <w:rsid w:val="58782833"/>
    <w:rsid w:val="58A44E42"/>
    <w:rsid w:val="58E86238"/>
    <w:rsid w:val="59922A37"/>
    <w:rsid w:val="5A6C6D91"/>
    <w:rsid w:val="5CE064DB"/>
    <w:rsid w:val="602910F4"/>
    <w:rsid w:val="604F4610"/>
    <w:rsid w:val="605C30E2"/>
    <w:rsid w:val="611C62BA"/>
    <w:rsid w:val="61402C9C"/>
    <w:rsid w:val="6588650D"/>
    <w:rsid w:val="65A84285"/>
    <w:rsid w:val="65D702EA"/>
    <w:rsid w:val="67976B83"/>
    <w:rsid w:val="691205EE"/>
    <w:rsid w:val="69382960"/>
    <w:rsid w:val="69C0748D"/>
    <w:rsid w:val="6ACF2B79"/>
    <w:rsid w:val="6AD3497A"/>
    <w:rsid w:val="6B992596"/>
    <w:rsid w:val="6CF263C3"/>
    <w:rsid w:val="6EB90621"/>
    <w:rsid w:val="70012A47"/>
    <w:rsid w:val="71863042"/>
    <w:rsid w:val="74B404B2"/>
    <w:rsid w:val="753B304F"/>
    <w:rsid w:val="758A7EE3"/>
    <w:rsid w:val="76AA3BBE"/>
    <w:rsid w:val="76D75581"/>
    <w:rsid w:val="78F8749C"/>
    <w:rsid w:val="7B4F485C"/>
    <w:rsid w:val="7B737828"/>
    <w:rsid w:val="7B9F58E0"/>
    <w:rsid w:val="7C9F5482"/>
    <w:rsid w:val="7D5671AF"/>
    <w:rsid w:val="7EE76221"/>
    <w:rsid w:val="7F1D6B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4780</Words>
  <Characters>30582</Characters>
  <Lines>0</Lines>
  <Paragraphs>0</Paragraphs>
  <TotalTime>8</TotalTime>
  <ScaleCrop>false</ScaleCrop>
  <LinksUpToDate>false</LinksUpToDate>
  <CharactersWithSpaces>35027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Marhamah Ann</cp:lastModifiedBy>
  <dcterms:modified xsi:type="dcterms:W3CDTF">2026-10-29T02:48:07Z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1057-12.1.0.29162</vt:lpwstr>
  </property>
  <property fmtid="{D5CDD505-2E9C-101B-9397-08002B2CF9AE}" pid="3" name="ICV">
    <vt:lpwstr>5421368DF5B74AF48B1FD6F0EB895A6B_13</vt:lpwstr>
  </property>
  <property fmtid="{D5CDD505-2E9C-101B-9397-08002B2CF9AE}" pid="4" name="KSOTemplateDocerSaveRecord">
    <vt:lpwstr>eyJoZGlkIjoiYjlmOWYwMjg3YjJjNWFiZjJhOWJkYjk0ZjM2Y2U3OGEiLCJ1c2VySWQiOiI4ODEzNDY2OTE5Njk5In0=</vt:lpwstr>
  </property>
</Properties>
</file>