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68A6" w14:textId="3979575A" w:rsidR="00F37AED" w:rsidRPr="00A543A8" w:rsidRDefault="004256E9" w:rsidP="00490D94">
      <w:pPr>
        <w:jc w:val="center"/>
        <w:rPr>
          <w:rFonts w:eastAsia="Times New Roman" w:cstheme="minorHAnsi"/>
          <w:b/>
          <w:bCs/>
          <w:kern w:val="0"/>
          <w:sz w:val="20"/>
          <w:szCs w:val="20"/>
          <w14:ligatures w14:val="none"/>
        </w:rPr>
      </w:pPr>
      <w:r w:rsidRPr="00A543A8">
        <w:rPr>
          <w:rFonts w:eastAsia="Times New Roman" w:cstheme="minorHAnsi"/>
          <w:b/>
          <w:bCs/>
          <w:kern w:val="0"/>
          <w:sz w:val="20"/>
          <w:szCs w:val="20"/>
          <w14:ligatures w14:val="none"/>
        </w:rPr>
        <w:t>Practical 1</w:t>
      </w:r>
    </w:p>
    <w:p w14:paraId="7F18F08F" w14:textId="7105600F" w:rsidR="004256E9" w:rsidRPr="004256E9" w:rsidRDefault="004256E9" w:rsidP="004256E9">
      <w:pPr>
        <w:rPr>
          <w:rFonts w:eastAsia="Times New Roman" w:cstheme="minorHAnsi"/>
          <w:b/>
          <w:bCs/>
          <w:kern w:val="0"/>
          <w:sz w:val="20"/>
          <w:szCs w:val="20"/>
          <w14:ligatures w14:val="none"/>
        </w:rPr>
      </w:pPr>
      <w:r w:rsidRPr="004256E9">
        <w:rPr>
          <w:rFonts w:eastAsia="Times New Roman" w:cstheme="minorHAnsi"/>
          <w:b/>
          <w:bCs/>
          <w:kern w:val="0"/>
          <w:sz w:val="20"/>
          <w:szCs w:val="20"/>
          <w14:ligatures w14:val="none"/>
        </w:rPr>
        <w:t>Part 1: Financial returns and normality</w:t>
      </w:r>
    </w:p>
    <w:p w14:paraId="5DCD0F53" w14:textId="2C6D4FDC" w:rsidR="004256E9" w:rsidRDefault="004256E9" w:rsidP="004256E9">
      <w:pPr>
        <w:pStyle w:val="Prrafodelista"/>
        <w:numPr>
          <w:ilvl w:val="0"/>
          <w:numId w:val="4"/>
        </w:numPr>
        <w:rPr>
          <w:rFonts w:eastAsia="Times New Roman" w:cstheme="minorHAnsi"/>
          <w:b/>
          <w:bCs/>
          <w:kern w:val="0"/>
          <w:sz w:val="20"/>
          <w:szCs w:val="20"/>
          <w14:ligatures w14:val="none"/>
        </w:rPr>
      </w:pPr>
      <w:r w:rsidRPr="004256E9">
        <w:rPr>
          <w:rFonts w:eastAsia="Times New Roman" w:cstheme="minorHAnsi"/>
          <w:b/>
          <w:bCs/>
          <w:kern w:val="0"/>
          <w:sz w:val="20"/>
          <w:szCs w:val="20"/>
          <w14:ligatures w14:val="none"/>
        </w:rPr>
        <w:t>Read Crypto data.csv. Then, assess the stationarity of the (raw) Bitcoin prices.</w:t>
      </w:r>
    </w:p>
    <w:p w14:paraId="7CED6D08" w14:textId="36E73289" w:rsidR="0061625B" w:rsidRDefault="0061625B" w:rsidP="0061625B">
      <w:pPr>
        <w:pStyle w:val="Prrafodelista"/>
        <w:rPr>
          <w:sz w:val="20"/>
          <w:szCs w:val="20"/>
        </w:rPr>
      </w:pPr>
      <w:r w:rsidRPr="0061625B">
        <w:rPr>
          <w:sz w:val="20"/>
          <w:szCs w:val="20"/>
        </w:rPr>
        <w:t>The cumulative periodogram</w:t>
      </w:r>
      <w:r w:rsidR="00490D94">
        <w:rPr>
          <w:sz w:val="20"/>
          <w:szCs w:val="20"/>
        </w:rPr>
        <w:t xml:space="preserve"> (Appendix 1</w:t>
      </w:r>
      <w:r w:rsidR="005650D3">
        <w:rPr>
          <w:sz w:val="20"/>
          <w:szCs w:val="20"/>
        </w:rPr>
        <w:t>.1</w:t>
      </w:r>
      <w:r w:rsidR="00490D94">
        <w:rPr>
          <w:sz w:val="20"/>
          <w:szCs w:val="20"/>
        </w:rPr>
        <w:t xml:space="preserve">) </w:t>
      </w:r>
      <w:r w:rsidRPr="0061625B">
        <w:rPr>
          <w:sz w:val="20"/>
          <w:szCs w:val="20"/>
        </w:rPr>
        <w:t xml:space="preserve">shows clearly that the data base </w:t>
      </w:r>
      <w:r w:rsidRPr="0061625B">
        <w:rPr>
          <w:b/>
          <w:bCs/>
          <w:sz w:val="20"/>
          <w:szCs w:val="20"/>
        </w:rPr>
        <w:t>is not stationary</w:t>
      </w:r>
      <w:r w:rsidRPr="0061625B">
        <w:rPr>
          <w:sz w:val="20"/>
          <w:szCs w:val="20"/>
        </w:rPr>
        <w:t xml:space="preserve"> as the observations are outside the confidence interval of white noise stationarity. This statement is confirmed by the Dickey Fuller Test</w:t>
      </w:r>
      <w:r>
        <w:rPr>
          <w:sz w:val="20"/>
          <w:szCs w:val="20"/>
        </w:rPr>
        <w:t xml:space="preserve"> (Appendix </w:t>
      </w:r>
      <w:r w:rsidR="005650D3">
        <w:rPr>
          <w:sz w:val="20"/>
          <w:szCs w:val="20"/>
        </w:rPr>
        <w:t>1.</w:t>
      </w:r>
      <w:r w:rsidR="00490D94">
        <w:rPr>
          <w:sz w:val="20"/>
          <w:szCs w:val="20"/>
        </w:rPr>
        <w:t>2</w:t>
      </w:r>
      <w:r>
        <w:rPr>
          <w:sz w:val="20"/>
          <w:szCs w:val="20"/>
        </w:rPr>
        <w:t>) with a p value higher than 0.5.</w:t>
      </w:r>
    </w:p>
    <w:p w14:paraId="7A1A31F5" w14:textId="77777777" w:rsidR="00490D94" w:rsidRPr="0061625B" w:rsidRDefault="00490D94" w:rsidP="0061625B">
      <w:pPr>
        <w:pStyle w:val="Prrafodelista"/>
        <w:rPr>
          <w:sz w:val="20"/>
          <w:szCs w:val="20"/>
        </w:rPr>
      </w:pPr>
    </w:p>
    <w:p w14:paraId="65A30B9E" w14:textId="66EEE644" w:rsidR="004256E9" w:rsidRPr="0061625B" w:rsidRDefault="004256E9" w:rsidP="004256E9">
      <w:pPr>
        <w:pStyle w:val="Prrafodelista"/>
        <w:numPr>
          <w:ilvl w:val="0"/>
          <w:numId w:val="4"/>
        </w:numPr>
        <w:spacing w:before="100" w:beforeAutospacing="1" w:after="100" w:afterAutospacing="1" w:line="240" w:lineRule="auto"/>
        <w:rPr>
          <w:rFonts w:eastAsia="Times New Roman" w:cstheme="minorHAnsi"/>
          <w:kern w:val="0"/>
          <w:sz w:val="20"/>
          <w:szCs w:val="20"/>
          <w14:ligatures w14:val="none"/>
        </w:rPr>
      </w:pPr>
      <w:r w:rsidRPr="004256E9">
        <w:rPr>
          <w:rFonts w:eastAsia="Times New Roman" w:cstheme="minorHAnsi"/>
          <w:b/>
          <w:bCs/>
          <w:kern w:val="0"/>
          <w:sz w:val="20"/>
          <w:szCs w:val="20"/>
          <w14:ligatures w14:val="none"/>
        </w:rPr>
        <w:t>Create a function to transform the Bitcoin prices into their negative log returns. Plot the latter series and assess their stationarity. To compare the series, also plot the negative log returns on a common scale.</w:t>
      </w:r>
    </w:p>
    <w:p w14:paraId="0B0DA1DF" w14:textId="59FB7A2A" w:rsidR="0061625B" w:rsidRPr="0061625B" w:rsidRDefault="0061625B" w:rsidP="0061625B">
      <w:pPr>
        <w:pStyle w:val="Prrafodelista"/>
        <w:spacing w:before="100" w:beforeAutospacing="1" w:after="100" w:afterAutospacing="1" w:line="240" w:lineRule="auto"/>
        <w:rPr>
          <w:sz w:val="20"/>
          <w:szCs w:val="20"/>
        </w:rPr>
      </w:pPr>
      <w:r w:rsidRPr="0061625B">
        <w:rPr>
          <w:sz w:val="20"/>
          <w:szCs w:val="20"/>
        </w:rPr>
        <w:t>This graph suggest</w:t>
      </w:r>
      <w:r w:rsidR="00490D94">
        <w:rPr>
          <w:sz w:val="20"/>
          <w:szCs w:val="20"/>
        </w:rPr>
        <w:t>s</w:t>
      </w:r>
      <w:r w:rsidRPr="0061625B">
        <w:rPr>
          <w:sz w:val="20"/>
          <w:szCs w:val="20"/>
        </w:rPr>
        <w:t xml:space="preserve"> us that the negative log returns are more similar to a stationary data base than the original one</w:t>
      </w:r>
      <w:r>
        <w:rPr>
          <w:sz w:val="20"/>
          <w:szCs w:val="20"/>
        </w:rPr>
        <w:t>.</w:t>
      </w:r>
    </w:p>
    <w:p w14:paraId="43D0149B" w14:textId="16A6AFC6" w:rsidR="0061625B" w:rsidRDefault="0061625B" w:rsidP="0061625B">
      <w:pPr>
        <w:pStyle w:val="Prrafodelista"/>
        <w:spacing w:before="100" w:beforeAutospacing="1" w:after="100" w:afterAutospacing="1" w:line="240" w:lineRule="auto"/>
        <w:rPr>
          <w:rFonts w:eastAsia="Times New Roman" w:cstheme="minorHAnsi"/>
          <w:kern w:val="0"/>
          <w:sz w:val="20"/>
          <w:szCs w:val="20"/>
          <w14:ligatures w14:val="none"/>
        </w:rPr>
      </w:pPr>
      <w:r w:rsidRPr="0061625B">
        <w:rPr>
          <w:rFonts w:eastAsia="Times New Roman" w:cstheme="minorHAnsi"/>
          <w:noProof/>
          <w:kern w:val="0"/>
          <w:sz w:val="20"/>
          <w:szCs w:val="20"/>
          <w14:ligatures w14:val="none"/>
        </w:rPr>
        <w:drawing>
          <wp:inline distT="0" distB="0" distL="0" distR="0" wp14:anchorId="6A0F3CE3" wp14:editId="55909187">
            <wp:extent cx="2816772" cy="1497402"/>
            <wp:effectExtent l="0" t="0" r="317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6022" cy="1507635"/>
                    </a:xfrm>
                    <a:prstGeom prst="rect">
                      <a:avLst/>
                    </a:prstGeom>
                  </pic:spPr>
                </pic:pic>
              </a:graphicData>
            </a:graphic>
          </wp:inline>
        </w:drawing>
      </w:r>
      <w:r w:rsidR="00490D94" w:rsidRPr="00490D94">
        <w:rPr>
          <w:rFonts w:eastAsia="Times New Roman" w:cstheme="minorHAnsi"/>
          <w:noProof/>
          <w:kern w:val="0"/>
          <w:sz w:val="20"/>
          <w:szCs w:val="20"/>
          <w14:ligatures w14:val="none"/>
        </w:rPr>
        <w:drawing>
          <wp:inline distT="0" distB="0" distL="0" distR="0" wp14:anchorId="13B20DAF" wp14:editId="1AD126C1">
            <wp:extent cx="2625567" cy="1502979"/>
            <wp:effectExtent l="0" t="0" r="381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0618" cy="1517319"/>
                    </a:xfrm>
                    <a:prstGeom prst="rect">
                      <a:avLst/>
                    </a:prstGeom>
                  </pic:spPr>
                </pic:pic>
              </a:graphicData>
            </a:graphic>
          </wp:inline>
        </w:drawing>
      </w:r>
    </w:p>
    <w:p w14:paraId="2252E39C" w14:textId="4B507502" w:rsidR="004256E9" w:rsidRPr="00490D94" w:rsidRDefault="004256E9" w:rsidP="004256E9">
      <w:pPr>
        <w:pStyle w:val="Prrafodelista"/>
        <w:numPr>
          <w:ilvl w:val="0"/>
          <w:numId w:val="4"/>
        </w:numPr>
        <w:spacing w:before="100" w:beforeAutospacing="1" w:after="100" w:afterAutospacing="1" w:line="240" w:lineRule="auto"/>
        <w:rPr>
          <w:rFonts w:eastAsia="Times New Roman" w:cstheme="minorHAnsi"/>
          <w:kern w:val="0"/>
          <w:sz w:val="20"/>
          <w:szCs w:val="20"/>
          <w14:ligatures w14:val="none"/>
        </w:rPr>
      </w:pPr>
      <w:r w:rsidRPr="004256E9">
        <w:rPr>
          <w:rFonts w:eastAsia="Times New Roman" w:cstheme="minorHAnsi"/>
          <w:b/>
          <w:bCs/>
          <w:kern w:val="0"/>
          <w:sz w:val="20"/>
          <w:szCs w:val="20"/>
          <w14:ligatures w14:val="none"/>
        </w:rPr>
        <w:t>Are the negative log returns normally distributed? Draw histograms, check QQ-plots and use an Anderson-Darling testing procedure to answer this question.</w:t>
      </w:r>
    </w:p>
    <w:p w14:paraId="4CAF7952" w14:textId="41BE5563" w:rsidR="00490D94" w:rsidRPr="00490D94" w:rsidRDefault="00490D94" w:rsidP="00490D94">
      <w:pPr>
        <w:pStyle w:val="Prrafodelista"/>
        <w:spacing w:before="100" w:beforeAutospacing="1" w:after="100" w:afterAutospacing="1" w:line="240" w:lineRule="auto"/>
        <w:rPr>
          <w:rFonts w:eastAsia="Times New Roman" w:cstheme="minorHAnsi"/>
          <w:kern w:val="0"/>
          <w:sz w:val="20"/>
          <w:szCs w:val="20"/>
          <w14:ligatures w14:val="none"/>
        </w:rPr>
      </w:pPr>
      <w:r w:rsidRPr="00490D94">
        <w:rPr>
          <w:rFonts w:eastAsia="Times New Roman" w:cstheme="minorHAnsi"/>
          <w:kern w:val="0"/>
          <w:sz w:val="20"/>
          <w:szCs w:val="20"/>
          <w14:ligatures w14:val="none"/>
        </w:rPr>
        <w:t xml:space="preserve">The histogram suggests a normal distribution while the </w:t>
      </w:r>
      <w:proofErr w:type="spellStart"/>
      <w:r w:rsidRPr="00490D94">
        <w:rPr>
          <w:rFonts w:eastAsia="Times New Roman" w:cstheme="minorHAnsi"/>
          <w:kern w:val="0"/>
          <w:sz w:val="20"/>
          <w:szCs w:val="20"/>
          <w14:ligatures w14:val="none"/>
        </w:rPr>
        <w:t>QQplot</w:t>
      </w:r>
      <w:proofErr w:type="spellEnd"/>
      <w:r w:rsidRPr="00490D94">
        <w:rPr>
          <w:rFonts w:eastAsia="Times New Roman" w:cstheme="minorHAnsi"/>
          <w:kern w:val="0"/>
          <w:sz w:val="20"/>
          <w:szCs w:val="20"/>
          <w14:ligatures w14:val="none"/>
        </w:rPr>
        <w:t xml:space="preserve"> shows some </w:t>
      </w:r>
      <w:proofErr w:type="spellStart"/>
      <w:r w:rsidRPr="00490D94">
        <w:rPr>
          <w:rFonts w:eastAsia="Times New Roman" w:cstheme="minorHAnsi"/>
          <w:kern w:val="0"/>
          <w:sz w:val="20"/>
          <w:szCs w:val="20"/>
          <w14:ligatures w14:val="none"/>
        </w:rPr>
        <w:t>desviation</w:t>
      </w:r>
      <w:r>
        <w:rPr>
          <w:rFonts w:eastAsia="Times New Roman" w:cstheme="minorHAnsi"/>
          <w:kern w:val="0"/>
          <w:sz w:val="20"/>
          <w:szCs w:val="20"/>
          <w14:ligatures w14:val="none"/>
        </w:rPr>
        <w:t>s</w:t>
      </w:r>
      <w:proofErr w:type="spellEnd"/>
      <w:r w:rsidRPr="00490D94">
        <w:rPr>
          <w:rFonts w:eastAsia="Times New Roman" w:cstheme="minorHAnsi"/>
          <w:kern w:val="0"/>
          <w:sz w:val="20"/>
          <w:szCs w:val="20"/>
          <w14:ligatures w14:val="none"/>
        </w:rPr>
        <w:t xml:space="preserve"> at the tails that make us believe that there could be some problems with the normality.</w:t>
      </w:r>
    </w:p>
    <w:p w14:paraId="68A598CD" w14:textId="77777777" w:rsidR="00490D94" w:rsidRPr="00490D94" w:rsidRDefault="00490D94" w:rsidP="00490D94">
      <w:pPr>
        <w:pStyle w:val="Prrafodelista"/>
        <w:spacing w:before="100" w:beforeAutospacing="1" w:after="100" w:afterAutospacing="1" w:line="240" w:lineRule="auto"/>
        <w:rPr>
          <w:rFonts w:eastAsia="Times New Roman" w:cstheme="minorHAnsi"/>
          <w:kern w:val="0"/>
          <w:sz w:val="20"/>
          <w:szCs w:val="20"/>
          <w14:ligatures w14:val="none"/>
        </w:rPr>
      </w:pPr>
    </w:p>
    <w:p w14:paraId="779A2E31" w14:textId="0B1B31AA" w:rsidR="00490D94" w:rsidRDefault="00490D94" w:rsidP="00490D94">
      <w:pPr>
        <w:pStyle w:val="Prrafodelista"/>
        <w:spacing w:before="100" w:beforeAutospacing="1" w:after="100" w:afterAutospacing="1" w:line="240" w:lineRule="auto"/>
        <w:rPr>
          <w:rFonts w:eastAsia="Times New Roman" w:cstheme="minorHAnsi"/>
          <w:kern w:val="0"/>
          <w:sz w:val="20"/>
          <w:szCs w:val="20"/>
          <w14:ligatures w14:val="none"/>
        </w:rPr>
      </w:pPr>
      <w:r w:rsidRPr="00490D94">
        <w:rPr>
          <w:rFonts w:eastAsia="Times New Roman" w:cstheme="minorHAnsi"/>
          <w:noProof/>
          <w:kern w:val="0"/>
          <w:sz w:val="20"/>
          <w:szCs w:val="20"/>
          <w14:ligatures w14:val="none"/>
        </w:rPr>
        <w:drawing>
          <wp:inline distT="0" distB="0" distL="0" distR="0" wp14:anchorId="0B5EE09A" wp14:editId="7B82147A">
            <wp:extent cx="2608880" cy="1555531"/>
            <wp:effectExtent l="0" t="0" r="127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3204" cy="1570034"/>
                    </a:xfrm>
                    <a:prstGeom prst="rect">
                      <a:avLst/>
                    </a:prstGeom>
                  </pic:spPr>
                </pic:pic>
              </a:graphicData>
            </a:graphic>
          </wp:inline>
        </w:drawing>
      </w:r>
      <w:r w:rsidRPr="00490D94">
        <w:rPr>
          <w:rFonts w:eastAsia="Times New Roman" w:cstheme="minorHAnsi"/>
          <w:noProof/>
          <w:kern w:val="0"/>
          <w:sz w:val="20"/>
          <w:szCs w:val="20"/>
          <w14:ligatures w14:val="none"/>
        </w:rPr>
        <w:drawing>
          <wp:inline distT="0" distB="0" distL="0" distR="0" wp14:anchorId="6AA94F72" wp14:editId="1DBBDE6B">
            <wp:extent cx="2743200" cy="15627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66" cy="1584631"/>
                    </a:xfrm>
                    <a:prstGeom prst="rect">
                      <a:avLst/>
                    </a:prstGeom>
                  </pic:spPr>
                </pic:pic>
              </a:graphicData>
            </a:graphic>
          </wp:inline>
        </w:drawing>
      </w:r>
    </w:p>
    <w:p w14:paraId="03565FDC" w14:textId="7248022D" w:rsidR="00490D94" w:rsidRPr="00490D94" w:rsidRDefault="00490D94" w:rsidP="00490D94">
      <w:pPr>
        <w:pStyle w:val="Prrafodelista"/>
        <w:spacing w:before="100" w:beforeAutospacing="1" w:after="100" w:afterAutospacing="1" w:line="240" w:lineRule="auto"/>
        <w:rPr>
          <w:rFonts w:eastAsia="Times New Roman" w:cstheme="minorHAnsi"/>
          <w:kern w:val="0"/>
          <w:sz w:val="20"/>
          <w:szCs w:val="20"/>
          <w14:ligatures w14:val="none"/>
        </w:rPr>
      </w:pPr>
      <w:r w:rsidRPr="00490D94">
        <w:rPr>
          <w:rFonts w:eastAsia="Times New Roman" w:cstheme="minorHAnsi"/>
          <w:noProof/>
          <w:kern w:val="0"/>
          <w:sz w:val="20"/>
          <w:szCs w:val="20"/>
          <w14:ligatures w14:val="none"/>
        </w:rPr>
        <w:drawing>
          <wp:anchor distT="0" distB="0" distL="114300" distR="114300" simplePos="0" relativeHeight="251665408" behindDoc="1" locked="0" layoutInCell="1" allowOverlap="1" wp14:anchorId="69137A20" wp14:editId="7D945972">
            <wp:simplePos x="0" y="0"/>
            <wp:positionH relativeFrom="column">
              <wp:posOffset>396240</wp:posOffset>
            </wp:positionH>
            <wp:positionV relativeFrom="paragraph">
              <wp:posOffset>23254</wp:posOffset>
            </wp:positionV>
            <wp:extent cx="2123089" cy="426395"/>
            <wp:effectExtent l="0" t="0" r="0" b="0"/>
            <wp:wrapTight wrapText="bothSides">
              <wp:wrapPolygon edited="0">
                <wp:start x="0" y="0"/>
                <wp:lineTo x="0" y="20280"/>
                <wp:lineTo x="21322" y="20280"/>
                <wp:lineTo x="2132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3089" cy="426395"/>
                    </a:xfrm>
                    <a:prstGeom prst="rect">
                      <a:avLst/>
                    </a:prstGeom>
                  </pic:spPr>
                </pic:pic>
              </a:graphicData>
            </a:graphic>
          </wp:anchor>
        </w:drawing>
      </w:r>
      <w:r w:rsidRPr="00490D94">
        <w:rPr>
          <w:rFonts w:eastAsia="Times New Roman" w:cstheme="minorHAnsi"/>
          <w:kern w:val="0"/>
          <w:sz w:val="20"/>
          <w:szCs w:val="20"/>
          <w14:ligatures w14:val="none"/>
        </w:rPr>
        <w:t xml:space="preserve">Finally, </w:t>
      </w:r>
      <w:r>
        <w:rPr>
          <w:rFonts w:cstheme="minorHAnsi"/>
          <w:sz w:val="20"/>
          <w:szCs w:val="20"/>
        </w:rPr>
        <w:t>a</w:t>
      </w:r>
      <w:r w:rsidRPr="00490D94">
        <w:rPr>
          <w:rFonts w:cstheme="minorHAnsi"/>
          <w:sz w:val="20"/>
          <w:szCs w:val="20"/>
        </w:rPr>
        <w:t xml:space="preserve">s the p value is lower than </w:t>
      </w:r>
      <w:proofErr w:type="gramStart"/>
      <w:r w:rsidRPr="00490D94">
        <w:rPr>
          <w:rFonts w:cstheme="minorHAnsi"/>
          <w:sz w:val="20"/>
          <w:szCs w:val="20"/>
        </w:rPr>
        <w:t>5%</w:t>
      </w:r>
      <w:proofErr w:type="gramEnd"/>
      <w:r w:rsidRPr="00490D94">
        <w:rPr>
          <w:rFonts w:cstheme="minorHAnsi"/>
          <w:sz w:val="20"/>
          <w:szCs w:val="20"/>
        </w:rPr>
        <w:t xml:space="preserve"> we can reject the normality and confirm that the negative log returns are not normally distributed</w:t>
      </w:r>
    </w:p>
    <w:p w14:paraId="55D11BD5" w14:textId="23A8373E" w:rsidR="00490D94" w:rsidRPr="00490D94" w:rsidRDefault="00490D94" w:rsidP="00490D94">
      <w:pPr>
        <w:pStyle w:val="Prrafodelista"/>
        <w:spacing w:before="100" w:beforeAutospacing="1" w:after="100" w:afterAutospacing="1" w:line="240" w:lineRule="auto"/>
        <w:rPr>
          <w:rFonts w:eastAsia="Times New Roman" w:cstheme="minorHAnsi"/>
          <w:kern w:val="0"/>
          <w:sz w:val="20"/>
          <w:szCs w:val="20"/>
          <w14:ligatures w14:val="none"/>
        </w:rPr>
      </w:pPr>
    </w:p>
    <w:p w14:paraId="36593976" w14:textId="77777777" w:rsidR="00427163" w:rsidRPr="00427163" w:rsidRDefault="004256E9" w:rsidP="00427163">
      <w:pPr>
        <w:pStyle w:val="Prrafodelista"/>
        <w:numPr>
          <w:ilvl w:val="0"/>
          <w:numId w:val="4"/>
        </w:numPr>
        <w:spacing w:before="100" w:beforeAutospacing="1" w:after="100" w:afterAutospacing="1" w:line="240" w:lineRule="auto"/>
        <w:rPr>
          <w:rFonts w:eastAsia="Times New Roman" w:cstheme="minorHAnsi"/>
          <w:kern w:val="0"/>
          <w:sz w:val="20"/>
          <w:szCs w:val="20"/>
          <w14:ligatures w14:val="none"/>
        </w:rPr>
      </w:pPr>
      <w:r w:rsidRPr="004256E9">
        <w:rPr>
          <w:rFonts w:eastAsia="Times New Roman" w:cstheme="minorHAnsi"/>
          <w:b/>
          <w:bCs/>
          <w:kern w:val="0"/>
          <w:sz w:val="20"/>
          <w:szCs w:val="20"/>
          <w14:ligatures w14:val="none"/>
        </w:rPr>
        <w:t xml:space="preserve">Fit a t-distribution to the negative log returns using </w:t>
      </w:r>
      <w:proofErr w:type="spellStart"/>
      <w:proofErr w:type="gramStart"/>
      <w:r w:rsidRPr="004256E9">
        <w:rPr>
          <w:rFonts w:eastAsia="Times New Roman" w:cstheme="minorHAnsi"/>
          <w:b/>
          <w:bCs/>
          <w:kern w:val="0"/>
          <w:sz w:val="20"/>
          <w:szCs w:val="20"/>
          <w14:ligatures w14:val="none"/>
        </w:rPr>
        <w:t>fitdistr</w:t>
      </w:r>
      <w:proofErr w:type="spellEnd"/>
      <w:r w:rsidRPr="004256E9">
        <w:rPr>
          <w:rFonts w:eastAsia="Times New Roman" w:cstheme="minorHAnsi"/>
          <w:b/>
          <w:bCs/>
          <w:kern w:val="0"/>
          <w:sz w:val="20"/>
          <w:szCs w:val="20"/>
          <w14:ligatures w14:val="none"/>
        </w:rPr>
        <w:t>(</w:t>
      </w:r>
      <w:proofErr w:type="gramEnd"/>
      <w:r w:rsidRPr="004256E9">
        <w:rPr>
          <w:rFonts w:eastAsia="Times New Roman" w:cstheme="minorHAnsi"/>
          <w:b/>
          <w:bCs/>
          <w:kern w:val="0"/>
          <w:sz w:val="20"/>
          <w:szCs w:val="20"/>
          <w14:ligatures w14:val="none"/>
        </w:rPr>
        <w:t xml:space="preserve">). Using a QQ-plot, decide whether the t is better than with a </w:t>
      </w:r>
      <w:proofErr w:type="gramStart"/>
      <w:r w:rsidRPr="004256E9">
        <w:rPr>
          <w:rFonts w:eastAsia="Times New Roman" w:cstheme="minorHAnsi"/>
          <w:b/>
          <w:bCs/>
          <w:kern w:val="0"/>
          <w:sz w:val="20"/>
          <w:szCs w:val="20"/>
          <w14:ligatures w14:val="none"/>
        </w:rPr>
        <w:t>Normal</w:t>
      </w:r>
      <w:proofErr w:type="gramEnd"/>
      <w:r w:rsidRPr="004256E9">
        <w:rPr>
          <w:rFonts w:eastAsia="Times New Roman" w:cstheme="minorHAnsi"/>
          <w:b/>
          <w:bCs/>
          <w:kern w:val="0"/>
          <w:sz w:val="20"/>
          <w:szCs w:val="20"/>
          <w14:ligatures w14:val="none"/>
        </w:rPr>
        <w:t xml:space="preserve"> distribution, based on your answer in (3).</w:t>
      </w:r>
    </w:p>
    <w:p w14:paraId="165E2639" w14:textId="0795E337" w:rsidR="00427163" w:rsidRPr="00427163" w:rsidRDefault="00427163" w:rsidP="00427163">
      <w:pPr>
        <w:pStyle w:val="Prrafodelista"/>
        <w:spacing w:before="100" w:beforeAutospacing="1" w:after="100" w:afterAutospacing="1" w:line="240" w:lineRule="auto"/>
        <w:rPr>
          <w:rFonts w:eastAsia="Times New Roman" w:cstheme="minorHAnsi"/>
          <w:kern w:val="0"/>
          <w:sz w:val="20"/>
          <w:szCs w:val="20"/>
          <w14:ligatures w14:val="none"/>
        </w:rPr>
      </w:pPr>
      <w:r w:rsidRPr="00427163">
        <w:rPr>
          <w:sz w:val="20"/>
          <w:szCs w:val="20"/>
        </w:rPr>
        <w:t>Comparing</w:t>
      </w:r>
      <w:r>
        <w:rPr>
          <w:sz w:val="20"/>
          <w:szCs w:val="20"/>
        </w:rPr>
        <w:t xml:space="preserve"> the appendix </w:t>
      </w:r>
      <w:r w:rsidR="005650D3">
        <w:rPr>
          <w:sz w:val="20"/>
          <w:szCs w:val="20"/>
        </w:rPr>
        <w:t>1.</w:t>
      </w:r>
      <w:r>
        <w:rPr>
          <w:sz w:val="20"/>
          <w:szCs w:val="20"/>
        </w:rPr>
        <w:t>3 QQ Plot graphs</w:t>
      </w:r>
      <w:r w:rsidRPr="00427163">
        <w:rPr>
          <w:sz w:val="20"/>
          <w:szCs w:val="20"/>
        </w:rPr>
        <w:t xml:space="preserve"> with the normal distribution plot, we can say that the normal distribution was better than the t distribution as it is closer to the blue line.</w:t>
      </w:r>
    </w:p>
    <w:p w14:paraId="44DFD711" w14:textId="77777777" w:rsidR="00427163" w:rsidRPr="00427163" w:rsidRDefault="004256E9" w:rsidP="00427163">
      <w:pPr>
        <w:pStyle w:val="Prrafodelista"/>
        <w:numPr>
          <w:ilvl w:val="0"/>
          <w:numId w:val="4"/>
        </w:numPr>
        <w:spacing w:before="100" w:beforeAutospacing="1" w:after="100" w:afterAutospacing="1" w:line="240" w:lineRule="auto"/>
        <w:rPr>
          <w:rFonts w:eastAsia="Times New Roman" w:cstheme="minorHAnsi"/>
          <w:kern w:val="0"/>
          <w:sz w:val="20"/>
          <w:szCs w:val="20"/>
          <w14:ligatures w14:val="none"/>
        </w:rPr>
      </w:pPr>
      <w:r w:rsidRPr="004256E9">
        <w:rPr>
          <w:rFonts w:eastAsia="Times New Roman" w:cstheme="minorHAnsi"/>
          <w:b/>
          <w:bCs/>
          <w:kern w:val="0"/>
          <w:sz w:val="20"/>
          <w:szCs w:val="20"/>
          <w14:ligatures w14:val="none"/>
        </w:rPr>
        <w:t>Compare the tails of the densities of the t-distribution and the normal distribution. Can we expect more extreme, unexpected events in t-distribution or in normal distribution? What can you conclude about the extreme events of our bitcoin data?</w:t>
      </w:r>
    </w:p>
    <w:p w14:paraId="3508FD69" w14:textId="5F907B87" w:rsidR="00427163" w:rsidRPr="00427163" w:rsidRDefault="00427163" w:rsidP="00427163">
      <w:pPr>
        <w:pStyle w:val="Prrafodelista"/>
        <w:spacing w:before="100" w:beforeAutospacing="1" w:after="100" w:afterAutospacing="1" w:line="240" w:lineRule="auto"/>
        <w:rPr>
          <w:rFonts w:eastAsia="Times New Roman" w:cstheme="minorHAnsi"/>
          <w:kern w:val="0"/>
          <w:sz w:val="20"/>
          <w:szCs w:val="20"/>
          <w14:ligatures w14:val="none"/>
        </w:rPr>
      </w:pPr>
      <w:r w:rsidRPr="00427163">
        <w:rPr>
          <w:sz w:val="20"/>
          <w:szCs w:val="20"/>
        </w:rPr>
        <w:t>Both tails deviate significantly from the blue line, indicating that Bitcoin is prone to extreme events. However, the t-distribution exhibits greater tail density compared to the normal distribution, suggesting that the t-distribution allows for a higher likelihood of unexpected, extreme events.</w:t>
      </w:r>
    </w:p>
    <w:p w14:paraId="75CC34A8" w14:textId="21AF68FE" w:rsidR="004256E9" w:rsidRDefault="004256E9" w:rsidP="004256E9">
      <w:pPr>
        <w:spacing w:before="100" w:beforeAutospacing="1" w:after="100" w:afterAutospacing="1" w:line="240" w:lineRule="auto"/>
        <w:rPr>
          <w:rFonts w:eastAsia="Times New Roman" w:cstheme="minorHAnsi"/>
          <w:kern w:val="0"/>
          <w:sz w:val="20"/>
          <w:szCs w:val="20"/>
          <w14:ligatures w14:val="none"/>
        </w:rPr>
      </w:pPr>
    </w:p>
    <w:p w14:paraId="1D44379B" w14:textId="5D15F153" w:rsidR="004256E9" w:rsidRDefault="004256E9" w:rsidP="004256E9">
      <w:pPr>
        <w:spacing w:before="100" w:beforeAutospacing="1" w:after="100" w:afterAutospacing="1" w:line="240" w:lineRule="auto"/>
        <w:rPr>
          <w:rFonts w:eastAsia="Times New Roman" w:cstheme="minorHAnsi"/>
          <w:kern w:val="0"/>
          <w:sz w:val="20"/>
          <w:szCs w:val="20"/>
          <w14:ligatures w14:val="none"/>
        </w:rPr>
      </w:pPr>
    </w:p>
    <w:p w14:paraId="45DC294E" w14:textId="74029630" w:rsidR="00A543A8" w:rsidRDefault="00A543A8" w:rsidP="00A543A8">
      <w:pPr>
        <w:jc w:val="center"/>
        <w:rPr>
          <w:rFonts w:eastAsia="Times New Roman" w:cstheme="minorHAnsi"/>
          <w:b/>
          <w:bCs/>
          <w:kern w:val="0"/>
          <w:sz w:val="20"/>
          <w:szCs w:val="20"/>
          <w14:ligatures w14:val="none"/>
        </w:rPr>
      </w:pPr>
      <w:r w:rsidRPr="00A543A8">
        <w:rPr>
          <w:rFonts w:eastAsia="Times New Roman" w:cstheme="minorHAnsi"/>
          <w:b/>
          <w:bCs/>
          <w:kern w:val="0"/>
          <w:sz w:val="20"/>
          <w:szCs w:val="20"/>
          <w14:ligatures w14:val="none"/>
        </w:rPr>
        <w:lastRenderedPageBreak/>
        <w:t xml:space="preserve">Practical </w:t>
      </w:r>
      <w:r>
        <w:rPr>
          <w:rFonts w:eastAsia="Times New Roman" w:cstheme="minorHAnsi"/>
          <w:b/>
          <w:bCs/>
          <w:kern w:val="0"/>
          <w:sz w:val="20"/>
          <w:szCs w:val="20"/>
          <w14:ligatures w14:val="none"/>
        </w:rPr>
        <w:t>3</w:t>
      </w:r>
    </w:p>
    <w:p w14:paraId="2248A4ED" w14:textId="5C155A53" w:rsidR="00A543A8" w:rsidRDefault="00A543A8" w:rsidP="00A543A8">
      <w:pPr>
        <w:rPr>
          <w:rFonts w:eastAsia="Times New Roman" w:cstheme="minorHAnsi"/>
          <w:kern w:val="0"/>
          <w:sz w:val="20"/>
          <w:szCs w:val="20"/>
          <w14:ligatures w14:val="none"/>
        </w:rPr>
      </w:pPr>
      <w:r>
        <w:rPr>
          <w:rFonts w:eastAsia="Times New Roman" w:cstheme="minorHAnsi"/>
          <w:kern w:val="0"/>
          <w:sz w:val="20"/>
          <w:szCs w:val="20"/>
          <w14:ligatures w14:val="none"/>
        </w:rPr>
        <w:t>In the following report we will be analyzing the NASDAQ Composite Index during the periods of Nov 2020 – Nov 2024 to answer the following research questions:</w:t>
      </w:r>
    </w:p>
    <w:p w14:paraId="3A36FE3D" w14:textId="7E48604A" w:rsidR="00A543A8" w:rsidRPr="00A543A8" w:rsidRDefault="00A543A8" w:rsidP="00A543A8">
      <w:pPr>
        <w:pStyle w:val="Prrafodelista"/>
        <w:numPr>
          <w:ilvl w:val="0"/>
          <w:numId w:val="9"/>
        </w:numPr>
        <w:rPr>
          <w:rFonts w:eastAsia="Times New Roman" w:cstheme="minorHAnsi"/>
          <w:kern w:val="0"/>
          <w:sz w:val="20"/>
          <w:szCs w:val="20"/>
          <w14:ligatures w14:val="none"/>
        </w:rPr>
      </w:pPr>
      <w:r>
        <w:rPr>
          <w:rFonts w:eastAsia="Times New Roman"/>
        </w:rPr>
        <w:t xml:space="preserve">If an investor had implemented a stop-loss strategy based on historical </w:t>
      </w:r>
      <w:proofErr w:type="spellStart"/>
      <w:r>
        <w:rPr>
          <w:rFonts w:eastAsia="Times New Roman"/>
        </w:rPr>
        <w:t>VaR</w:t>
      </w:r>
      <w:proofErr w:type="spellEnd"/>
      <w:r>
        <w:rPr>
          <w:rFonts w:eastAsia="Times New Roman"/>
        </w:rPr>
        <w:t xml:space="preserve"> levels, how many times would it have triggered between 2021 and 2024, and would it have reduced overall losses?</w:t>
      </w:r>
    </w:p>
    <w:p w14:paraId="39A2ECE5" w14:textId="0D70C875" w:rsidR="00A543A8" w:rsidRPr="00A543A8" w:rsidRDefault="00A543A8" w:rsidP="00A543A8">
      <w:pPr>
        <w:pStyle w:val="Prrafodelista"/>
        <w:numPr>
          <w:ilvl w:val="0"/>
          <w:numId w:val="9"/>
        </w:numPr>
        <w:rPr>
          <w:rFonts w:eastAsia="Times New Roman" w:cstheme="minorHAnsi"/>
          <w:kern w:val="0"/>
          <w:sz w:val="20"/>
          <w:szCs w:val="20"/>
          <w14:ligatures w14:val="none"/>
        </w:rPr>
      </w:pPr>
      <w:r>
        <w:rPr>
          <w:rFonts w:eastAsia="Times New Roman"/>
        </w:rPr>
        <w:t xml:space="preserve">How well do common risk models (like historical </w:t>
      </w:r>
      <w:proofErr w:type="spellStart"/>
      <w:r>
        <w:rPr>
          <w:rFonts w:eastAsia="Times New Roman"/>
        </w:rPr>
        <w:t>VaR</w:t>
      </w:r>
      <w:proofErr w:type="spellEnd"/>
      <w:r>
        <w:rPr>
          <w:rFonts w:eastAsia="Times New Roman"/>
        </w:rPr>
        <w:t>) predict actual losses during the most volatile periods in the Nasdaq Composite Index, and could an alternative model improve accuracy?</w:t>
      </w:r>
    </w:p>
    <w:p w14:paraId="3AC6E7A7" w14:textId="14D4D71C" w:rsidR="00A543A8" w:rsidRPr="00A543A8" w:rsidRDefault="00A543A8" w:rsidP="00A543A8">
      <w:pPr>
        <w:rPr>
          <w:rFonts w:eastAsia="Times New Roman" w:cstheme="minorHAnsi"/>
          <w:kern w:val="0"/>
          <w:sz w:val="20"/>
          <w:szCs w:val="20"/>
          <w14:ligatures w14:val="none"/>
        </w:rPr>
      </w:pPr>
      <w:r>
        <w:rPr>
          <w:rFonts w:eastAsia="Times New Roman" w:cstheme="minorHAnsi"/>
          <w:kern w:val="0"/>
          <w:sz w:val="20"/>
          <w:szCs w:val="20"/>
          <w14:ligatures w14:val="none"/>
        </w:rPr>
        <w:t>The objective is to understand the movements of the index to manage the risk for a potential financial portfolio. To do it, we will review the Value at Risk,</w:t>
      </w:r>
      <w:r w:rsidR="00C43E3E">
        <w:rPr>
          <w:rFonts w:eastAsia="Times New Roman" w:cstheme="minorHAnsi"/>
          <w:kern w:val="0"/>
          <w:sz w:val="20"/>
          <w:szCs w:val="20"/>
          <w14:ligatures w14:val="none"/>
        </w:rPr>
        <w:t xml:space="preserve"> Expected Shortfall,</w:t>
      </w:r>
      <w:r>
        <w:rPr>
          <w:rFonts w:eastAsia="Times New Roman" w:cstheme="minorHAnsi"/>
          <w:kern w:val="0"/>
          <w:sz w:val="20"/>
          <w:szCs w:val="20"/>
          <w14:ligatures w14:val="none"/>
        </w:rPr>
        <w:t xml:space="preserve"> and Extreme Values Theory methods to </w:t>
      </w:r>
      <w:r w:rsidRPr="00A543A8">
        <w:rPr>
          <w:rFonts w:eastAsia="Times New Roman" w:cstheme="minorHAnsi"/>
          <w:b/>
          <w:bCs/>
          <w:kern w:val="0"/>
          <w:sz w:val="20"/>
          <w:szCs w:val="20"/>
          <w14:ligatures w14:val="none"/>
        </w:rPr>
        <w:t>select the best Stop Loss Strategy</w:t>
      </w:r>
      <w:r>
        <w:rPr>
          <w:rFonts w:eastAsia="Times New Roman" w:cstheme="minorHAnsi"/>
          <w:kern w:val="0"/>
          <w:sz w:val="20"/>
          <w:szCs w:val="20"/>
          <w14:ligatures w14:val="none"/>
        </w:rPr>
        <w:t>.</w:t>
      </w:r>
    </w:p>
    <w:p w14:paraId="51FD2ED8" w14:textId="18606A0F" w:rsidR="00A543A8" w:rsidRPr="005650D3" w:rsidRDefault="00A543A8" w:rsidP="00A543A8">
      <w:pPr>
        <w:pStyle w:val="Prrafodelista"/>
        <w:numPr>
          <w:ilvl w:val="0"/>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Data Pre-Processing</w:t>
      </w:r>
    </w:p>
    <w:p w14:paraId="45D1913F" w14:textId="4383DE25" w:rsidR="00A543A8" w:rsidRDefault="00A543A8" w:rsidP="00A543A8">
      <w:pPr>
        <w:pStyle w:val="Prrafodelista"/>
        <w:numPr>
          <w:ilvl w:val="1"/>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 xml:space="preserve">Checking </w:t>
      </w:r>
      <w:r w:rsidR="005650D3" w:rsidRPr="005650D3">
        <w:rPr>
          <w:rFonts w:eastAsia="Times New Roman" w:cstheme="minorHAnsi"/>
          <w:b/>
          <w:bCs/>
          <w:kern w:val="0"/>
          <w:sz w:val="20"/>
          <w:szCs w:val="20"/>
          <w14:ligatures w14:val="none"/>
        </w:rPr>
        <w:t>S</w:t>
      </w:r>
      <w:r w:rsidRPr="005650D3">
        <w:rPr>
          <w:rFonts w:eastAsia="Times New Roman" w:cstheme="minorHAnsi"/>
          <w:b/>
          <w:bCs/>
          <w:kern w:val="0"/>
          <w:sz w:val="20"/>
          <w:szCs w:val="20"/>
          <w14:ligatures w14:val="none"/>
        </w:rPr>
        <w:t>tationarity</w:t>
      </w:r>
    </w:p>
    <w:p w14:paraId="34EE06F0" w14:textId="156B5BCA" w:rsidR="005650D3" w:rsidRDefault="005650D3" w:rsidP="005650D3">
      <w:pPr>
        <w:pStyle w:val="Prrafodelista"/>
        <w:ind w:left="1440"/>
        <w:rPr>
          <w:rFonts w:eastAsia="Times New Roman" w:cstheme="minorHAnsi"/>
          <w:kern w:val="0"/>
          <w:sz w:val="20"/>
          <w:szCs w:val="20"/>
          <w14:ligatures w14:val="none"/>
        </w:rPr>
      </w:pPr>
      <w:r>
        <w:rPr>
          <w:rFonts w:eastAsia="Times New Roman" w:cstheme="minorHAnsi"/>
          <w:kern w:val="0"/>
          <w:sz w:val="20"/>
          <w:szCs w:val="20"/>
          <w14:ligatures w14:val="none"/>
        </w:rPr>
        <w:t>It is simple to see that the index historical open price is not stationary (Appendix 3.1). Then, we proceed to calculate the negative log returns.</w:t>
      </w:r>
    </w:p>
    <w:p w14:paraId="52AD0071" w14:textId="7365FCB4" w:rsidR="005650D3" w:rsidRDefault="005650D3" w:rsidP="005650D3">
      <w:pPr>
        <w:pStyle w:val="Prrafodelista"/>
        <w:ind w:left="1440"/>
        <w:rPr>
          <w:rFonts w:eastAsia="Times New Roman" w:cstheme="minorHAnsi"/>
          <w:kern w:val="0"/>
          <w:sz w:val="20"/>
          <w:szCs w:val="20"/>
          <w14:ligatures w14:val="none"/>
        </w:rPr>
      </w:pPr>
      <w:r>
        <w:rPr>
          <w:noProof/>
        </w:rPr>
        <w:drawing>
          <wp:inline distT="0" distB="0" distL="0" distR="0" wp14:anchorId="02663170" wp14:editId="15DA511A">
            <wp:extent cx="3358383" cy="2112579"/>
            <wp:effectExtent l="0" t="0" r="0" b="254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3_files/figure-docx/unnamed-chunk-4-1.png"/>
                    <pic:cNvPicPr>
                      <a:picLocks noChangeAspect="1" noChangeArrowheads="1"/>
                    </pic:cNvPicPr>
                  </pic:nvPicPr>
                  <pic:blipFill>
                    <a:blip r:embed="rId10"/>
                    <a:stretch>
                      <a:fillRect/>
                    </a:stretch>
                  </pic:blipFill>
                  <pic:spPr bwMode="auto">
                    <a:xfrm>
                      <a:off x="0" y="0"/>
                      <a:ext cx="3382679" cy="2127862"/>
                    </a:xfrm>
                    <a:prstGeom prst="rect">
                      <a:avLst/>
                    </a:prstGeom>
                    <a:noFill/>
                    <a:ln w="9525">
                      <a:noFill/>
                      <a:headEnd/>
                      <a:tailEnd/>
                    </a:ln>
                  </pic:spPr>
                </pic:pic>
              </a:graphicData>
            </a:graphic>
          </wp:inline>
        </w:drawing>
      </w:r>
    </w:p>
    <w:p w14:paraId="2A9C7051" w14:textId="63F938D5" w:rsidR="005650D3" w:rsidRPr="005650D3" w:rsidRDefault="005650D3" w:rsidP="005650D3">
      <w:pPr>
        <w:pStyle w:val="Prrafodelista"/>
        <w:ind w:left="1440"/>
        <w:rPr>
          <w:rFonts w:eastAsia="Times New Roman" w:cstheme="minorHAnsi"/>
          <w:kern w:val="0"/>
          <w:sz w:val="20"/>
          <w:szCs w:val="20"/>
          <w14:ligatures w14:val="none"/>
        </w:rPr>
      </w:pPr>
      <w:r>
        <w:rPr>
          <w:rFonts w:eastAsia="Times New Roman" w:cstheme="minorHAnsi"/>
          <w:kern w:val="0"/>
          <w:sz w:val="20"/>
          <w:szCs w:val="20"/>
          <w14:ligatures w14:val="none"/>
        </w:rPr>
        <w:t>Together the plot and the Dickey-Fuller test (Appendix 3.2), we can conclude that the negative log return is stationary as the p value of the test is less than 5%.</w:t>
      </w:r>
    </w:p>
    <w:p w14:paraId="22B9C8F6" w14:textId="333F2FA1" w:rsidR="00A543A8" w:rsidRDefault="00A543A8" w:rsidP="00A543A8">
      <w:pPr>
        <w:pStyle w:val="Prrafodelista"/>
        <w:numPr>
          <w:ilvl w:val="1"/>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 xml:space="preserve">Checking </w:t>
      </w:r>
      <w:r w:rsidR="005650D3" w:rsidRPr="005650D3">
        <w:rPr>
          <w:rFonts w:eastAsia="Times New Roman" w:cstheme="minorHAnsi"/>
          <w:b/>
          <w:bCs/>
          <w:kern w:val="0"/>
          <w:sz w:val="20"/>
          <w:szCs w:val="20"/>
          <w14:ligatures w14:val="none"/>
        </w:rPr>
        <w:t>N</w:t>
      </w:r>
      <w:r w:rsidRPr="005650D3">
        <w:rPr>
          <w:rFonts w:eastAsia="Times New Roman" w:cstheme="minorHAnsi"/>
          <w:b/>
          <w:bCs/>
          <w:kern w:val="0"/>
          <w:sz w:val="20"/>
          <w:szCs w:val="20"/>
          <w14:ligatures w14:val="none"/>
        </w:rPr>
        <w:t>ormality</w:t>
      </w:r>
    </w:p>
    <w:p w14:paraId="1A12FEB8" w14:textId="2D56D30C" w:rsidR="00C43E3E" w:rsidRDefault="00C43E3E" w:rsidP="00C43E3E">
      <w:pPr>
        <w:pStyle w:val="Prrafodelista"/>
        <w:ind w:left="1440"/>
        <w:rPr>
          <w:rFonts w:eastAsia="Times New Roman" w:cstheme="minorHAnsi"/>
          <w:b/>
          <w:bCs/>
          <w:kern w:val="0"/>
          <w:sz w:val="20"/>
          <w:szCs w:val="20"/>
          <w14:ligatures w14:val="none"/>
        </w:rPr>
      </w:pPr>
      <w:r w:rsidRPr="00C43E3E">
        <w:rPr>
          <w:rFonts w:eastAsia="Times New Roman" w:cstheme="minorHAnsi"/>
          <w:b/>
          <w:bCs/>
          <w:noProof/>
          <w:kern w:val="0"/>
          <w:sz w:val="20"/>
          <w:szCs w:val="20"/>
          <w14:ligatures w14:val="none"/>
        </w:rPr>
        <w:drawing>
          <wp:inline distT="0" distB="0" distL="0" distR="0" wp14:anchorId="76EB38E4" wp14:editId="4E7258DB">
            <wp:extent cx="3489435" cy="21761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766" cy="2191327"/>
                    </a:xfrm>
                    <a:prstGeom prst="rect">
                      <a:avLst/>
                    </a:prstGeom>
                  </pic:spPr>
                </pic:pic>
              </a:graphicData>
            </a:graphic>
          </wp:inline>
        </w:drawing>
      </w:r>
    </w:p>
    <w:p w14:paraId="66A25B32" w14:textId="350CEF4D" w:rsidR="00C43E3E" w:rsidRPr="005650D3" w:rsidRDefault="00C43E3E" w:rsidP="00C43E3E">
      <w:pPr>
        <w:pStyle w:val="Prrafodelista"/>
        <w:ind w:left="1440"/>
        <w:rPr>
          <w:rFonts w:eastAsia="Times New Roman" w:cstheme="minorHAnsi"/>
          <w:b/>
          <w:bCs/>
          <w:kern w:val="0"/>
          <w:sz w:val="20"/>
          <w:szCs w:val="20"/>
          <w14:ligatures w14:val="none"/>
        </w:rPr>
      </w:pPr>
      <w:r>
        <w:t>Confirmed by the Shapiro test (Appendix 3.3), the daily returns are not normally distributed. Therefore, using parametric Value at Risk and Expected Shortfall could result in under/overestimating the risk.</w:t>
      </w:r>
    </w:p>
    <w:p w14:paraId="7741369D" w14:textId="5E1DBA62" w:rsidR="00C43E3E" w:rsidRPr="00C43E3E" w:rsidRDefault="00A543A8" w:rsidP="00C43E3E">
      <w:pPr>
        <w:pStyle w:val="Prrafodelista"/>
        <w:numPr>
          <w:ilvl w:val="0"/>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Extreme Values Theory</w:t>
      </w:r>
    </w:p>
    <w:p w14:paraId="64508170" w14:textId="097423DC" w:rsidR="00A543A8" w:rsidRDefault="00A543A8" w:rsidP="00A543A8">
      <w:pPr>
        <w:pStyle w:val="Prrafodelista"/>
        <w:numPr>
          <w:ilvl w:val="1"/>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Block Maxima</w:t>
      </w:r>
    </w:p>
    <w:p w14:paraId="47906FBC" w14:textId="04033E94" w:rsidR="00FA1559" w:rsidRDefault="00FA1559" w:rsidP="00FA1559">
      <w:pPr>
        <w:pStyle w:val="Prrafodelista"/>
        <w:numPr>
          <w:ilvl w:val="2"/>
          <w:numId w:val="10"/>
        </w:numPr>
        <w:ind w:left="1530" w:firstLine="0"/>
        <w:rPr>
          <w:rFonts w:eastAsia="Times New Roman" w:cstheme="minorHAnsi"/>
          <w:b/>
          <w:bCs/>
          <w:kern w:val="0"/>
          <w:sz w:val="20"/>
          <w:szCs w:val="20"/>
          <w14:ligatures w14:val="none"/>
        </w:rPr>
      </w:pPr>
      <w:r>
        <w:rPr>
          <w:rFonts w:eastAsia="Times New Roman" w:cstheme="minorHAnsi"/>
          <w:b/>
          <w:bCs/>
          <w:kern w:val="0"/>
          <w:sz w:val="20"/>
          <w:szCs w:val="20"/>
          <w14:ligatures w14:val="none"/>
        </w:rPr>
        <w:t>Calculation</w:t>
      </w:r>
    </w:p>
    <w:p w14:paraId="489467C9" w14:textId="77777777" w:rsidR="0090195E" w:rsidRPr="0090195E" w:rsidRDefault="0090195E" w:rsidP="0090195E">
      <w:pPr>
        <w:pStyle w:val="FirstParagraph"/>
        <w:ind w:left="1416"/>
        <w:rPr>
          <w:rFonts w:cstheme="minorHAnsi"/>
          <w:sz w:val="20"/>
          <w:szCs w:val="20"/>
        </w:rPr>
      </w:pPr>
      <w:r w:rsidRPr="0090195E">
        <w:rPr>
          <w:rFonts w:cstheme="minorHAnsi"/>
          <w:sz w:val="20"/>
          <w:szCs w:val="20"/>
        </w:rPr>
        <w:lastRenderedPageBreak/>
        <w:t xml:space="preserve">Weekly blocks were created by grouping the data into weeks based on the </w:t>
      </w:r>
      <w:r w:rsidRPr="0090195E">
        <w:rPr>
          <w:rStyle w:val="VerbatimChar"/>
          <w:rFonts w:asciiTheme="minorHAnsi" w:hAnsiTheme="minorHAnsi" w:cstheme="minorHAnsi"/>
          <w:sz w:val="20"/>
          <w:szCs w:val="20"/>
        </w:rPr>
        <w:t>Date</w:t>
      </w:r>
      <w:r w:rsidRPr="0090195E">
        <w:rPr>
          <w:rFonts w:cstheme="minorHAnsi"/>
          <w:sz w:val="20"/>
          <w:szCs w:val="20"/>
        </w:rPr>
        <w:t xml:space="preserve"> column. For each week, the </w:t>
      </w:r>
      <w:r w:rsidRPr="0090195E">
        <w:rPr>
          <w:rFonts w:cstheme="minorHAnsi"/>
          <w:b/>
          <w:bCs/>
          <w:sz w:val="20"/>
          <w:szCs w:val="20"/>
        </w:rPr>
        <w:t>maximum return</w:t>
      </w:r>
      <w:r w:rsidRPr="0090195E">
        <w:rPr>
          <w:rFonts w:cstheme="minorHAnsi"/>
          <w:sz w:val="20"/>
          <w:szCs w:val="20"/>
        </w:rPr>
        <w:t xml:space="preserve"> (largest loss) was calculated, representing the </w:t>
      </w:r>
      <w:r w:rsidRPr="0090195E">
        <w:rPr>
          <w:rFonts w:cstheme="minorHAnsi"/>
          <w:b/>
          <w:bCs/>
          <w:sz w:val="20"/>
          <w:szCs w:val="20"/>
        </w:rPr>
        <w:t>worst weekly loss</w:t>
      </w:r>
      <w:r w:rsidRPr="0090195E">
        <w:rPr>
          <w:rFonts w:cstheme="minorHAnsi"/>
          <w:sz w:val="20"/>
          <w:szCs w:val="20"/>
        </w:rPr>
        <w:t xml:space="preserve"> due to the negative log transformation used in the return calculation.</w:t>
      </w:r>
    </w:p>
    <w:p w14:paraId="328E2A2D" w14:textId="77777777" w:rsidR="0090195E" w:rsidRDefault="0090195E" w:rsidP="0090195E">
      <w:pPr>
        <w:pStyle w:val="FirstParagraph"/>
        <w:ind w:left="1416"/>
        <w:rPr>
          <w:rFonts w:cstheme="minorHAnsi"/>
          <w:sz w:val="20"/>
          <w:szCs w:val="20"/>
        </w:rPr>
      </w:pPr>
      <w:r w:rsidRPr="0090195E">
        <w:rPr>
          <w:rFonts w:cstheme="minorHAnsi"/>
          <w:sz w:val="20"/>
          <w:szCs w:val="20"/>
        </w:rPr>
        <w:t xml:space="preserve">The table shows the </w:t>
      </w:r>
      <w:r w:rsidRPr="0090195E">
        <w:rPr>
          <w:rFonts w:cstheme="minorHAnsi"/>
          <w:b/>
          <w:bCs/>
          <w:sz w:val="20"/>
          <w:szCs w:val="20"/>
        </w:rPr>
        <w:t>weekly block maxima</w:t>
      </w:r>
      <w:r w:rsidRPr="0090195E">
        <w:rPr>
          <w:rFonts w:cstheme="minorHAnsi"/>
          <w:sz w:val="20"/>
          <w:szCs w:val="20"/>
        </w:rPr>
        <w:t xml:space="preserve"> (largest losses) for the first six weeks in the dataset:</w:t>
      </w:r>
    </w:p>
    <w:tbl>
      <w:tblPr>
        <w:tblStyle w:val="Tablaconcuadrcula"/>
        <w:tblW w:w="0" w:type="auto"/>
        <w:tblInd w:w="1580" w:type="dxa"/>
        <w:tblLook w:val="04A0" w:firstRow="1" w:lastRow="0" w:firstColumn="1" w:lastColumn="0" w:noHBand="0" w:noVBand="1"/>
      </w:tblPr>
      <w:tblGrid>
        <w:gridCol w:w="1565"/>
        <w:gridCol w:w="1260"/>
      </w:tblGrid>
      <w:tr w:rsidR="0090195E" w:rsidRPr="00FA1559" w14:paraId="2D28EB82" w14:textId="77777777" w:rsidTr="005658F6">
        <w:trPr>
          <w:trHeight w:val="260"/>
        </w:trPr>
        <w:tc>
          <w:tcPr>
            <w:tcW w:w="1565" w:type="dxa"/>
            <w:shd w:val="clear" w:color="auto" w:fill="8EAADB" w:themeFill="accent1" w:themeFillTint="99"/>
          </w:tcPr>
          <w:p w14:paraId="3D3CB41D" w14:textId="77777777" w:rsidR="0090195E" w:rsidRPr="00FA1559" w:rsidRDefault="0090195E" w:rsidP="005658F6">
            <w:pPr>
              <w:pStyle w:val="Textoindependiente"/>
              <w:spacing w:before="0" w:after="0"/>
              <w:jc w:val="center"/>
              <w:rPr>
                <w:b/>
                <w:bCs/>
                <w:sz w:val="20"/>
                <w:szCs w:val="20"/>
              </w:rPr>
            </w:pPr>
            <w:r w:rsidRPr="00FA1559">
              <w:rPr>
                <w:b/>
                <w:bCs/>
                <w:sz w:val="20"/>
                <w:szCs w:val="20"/>
              </w:rPr>
              <w:t>Year - Week</w:t>
            </w:r>
          </w:p>
        </w:tc>
        <w:tc>
          <w:tcPr>
            <w:tcW w:w="1260" w:type="dxa"/>
            <w:shd w:val="clear" w:color="auto" w:fill="8EAADB" w:themeFill="accent1" w:themeFillTint="99"/>
          </w:tcPr>
          <w:p w14:paraId="5CD687E9" w14:textId="77777777" w:rsidR="0090195E" w:rsidRPr="00FA1559" w:rsidRDefault="0090195E" w:rsidP="005658F6">
            <w:pPr>
              <w:pStyle w:val="Textoindependiente"/>
              <w:spacing w:before="0" w:after="0"/>
              <w:jc w:val="center"/>
              <w:rPr>
                <w:b/>
                <w:bCs/>
                <w:sz w:val="20"/>
                <w:szCs w:val="20"/>
              </w:rPr>
            </w:pPr>
            <w:r w:rsidRPr="00FA1559">
              <w:rPr>
                <w:b/>
                <w:bCs/>
                <w:sz w:val="20"/>
                <w:szCs w:val="20"/>
              </w:rPr>
              <w:t>Block Max</w:t>
            </w:r>
          </w:p>
        </w:tc>
      </w:tr>
      <w:tr w:rsidR="0090195E" w:rsidRPr="00FA1559" w14:paraId="3EC354DB" w14:textId="77777777" w:rsidTr="005658F6">
        <w:trPr>
          <w:trHeight w:val="233"/>
        </w:trPr>
        <w:tc>
          <w:tcPr>
            <w:tcW w:w="1565" w:type="dxa"/>
          </w:tcPr>
          <w:p w14:paraId="15DFA95B" w14:textId="77777777" w:rsidR="0090195E" w:rsidRPr="00FA1559" w:rsidRDefault="0090195E" w:rsidP="005658F6">
            <w:pPr>
              <w:pStyle w:val="Textoindependiente"/>
              <w:spacing w:before="0" w:after="0"/>
              <w:jc w:val="center"/>
              <w:rPr>
                <w:sz w:val="20"/>
                <w:szCs w:val="20"/>
              </w:rPr>
            </w:pPr>
            <w:r w:rsidRPr="00FA1559">
              <w:rPr>
                <w:sz w:val="20"/>
                <w:szCs w:val="20"/>
              </w:rPr>
              <w:t>2020-45</w:t>
            </w:r>
          </w:p>
        </w:tc>
        <w:tc>
          <w:tcPr>
            <w:tcW w:w="1260" w:type="dxa"/>
          </w:tcPr>
          <w:p w14:paraId="4070B457" w14:textId="77777777" w:rsidR="0090195E" w:rsidRPr="00FA1559" w:rsidRDefault="0090195E" w:rsidP="005658F6">
            <w:pPr>
              <w:pStyle w:val="Textoindependiente"/>
              <w:spacing w:before="0" w:after="0"/>
              <w:jc w:val="center"/>
              <w:rPr>
                <w:sz w:val="20"/>
                <w:szCs w:val="20"/>
              </w:rPr>
            </w:pPr>
            <w:r w:rsidRPr="00FA1559">
              <w:rPr>
                <w:sz w:val="20"/>
                <w:szCs w:val="20"/>
              </w:rPr>
              <w:t>0.0641</w:t>
            </w:r>
          </w:p>
        </w:tc>
      </w:tr>
      <w:tr w:rsidR="0090195E" w:rsidRPr="00FA1559" w14:paraId="2920C520" w14:textId="77777777" w:rsidTr="005658F6">
        <w:trPr>
          <w:trHeight w:val="12"/>
        </w:trPr>
        <w:tc>
          <w:tcPr>
            <w:tcW w:w="1565" w:type="dxa"/>
          </w:tcPr>
          <w:p w14:paraId="669B3AEF" w14:textId="77777777" w:rsidR="0090195E" w:rsidRPr="00FA1559" w:rsidRDefault="0090195E" w:rsidP="005658F6">
            <w:pPr>
              <w:pStyle w:val="Textoindependiente"/>
              <w:spacing w:before="0" w:after="0"/>
              <w:jc w:val="center"/>
              <w:rPr>
                <w:sz w:val="20"/>
                <w:szCs w:val="20"/>
              </w:rPr>
            </w:pPr>
            <w:r w:rsidRPr="00FA1559">
              <w:rPr>
                <w:sz w:val="20"/>
                <w:szCs w:val="20"/>
              </w:rPr>
              <w:t>2020-46</w:t>
            </w:r>
          </w:p>
        </w:tc>
        <w:tc>
          <w:tcPr>
            <w:tcW w:w="1260" w:type="dxa"/>
          </w:tcPr>
          <w:p w14:paraId="6C30D9CF" w14:textId="77777777" w:rsidR="0090195E" w:rsidRPr="00FA1559" w:rsidRDefault="0090195E" w:rsidP="005658F6">
            <w:pPr>
              <w:pStyle w:val="Textoindependiente"/>
              <w:spacing w:before="0" w:after="0"/>
              <w:jc w:val="center"/>
              <w:rPr>
                <w:sz w:val="20"/>
                <w:szCs w:val="20"/>
              </w:rPr>
            </w:pPr>
            <w:r w:rsidRPr="00FA1559">
              <w:rPr>
                <w:sz w:val="20"/>
                <w:szCs w:val="20"/>
              </w:rPr>
              <w:t>0.989</w:t>
            </w:r>
          </w:p>
        </w:tc>
      </w:tr>
      <w:tr w:rsidR="0090195E" w:rsidRPr="00FA1559" w14:paraId="6AF467EA" w14:textId="77777777" w:rsidTr="005658F6">
        <w:trPr>
          <w:trHeight w:val="12"/>
        </w:trPr>
        <w:tc>
          <w:tcPr>
            <w:tcW w:w="1565" w:type="dxa"/>
          </w:tcPr>
          <w:p w14:paraId="693717E4" w14:textId="77777777" w:rsidR="0090195E" w:rsidRPr="00FA1559" w:rsidRDefault="0090195E" w:rsidP="005658F6">
            <w:pPr>
              <w:pStyle w:val="Textoindependiente"/>
              <w:spacing w:before="0" w:after="0"/>
              <w:jc w:val="center"/>
              <w:rPr>
                <w:sz w:val="20"/>
                <w:szCs w:val="20"/>
              </w:rPr>
            </w:pPr>
            <w:r w:rsidRPr="00FA1559">
              <w:rPr>
                <w:sz w:val="20"/>
                <w:szCs w:val="20"/>
              </w:rPr>
              <w:t>2020-47</w:t>
            </w:r>
          </w:p>
        </w:tc>
        <w:tc>
          <w:tcPr>
            <w:tcW w:w="1260" w:type="dxa"/>
          </w:tcPr>
          <w:p w14:paraId="019C79AC" w14:textId="77777777" w:rsidR="0090195E" w:rsidRPr="00FA1559" w:rsidRDefault="0090195E" w:rsidP="005658F6">
            <w:pPr>
              <w:pStyle w:val="Textoindependiente"/>
              <w:spacing w:before="0" w:after="0"/>
              <w:jc w:val="center"/>
              <w:rPr>
                <w:sz w:val="20"/>
                <w:szCs w:val="20"/>
              </w:rPr>
            </w:pPr>
            <w:r w:rsidRPr="00FA1559">
              <w:rPr>
                <w:sz w:val="20"/>
                <w:szCs w:val="20"/>
              </w:rPr>
              <w:t>-0.189</w:t>
            </w:r>
          </w:p>
        </w:tc>
      </w:tr>
      <w:tr w:rsidR="0090195E" w:rsidRPr="00FA1559" w14:paraId="2C1ACF6E" w14:textId="77777777" w:rsidTr="005658F6">
        <w:trPr>
          <w:trHeight w:val="12"/>
        </w:trPr>
        <w:tc>
          <w:tcPr>
            <w:tcW w:w="1565" w:type="dxa"/>
          </w:tcPr>
          <w:p w14:paraId="3D437133" w14:textId="77777777" w:rsidR="0090195E" w:rsidRPr="00FA1559" w:rsidRDefault="0090195E" w:rsidP="005658F6">
            <w:pPr>
              <w:pStyle w:val="Textoindependiente"/>
              <w:spacing w:before="0" w:after="0"/>
              <w:jc w:val="center"/>
              <w:rPr>
                <w:sz w:val="20"/>
                <w:szCs w:val="20"/>
              </w:rPr>
            </w:pPr>
            <w:r w:rsidRPr="00FA1559">
              <w:rPr>
                <w:sz w:val="20"/>
                <w:szCs w:val="20"/>
              </w:rPr>
              <w:t>2020-48</w:t>
            </w:r>
          </w:p>
        </w:tc>
        <w:tc>
          <w:tcPr>
            <w:tcW w:w="1260" w:type="dxa"/>
          </w:tcPr>
          <w:p w14:paraId="5F5A73D6" w14:textId="77777777" w:rsidR="0090195E" w:rsidRPr="00FA1559" w:rsidRDefault="0090195E" w:rsidP="005658F6">
            <w:pPr>
              <w:pStyle w:val="Textoindependiente"/>
              <w:spacing w:before="0" w:after="0"/>
              <w:jc w:val="center"/>
              <w:rPr>
                <w:sz w:val="20"/>
                <w:szCs w:val="20"/>
              </w:rPr>
            </w:pPr>
            <w:r w:rsidRPr="00FA1559">
              <w:rPr>
                <w:sz w:val="20"/>
                <w:szCs w:val="20"/>
              </w:rPr>
              <w:t>0.224</w:t>
            </w:r>
          </w:p>
        </w:tc>
      </w:tr>
      <w:tr w:rsidR="0090195E" w:rsidRPr="00FA1559" w14:paraId="30CABE94" w14:textId="77777777" w:rsidTr="005658F6">
        <w:trPr>
          <w:trHeight w:val="12"/>
        </w:trPr>
        <w:tc>
          <w:tcPr>
            <w:tcW w:w="1565" w:type="dxa"/>
          </w:tcPr>
          <w:p w14:paraId="1B947E03" w14:textId="77777777" w:rsidR="0090195E" w:rsidRPr="00FA1559" w:rsidRDefault="0090195E" w:rsidP="005658F6">
            <w:pPr>
              <w:pStyle w:val="Textoindependiente"/>
              <w:spacing w:before="0" w:after="0"/>
              <w:jc w:val="center"/>
              <w:rPr>
                <w:sz w:val="20"/>
                <w:szCs w:val="20"/>
              </w:rPr>
            </w:pPr>
            <w:r w:rsidRPr="00FA1559">
              <w:rPr>
                <w:sz w:val="20"/>
                <w:szCs w:val="20"/>
              </w:rPr>
              <w:t>2020-49</w:t>
            </w:r>
          </w:p>
        </w:tc>
        <w:tc>
          <w:tcPr>
            <w:tcW w:w="1260" w:type="dxa"/>
          </w:tcPr>
          <w:p w14:paraId="2AB304C5" w14:textId="77777777" w:rsidR="0090195E" w:rsidRPr="00FA1559" w:rsidRDefault="0090195E" w:rsidP="005658F6">
            <w:pPr>
              <w:pStyle w:val="Textoindependiente"/>
              <w:spacing w:before="0" w:after="0"/>
              <w:jc w:val="center"/>
              <w:rPr>
                <w:sz w:val="20"/>
                <w:szCs w:val="20"/>
              </w:rPr>
            </w:pPr>
            <w:r w:rsidRPr="00FA1559">
              <w:rPr>
                <w:sz w:val="20"/>
                <w:szCs w:val="20"/>
              </w:rPr>
              <w:t>2.77</w:t>
            </w:r>
          </w:p>
        </w:tc>
      </w:tr>
      <w:tr w:rsidR="0090195E" w:rsidRPr="00FA1559" w14:paraId="49258456" w14:textId="77777777" w:rsidTr="005658F6">
        <w:trPr>
          <w:trHeight w:val="12"/>
        </w:trPr>
        <w:tc>
          <w:tcPr>
            <w:tcW w:w="1565" w:type="dxa"/>
          </w:tcPr>
          <w:p w14:paraId="6CFDF267" w14:textId="77777777" w:rsidR="0090195E" w:rsidRPr="00FA1559" w:rsidRDefault="0090195E" w:rsidP="005658F6">
            <w:pPr>
              <w:pStyle w:val="Textoindependiente"/>
              <w:spacing w:before="0" w:after="0"/>
              <w:jc w:val="center"/>
              <w:rPr>
                <w:sz w:val="20"/>
                <w:szCs w:val="20"/>
              </w:rPr>
            </w:pPr>
            <w:r w:rsidRPr="00FA1559">
              <w:rPr>
                <w:sz w:val="20"/>
                <w:szCs w:val="20"/>
              </w:rPr>
              <w:t>2020-50</w:t>
            </w:r>
          </w:p>
        </w:tc>
        <w:tc>
          <w:tcPr>
            <w:tcW w:w="1260" w:type="dxa"/>
          </w:tcPr>
          <w:p w14:paraId="654953EC" w14:textId="77777777" w:rsidR="0090195E" w:rsidRPr="00FA1559" w:rsidRDefault="0090195E" w:rsidP="005658F6">
            <w:pPr>
              <w:pStyle w:val="Textoindependiente"/>
              <w:spacing w:before="0" w:after="0"/>
              <w:jc w:val="center"/>
              <w:rPr>
                <w:sz w:val="20"/>
                <w:szCs w:val="20"/>
              </w:rPr>
            </w:pPr>
            <w:r w:rsidRPr="00FA1559">
              <w:rPr>
                <w:sz w:val="20"/>
                <w:szCs w:val="20"/>
              </w:rPr>
              <w:t>-0.539</w:t>
            </w:r>
          </w:p>
        </w:tc>
      </w:tr>
    </w:tbl>
    <w:p w14:paraId="1E9A0223" w14:textId="77777777" w:rsidR="0090195E" w:rsidRDefault="0090195E" w:rsidP="0090195E">
      <w:pPr>
        <w:pStyle w:val="FirstParagraph"/>
        <w:ind w:left="1416"/>
        <w:rPr>
          <w:sz w:val="20"/>
          <w:szCs w:val="20"/>
        </w:rPr>
      </w:pPr>
      <w:r w:rsidRPr="0090195E">
        <w:rPr>
          <w:sz w:val="20"/>
          <w:szCs w:val="20"/>
        </w:rPr>
        <w:t xml:space="preserve">Each row highlights the </w:t>
      </w:r>
      <w:r w:rsidRPr="0090195E">
        <w:rPr>
          <w:b/>
          <w:bCs/>
          <w:sz w:val="20"/>
          <w:szCs w:val="20"/>
        </w:rPr>
        <w:t>largest weekly loss</w:t>
      </w:r>
      <w:r w:rsidRPr="0090195E">
        <w:rPr>
          <w:sz w:val="20"/>
          <w:szCs w:val="20"/>
        </w:rPr>
        <w:t xml:space="preserve"> for the index. For example, in the 49th week of 2020, the worst weekly loss was </w:t>
      </w:r>
      <w:r w:rsidRPr="0090195E">
        <w:rPr>
          <w:b/>
          <w:bCs/>
          <w:sz w:val="20"/>
          <w:szCs w:val="20"/>
        </w:rPr>
        <w:t>2.7711</w:t>
      </w:r>
      <w:r w:rsidRPr="0090195E">
        <w:rPr>
          <w:sz w:val="20"/>
          <w:szCs w:val="20"/>
        </w:rPr>
        <w:t>, which reflects a significant drop in returns during that week.</w:t>
      </w:r>
    </w:p>
    <w:p w14:paraId="3AE00745" w14:textId="60EF4DBC" w:rsidR="0090195E" w:rsidRDefault="0090195E" w:rsidP="0090195E">
      <w:pPr>
        <w:pStyle w:val="FirstParagraph"/>
        <w:ind w:left="1416"/>
        <w:rPr>
          <w:sz w:val="20"/>
          <w:szCs w:val="20"/>
        </w:rPr>
      </w:pPr>
      <w:r w:rsidRPr="0090195E">
        <w:rPr>
          <w:noProof/>
          <w:sz w:val="20"/>
          <w:szCs w:val="20"/>
        </w:rPr>
        <w:drawing>
          <wp:inline distT="0" distB="0" distL="0" distR="0" wp14:anchorId="578619E2" wp14:editId="7539620B">
            <wp:extent cx="2963917" cy="204113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7967" cy="2050806"/>
                    </a:xfrm>
                    <a:prstGeom prst="rect">
                      <a:avLst/>
                    </a:prstGeom>
                  </pic:spPr>
                </pic:pic>
              </a:graphicData>
            </a:graphic>
          </wp:inline>
        </w:drawing>
      </w:r>
    </w:p>
    <w:p w14:paraId="22A7C8F6" w14:textId="5BEE1B49" w:rsidR="0090195E" w:rsidRDefault="0090195E" w:rsidP="0090195E">
      <w:pPr>
        <w:pStyle w:val="FirstParagraph"/>
        <w:ind w:left="1416"/>
        <w:rPr>
          <w:sz w:val="20"/>
          <w:szCs w:val="20"/>
        </w:rPr>
      </w:pPr>
      <w:r w:rsidRPr="0090195E">
        <w:rPr>
          <w:sz w:val="20"/>
          <w:szCs w:val="20"/>
        </w:rPr>
        <w:t xml:space="preserve">The graph visualizes the weekly </w:t>
      </w:r>
      <w:r w:rsidRPr="0090195E">
        <w:rPr>
          <w:b/>
          <w:bCs/>
          <w:sz w:val="20"/>
          <w:szCs w:val="20"/>
        </w:rPr>
        <w:t>largest losses</w:t>
      </w:r>
      <w:r w:rsidRPr="0090195E">
        <w:rPr>
          <w:sz w:val="20"/>
          <w:szCs w:val="20"/>
        </w:rPr>
        <w:t xml:space="preserve"> over time, highlighting periods of heightened market stress, such as in 2022, where weekly losses reached their most extreme values. Outside of 2022, the general trend indicates that most weekly losses are less severe, reflecting a relatively stable risk profile during those periods. This visualization provides a clear timeline of extreme losses, offering insights into when and where the market experienced the most significant volatility.</w:t>
      </w:r>
    </w:p>
    <w:p w14:paraId="1735B4C1" w14:textId="3B1AEB8A" w:rsidR="00D6680E" w:rsidRDefault="00D6680E" w:rsidP="00D6680E">
      <w:pPr>
        <w:pStyle w:val="Prrafodelista"/>
        <w:numPr>
          <w:ilvl w:val="0"/>
          <w:numId w:val="12"/>
        </w:numPr>
        <w:ind w:left="1440" w:firstLine="0"/>
        <w:rPr>
          <w:rFonts w:eastAsia="Times New Roman" w:cstheme="minorHAnsi"/>
          <w:b/>
          <w:bCs/>
          <w:kern w:val="0"/>
          <w:sz w:val="20"/>
          <w:szCs w:val="20"/>
          <w14:ligatures w14:val="none"/>
        </w:rPr>
      </w:pPr>
      <w:proofErr w:type="spellStart"/>
      <w:r>
        <w:rPr>
          <w:rFonts w:eastAsia="Times New Roman" w:cstheme="minorHAnsi"/>
          <w:b/>
          <w:bCs/>
          <w:kern w:val="0"/>
          <w:sz w:val="20"/>
          <w:szCs w:val="20"/>
          <w14:ligatures w14:val="none"/>
        </w:rPr>
        <w:t>VaR</w:t>
      </w:r>
      <w:proofErr w:type="spellEnd"/>
      <w:r>
        <w:rPr>
          <w:rFonts w:eastAsia="Times New Roman" w:cstheme="minorHAnsi"/>
          <w:b/>
          <w:bCs/>
          <w:kern w:val="0"/>
          <w:sz w:val="20"/>
          <w:szCs w:val="20"/>
          <w14:ligatures w14:val="none"/>
        </w:rPr>
        <w:t xml:space="preserve"> and ES</w:t>
      </w:r>
    </w:p>
    <w:p w14:paraId="05DA2CE5" w14:textId="42B5CA56" w:rsidR="00D6680E" w:rsidRDefault="00D6680E" w:rsidP="00D6680E">
      <w:pPr>
        <w:ind w:left="1416"/>
        <w:rPr>
          <w:sz w:val="20"/>
          <w:szCs w:val="20"/>
        </w:rPr>
      </w:pPr>
      <w:r w:rsidRPr="00D6680E">
        <w:rPr>
          <w:sz w:val="20"/>
          <w:szCs w:val="20"/>
        </w:rPr>
        <w:t>The table compares Value at Risk (</w:t>
      </w:r>
      <w:proofErr w:type="spellStart"/>
      <w:r w:rsidRPr="00D6680E">
        <w:rPr>
          <w:sz w:val="20"/>
          <w:szCs w:val="20"/>
        </w:rPr>
        <w:t>VaR</w:t>
      </w:r>
      <w:proofErr w:type="spellEnd"/>
      <w:r w:rsidRPr="00D6680E">
        <w:rPr>
          <w:sz w:val="20"/>
          <w:szCs w:val="20"/>
        </w:rPr>
        <w:t>) and Expected Shortfall (ES) for 95% and 99% confidence levels using historical and parametric approaches.</w:t>
      </w:r>
    </w:p>
    <w:tbl>
      <w:tblPr>
        <w:tblStyle w:val="Tablaconcuadrcula"/>
        <w:tblW w:w="0" w:type="auto"/>
        <w:tblInd w:w="1416" w:type="dxa"/>
        <w:tblLook w:val="04A0" w:firstRow="1" w:lastRow="0" w:firstColumn="1" w:lastColumn="0" w:noHBand="0" w:noVBand="1"/>
      </w:tblPr>
      <w:tblGrid>
        <w:gridCol w:w="1689"/>
        <w:gridCol w:w="1638"/>
        <w:gridCol w:w="1638"/>
        <w:gridCol w:w="1677"/>
        <w:gridCol w:w="1387"/>
      </w:tblGrid>
      <w:tr w:rsidR="00D6680E" w14:paraId="55BD3645" w14:textId="77777777" w:rsidTr="00D6680E">
        <w:tc>
          <w:tcPr>
            <w:tcW w:w="1689" w:type="dxa"/>
            <w:shd w:val="clear" w:color="auto" w:fill="8EAADB" w:themeFill="accent1" w:themeFillTint="99"/>
          </w:tcPr>
          <w:p w14:paraId="00AB6575" w14:textId="661B6BA5" w:rsidR="00D6680E" w:rsidRPr="00D6680E" w:rsidRDefault="00D6680E" w:rsidP="00D6680E">
            <w:pPr>
              <w:rPr>
                <w:b/>
                <w:bCs/>
                <w:sz w:val="20"/>
                <w:szCs w:val="20"/>
              </w:rPr>
            </w:pPr>
            <w:r w:rsidRPr="00D6680E">
              <w:rPr>
                <w:b/>
                <w:bCs/>
                <w:sz w:val="20"/>
                <w:szCs w:val="20"/>
              </w:rPr>
              <w:t>Confidence Level</w:t>
            </w:r>
          </w:p>
        </w:tc>
        <w:tc>
          <w:tcPr>
            <w:tcW w:w="1638" w:type="dxa"/>
            <w:shd w:val="clear" w:color="auto" w:fill="8EAADB" w:themeFill="accent1" w:themeFillTint="99"/>
          </w:tcPr>
          <w:p w14:paraId="4A5FE82F" w14:textId="11381EC9" w:rsidR="00D6680E" w:rsidRPr="00D6680E" w:rsidRDefault="00D6680E" w:rsidP="00D6680E">
            <w:pPr>
              <w:rPr>
                <w:b/>
                <w:bCs/>
                <w:sz w:val="20"/>
                <w:szCs w:val="20"/>
              </w:rPr>
            </w:pPr>
            <w:r w:rsidRPr="00D6680E">
              <w:rPr>
                <w:b/>
                <w:bCs/>
                <w:sz w:val="20"/>
                <w:szCs w:val="20"/>
              </w:rPr>
              <w:t xml:space="preserve">Historical </w:t>
            </w:r>
            <w:proofErr w:type="spellStart"/>
            <w:r w:rsidRPr="00D6680E">
              <w:rPr>
                <w:b/>
                <w:bCs/>
                <w:sz w:val="20"/>
                <w:szCs w:val="20"/>
              </w:rPr>
              <w:t>VaR</w:t>
            </w:r>
            <w:proofErr w:type="spellEnd"/>
          </w:p>
        </w:tc>
        <w:tc>
          <w:tcPr>
            <w:tcW w:w="1638" w:type="dxa"/>
            <w:shd w:val="clear" w:color="auto" w:fill="8EAADB" w:themeFill="accent1" w:themeFillTint="99"/>
          </w:tcPr>
          <w:p w14:paraId="5C5B3322" w14:textId="467F3FEE" w:rsidR="00D6680E" w:rsidRPr="00D6680E" w:rsidRDefault="00D6680E" w:rsidP="00D6680E">
            <w:pPr>
              <w:rPr>
                <w:b/>
                <w:bCs/>
                <w:sz w:val="20"/>
                <w:szCs w:val="20"/>
              </w:rPr>
            </w:pPr>
            <w:r w:rsidRPr="00D6680E">
              <w:rPr>
                <w:b/>
                <w:bCs/>
                <w:sz w:val="20"/>
                <w:szCs w:val="20"/>
              </w:rPr>
              <w:t>Historical ES</w:t>
            </w:r>
          </w:p>
        </w:tc>
        <w:tc>
          <w:tcPr>
            <w:tcW w:w="1677" w:type="dxa"/>
            <w:shd w:val="clear" w:color="auto" w:fill="8EAADB" w:themeFill="accent1" w:themeFillTint="99"/>
          </w:tcPr>
          <w:p w14:paraId="31C57F69" w14:textId="35459153" w:rsidR="00D6680E" w:rsidRPr="00D6680E" w:rsidRDefault="00D6680E" w:rsidP="00D6680E">
            <w:pPr>
              <w:rPr>
                <w:b/>
                <w:bCs/>
                <w:sz w:val="20"/>
                <w:szCs w:val="20"/>
              </w:rPr>
            </w:pPr>
            <w:r w:rsidRPr="00D6680E">
              <w:rPr>
                <w:b/>
                <w:bCs/>
                <w:sz w:val="20"/>
                <w:szCs w:val="20"/>
              </w:rPr>
              <w:t xml:space="preserve">Parametric </w:t>
            </w:r>
            <w:proofErr w:type="spellStart"/>
            <w:r w:rsidRPr="00D6680E">
              <w:rPr>
                <w:b/>
                <w:bCs/>
                <w:sz w:val="20"/>
                <w:szCs w:val="20"/>
              </w:rPr>
              <w:t>VaR</w:t>
            </w:r>
            <w:proofErr w:type="spellEnd"/>
          </w:p>
        </w:tc>
        <w:tc>
          <w:tcPr>
            <w:tcW w:w="1387" w:type="dxa"/>
            <w:shd w:val="clear" w:color="auto" w:fill="8EAADB" w:themeFill="accent1" w:themeFillTint="99"/>
          </w:tcPr>
          <w:p w14:paraId="00B5B3BE" w14:textId="1FEF27DE" w:rsidR="00D6680E" w:rsidRPr="00D6680E" w:rsidRDefault="00D6680E" w:rsidP="00D6680E">
            <w:pPr>
              <w:rPr>
                <w:b/>
                <w:bCs/>
                <w:sz w:val="20"/>
                <w:szCs w:val="20"/>
              </w:rPr>
            </w:pPr>
            <w:r w:rsidRPr="00D6680E">
              <w:rPr>
                <w:b/>
                <w:bCs/>
                <w:sz w:val="20"/>
                <w:szCs w:val="20"/>
              </w:rPr>
              <w:t>Parametric ES</w:t>
            </w:r>
          </w:p>
        </w:tc>
      </w:tr>
      <w:tr w:rsidR="00D6680E" w14:paraId="46C58CEB" w14:textId="77777777" w:rsidTr="00D6680E">
        <w:tc>
          <w:tcPr>
            <w:tcW w:w="1689" w:type="dxa"/>
          </w:tcPr>
          <w:p w14:paraId="56D7E263" w14:textId="034ADF2C" w:rsidR="00D6680E" w:rsidRDefault="00D6680E" w:rsidP="00D6680E">
            <w:pPr>
              <w:jc w:val="center"/>
              <w:rPr>
                <w:sz w:val="20"/>
                <w:szCs w:val="20"/>
              </w:rPr>
            </w:pPr>
            <w:r>
              <w:rPr>
                <w:sz w:val="20"/>
                <w:szCs w:val="20"/>
              </w:rPr>
              <w:t>95%</w:t>
            </w:r>
          </w:p>
        </w:tc>
        <w:tc>
          <w:tcPr>
            <w:tcW w:w="1638" w:type="dxa"/>
          </w:tcPr>
          <w:p w14:paraId="3314D5CB" w14:textId="4F2B4E2F" w:rsidR="00D6680E" w:rsidRDefault="00D6680E" w:rsidP="00D6680E">
            <w:pPr>
              <w:jc w:val="center"/>
              <w:rPr>
                <w:sz w:val="20"/>
                <w:szCs w:val="20"/>
              </w:rPr>
            </w:pPr>
            <w:r>
              <w:rPr>
                <w:sz w:val="20"/>
                <w:szCs w:val="20"/>
              </w:rPr>
              <w:t>0.612%</w:t>
            </w:r>
          </w:p>
        </w:tc>
        <w:tc>
          <w:tcPr>
            <w:tcW w:w="1638" w:type="dxa"/>
          </w:tcPr>
          <w:p w14:paraId="415AA0D1" w14:textId="414A3849" w:rsidR="00D6680E" w:rsidRDefault="00D6680E" w:rsidP="00D6680E">
            <w:pPr>
              <w:jc w:val="center"/>
              <w:rPr>
                <w:sz w:val="20"/>
                <w:szCs w:val="20"/>
              </w:rPr>
            </w:pPr>
            <w:r>
              <w:rPr>
                <w:sz w:val="20"/>
                <w:szCs w:val="20"/>
              </w:rPr>
              <w:t>-0.206%</w:t>
            </w:r>
          </w:p>
        </w:tc>
        <w:tc>
          <w:tcPr>
            <w:tcW w:w="1677" w:type="dxa"/>
          </w:tcPr>
          <w:p w14:paraId="4CD8441F" w14:textId="17D51522" w:rsidR="00D6680E" w:rsidRDefault="00D6680E" w:rsidP="00D6680E">
            <w:pPr>
              <w:jc w:val="center"/>
              <w:rPr>
                <w:sz w:val="20"/>
                <w:szCs w:val="20"/>
              </w:rPr>
            </w:pPr>
            <w:r>
              <w:rPr>
                <w:sz w:val="20"/>
                <w:szCs w:val="20"/>
              </w:rPr>
              <w:t>0.049%</w:t>
            </w:r>
          </w:p>
        </w:tc>
        <w:tc>
          <w:tcPr>
            <w:tcW w:w="1387" w:type="dxa"/>
          </w:tcPr>
          <w:p w14:paraId="1FBA3D12" w14:textId="49DEC75E" w:rsidR="00D6680E" w:rsidRDefault="00D6680E" w:rsidP="00D6680E">
            <w:pPr>
              <w:jc w:val="center"/>
              <w:rPr>
                <w:sz w:val="20"/>
                <w:szCs w:val="20"/>
              </w:rPr>
            </w:pPr>
            <w:r>
              <w:rPr>
                <w:sz w:val="20"/>
                <w:szCs w:val="20"/>
              </w:rPr>
              <w:t>-0.871%</w:t>
            </w:r>
          </w:p>
        </w:tc>
      </w:tr>
      <w:tr w:rsidR="00D6680E" w14:paraId="20203B77" w14:textId="77777777" w:rsidTr="00D6680E">
        <w:tc>
          <w:tcPr>
            <w:tcW w:w="1689" w:type="dxa"/>
          </w:tcPr>
          <w:p w14:paraId="23BBE1C0" w14:textId="1A237E44" w:rsidR="00D6680E" w:rsidRDefault="00D6680E" w:rsidP="00D6680E">
            <w:pPr>
              <w:jc w:val="center"/>
              <w:rPr>
                <w:sz w:val="20"/>
                <w:szCs w:val="20"/>
              </w:rPr>
            </w:pPr>
            <w:r>
              <w:rPr>
                <w:sz w:val="20"/>
                <w:szCs w:val="20"/>
              </w:rPr>
              <w:t>99%</w:t>
            </w:r>
          </w:p>
        </w:tc>
        <w:tc>
          <w:tcPr>
            <w:tcW w:w="1638" w:type="dxa"/>
          </w:tcPr>
          <w:p w14:paraId="79D03613" w14:textId="4B633452" w:rsidR="00D6680E" w:rsidRDefault="00D6680E" w:rsidP="00D6680E">
            <w:pPr>
              <w:jc w:val="center"/>
              <w:rPr>
                <w:sz w:val="20"/>
                <w:szCs w:val="20"/>
              </w:rPr>
            </w:pPr>
            <w:r>
              <w:rPr>
                <w:sz w:val="20"/>
                <w:szCs w:val="20"/>
              </w:rPr>
              <w:t>0.272%</w:t>
            </w:r>
          </w:p>
        </w:tc>
        <w:tc>
          <w:tcPr>
            <w:tcW w:w="1638" w:type="dxa"/>
          </w:tcPr>
          <w:p w14:paraId="43B76100" w14:textId="575E13D2" w:rsidR="00D6680E" w:rsidRDefault="00D6680E" w:rsidP="00D6680E">
            <w:pPr>
              <w:jc w:val="center"/>
              <w:rPr>
                <w:sz w:val="20"/>
                <w:szCs w:val="20"/>
              </w:rPr>
            </w:pPr>
            <w:r>
              <w:rPr>
                <w:sz w:val="20"/>
                <w:szCs w:val="20"/>
              </w:rPr>
              <w:t>-0.504%</w:t>
            </w:r>
          </w:p>
        </w:tc>
        <w:tc>
          <w:tcPr>
            <w:tcW w:w="1677" w:type="dxa"/>
          </w:tcPr>
          <w:p w14:paraId="6D111EA1" w14:textId="4D34E785" w:rsidR="00D6680E" w:rsidRDefault="00D6680E" w:rsidP="00D6680E">
            <w:pPr>
              <w:jc w:val="center"/>
              <w:rPr>
                <w:sz w:val="20"/>
                <w:szCs w:val="20"/>
              </w:rPr>
            </w:pPr>
            <w:r>
              <w:rPr>
                <w:sz w:val="20"/>
                <w:szCs w:val="20"/>
              </w:rPr>
              <w:t>0.402%</w:t>
            </w:r>
          </w:p>
        </w:tc>
        <w:tc>
          <w:tcPr>
            <w:tcW w:w="1387" w:type="dxa"/>
          </w:tcPr>
          <w:p w14:paraId="44D0FA54" w14:textId="1B2A9A94" w:rsidR="00D6680E" w:rsidRDefault="00D6680E" w:rsidP="00D6680E">
            <w:pPr>
              <w:jc w:val="center"/>
              <w:rPr>
                <w:sz w:val="20"/>
                <w:szCs w:val="20"/>
              </w:rPr>
            </w:pPr>
            <w:r>
              <w:rPr>
                <w:sz w:val="20"/>
                <w:szCs w:val="20"/>
              </w:rPr>
              <w:t>-0.483%</w:t>
            </w:r>
          </w:p>
        </w:tc>
      </w:tr>
    </w:tbl>
    <w:p w14:paraId="1D8F3AA5" w14:textId="77777777" w:rsidR="00D6680E" w:rsidRDefault="00D6680E" w:rsidP="00D6680E">
      <w:pPr>
        <w:ind w:left="1416"/>
        <w:rPr>
          <w:sz w:val="20"/>
          <w:szCs w:val="20"/>
        </w:rPr>
      </w:pPr>
    </w:p>
    <w:p w14:paraId="589996A9" w14:textId="1CFC7E8A" w:rsidR="00D6680E" w:rsidRPr="00D6680E" w:rsidRDefault="00D6680E" w:rsidP="00D6680E">
      <w:pPr>
        <w:ind w:left="1416"/>
        <w:rPr>
          <w:sz w:val="20"/>
          <w:szCs w:val="20"/>
        </w:rPr>
      </w:pPr>
      <w:r w:rsidRPr="00D6680E">
        <w:rPr>
          <w:sz w:val="20"/>
          <w:szCs w:val="20"/>
        </w:rPr>
        <w:t>The parametric approach shows a wider range, especially in ES at 95%, where the estimated loss magnitude is significantly higher. This discrepancy reflects the sensitivity of the parametric method, which assumes a heavier-tailed GEV model. However, since the underlying distribution is known to be non-normal, the parametric estimates might overstate risks, particularly at lower confidence levels, emphasizing the need for careful model validation.</w:t>
      </w:r>
    </w:p>
    <w:p w14:paraId="3097E24F" w14:textId="47F03C37" w:rsidR="00A543A8" w:rsidRDefault="005650D3" w:rsidP="00A543A8">
      <w:pPr>
        <w:pStyle w:val="Prrafodelista"/>
        <w:numPr>
          <w:ilvl w:val="1"/>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Peaks Over Threshold</w:t>
      </w:r>
    </w:p>
    <w:p w14:paraId="72570AD4" w14:textId="77777777" w:rsidR="00DF52B9" w:rsidRDefault="00DF52B9" w:rsidP="00DF52B9">
      <w:pPr>
        <w:pStyle w:val="Prrafodelista"/>
        <w:numPr>
          <w:ilvl w:val="2"/>
          <w:numId w:val="10"/>
        </w:numPr>
        <w:ind w:left="1530" w:firstLine="0"/>
        <w:rPr>
          <w:rFonts w:eastAsia="Times New Roman" w:cstheme="minorHAnsi"/>
          <w:b/>
          <w:bCs/>
          <w:kern w:val="0"/>
          <w:sz w:val="20"/>
          <w:szCs w:val="20"/>
          <w14:ligatures w14:val="none"/>
        </w:rPr>
      </w:pPr>
      <w:r>
        <w:rPr>
          <w:rFonts w:eastAsia="Times New Roman" w:cstheme="minorHAnsi"/>
          <w:b/>
          <w:bCs/>
          <w:kern w:val="0"/>
          <w:sz w:val="20"/>
          <w:szCs w:val="20"/>
          <w14:ligatures w14:val="none"/>
        </w:rPr>
        <w:t>Calculation</w:t>
      </w:r>
    </w:p>
    <w:p w14:paraId="6882F9D9" w14:textId="43A40114" w:rsidR="00F21658" w:rsidRDefault="00F21658" w:rsidP="00F21658">
      <w:pPr>
        <w:pStyle w:val="Prrafodelista"/>
        <w:ind w:left="1440"/>
      </w:pPr>
      <w:r>
        <w:t xml:space="preserve">The choice of threshold is crucial in the POT method. An appropriate threshold balances bias and variance in parameter </w:t>
      </w:r>
      <w:proofErr w:type="spellStart"/>
      <w:proofErr w:type="gramStart"/>
      <w:r>
        <w:t>estimates.The</w:t>
      </w:r>
      <w:proofErr w:type="spellEnd"/>
      <w:proofErr w:type="gramEnd"/>
      <w:r>
        <w:t xml:space="preserve"> mean excess plot helps identify a suitable threshold </w:t>
      </w:r>
      <w:r>
        <w:lastRenderedPageBreak/>
        <w:t>where the mean excess over the threshold is linear. Based on the plot, a suitable threshold would be around -2 to 0, where the mean excess stabilizes and becomes linear.</w:t>
      </w:r>
    </w:p>
    <w:p w14:paraId="05CA4671" w14:textId="139D06DF" w:rsidR="00F21658" w:rsidRDefault="00F21658" w:rsidP="00F21658">
      <w:pPr>
        <w:pStyle w:val="Prrafodelista"/>
        <w:ind w:left="1440"/>
        <w:rPr>
          <w:rFonts w:eastAsia="Times New Roman" w:cstheme="minorHAnsi"/>
          <w:kern w:val="0"/>
          <w:sz w:val="20"/>
          <w:szCs w:val="20"/>
          <w14:ligatures w14:val="none"/>
        </w:rPr>
      </w:pPr>
      <w:r w:rsidRPr="00F21658">
        <w:rPr>
          <w:rFonts w:eastAsia="Times New Roman" w:cstheme="minorHAnsi"/>
          <w:noProof/>
          <w:kern w:val="0"/>
          <w:sz w:val="20"/>
          <w:szCs w:val="20"/>
          <w14:ligatures w14:val="none"/>
        </w:rPr>
        <w:drawing>
          <wp:inline distT="0" distB="0" distL="0" distR="0" wp14:anchorId="19CEE59D" wp14:editId="10B02203">
            <wp:extent cx="2430386" cy="1818290"/>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273" cy="1834665"/>
                    </a:xfrm>
                    <a:prstGeom prst="rect">
                      <a:avLst/>
                    </a:prstGeom>
                  </pic:spPr>
                </pic:pic>
              </a:graphicData>
            </a:graphic>
          </wp:inline>
        </w:drawing>
      </w:r>
      <w:r w:rsidR="00D6680E" w:rsidRPr="00F21658">
        <w:rPr>
          <w:rFonts w:eastAsia="Times New Roman" w:cstheme="minorHAnsi"/>
          <w:noProof/>
          <w:kern w:val="0"/>
          <w:sz w:val="20"/>
          <w:szCs w:val="20"/>
          <w14:ligatures w14:val="none"/>
        </w:rPr>
        <w:drawing>
          <wp:inline distT="0" distB="0" distL="0" distR="0" wp14:anchorId="0A1D4A9E" wp14:editId="20C44C51">
            <wp:extent cx="2753711" cy="2095454"/>
            <wp:effectExtent l="0" t="0" r="889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519" cy="2101396"/>
                    </a:xfrm>
                    <a:prstGeom prst="rect">
                      <a:avLst/>
                    </a:prstGeom>
                  </pic:spPr>
                </pic:pic>
              </a:graphicData>
            </a:graphic>
          </wp:inline>
        </w:drawing>
      </w:r>
    </w:p>
    <w:p w14:paraId="756F3B4A" w14:textId="742ADD2E" w:rsidR="00F21658" w:rsidRDefault="00F21658" w:rsidP="0065489A">
      <w:pPr>
        <w:pStyle w:val="Textoindependiente"/>
        <w:ind w:left="1416"/>
        <w:rPr>
          <w:sz w:val="20"/>
          <w:szCs w:val="20"/>
        </w:rPr>
      </w:pPr>
      <w:r w:rsidRPr="0065489A">
        <w:rPr>
          <w:sz w:val="20"/>
          <w:szCs w:val="20"/>
        </w:rPr>
        <w:t>The parameter stability plots provided a guidance to select a threshold. The region 2.2 and 2.8 shows stability, making it reliable range for analyzing extreme events.</w:t>
      </w:r>
    </w:p>
    <w:p w14:paraId="2B742C57" w14:textId="2EDED0D7" w:rsidR="00DF52B9" w:rsidRPr="00DF52B9" w:rsidRDefault="00DF52B9" w:rsidP="0065489A">
      <w:pPr>
        <w:pStyle w:val="Textoindependiente"/>
        <w:ind w:left="1416"/>
        <w:rPr>
          <w:color w:val="FF0000"/>
          <w:sz w:val="20"/>
          <w:szCs w:val="20"/>
          <w:lang w:val="es-MX"/>
        </w:rPr>
      </w:pPr>
      <w:r w:rsidRPr="00DF52B9">
        <w:rPr>
          <w:color w:val="FF0000"/>
          <w:sz w:val="20"/>
          <w:szCs w:val="20"/>
          <w:lang w:val="es-MX"/>
        </w:rPr>
        <w:t>Falta lo GEV FIT</w:t>
      </w:r>
    </w:p>
    <w:p w14:paraId="0A0ED2FF" w14:textId="77777777" w:rsidR="00DF52B9" w:rsidRDefault="00DF52B9" w:rsidP="00DF52B9">
      <w:pPr>
        <w:pStyle w:val="Prrafodelista"/>
        <w:numPr>
          <w:ilvl w:val="0"/>
          <w:numId w:val="13"/>
        </w:numPr>
        <w:tabs>
          <w:tab w:val="left" w:pos="1440"/>
        </w:tabs>
        <w:ind w:hanging="900"/>
        <w:rPr>
          <w:rFonts w:eastAsia="Times New Roman" w:cstheme="minorHAnsi"/>
          <w:b/>
          <w:bCs/>
          <w:kern w:val="0"/>
          <w:sz w:val="20"/>
          <w:szCs w:val="20"/>
          <w14:ligatures w14:val="none"/>
        </w:rPr>
      </w:pPr>
      <w:proofErr w:type="spellStart"/>
      <w:r>
        <w:rPr>
          <w:rFonts w:eastAsia="Times New Roman" w:cstheme="minorHAnsi"/>
          <w:b/>
          <w:bCs/>
          <w:kern w:val="0"/>
          <w:sz w:val="20"/>
          <w:szCs w:val="20"/>
          <w14:ligatures w14:val="none"/>
        </w:rPr>
        <w:t>VaR</w:t>
      </w:r>
      <w:proofErr w:type="spellEnd"/>
      <w:r>
        <w:rPr>
          <w:rFonts w:eastAsia="Times New Roman" w:cstheme="minorHAnsi"/>
          <w:b/>
          <w:bCs/>
          <w:kern w:val="0"/>
          <w:sz w:val="20"/>
          <w:szCs w:val="20"/>
          <w14:ligatures w14:val="none"/>
        </w:rPr>
        <w:t xml:space="preserve"> and ES</w:t>
      </w:r>
    </w:p>
    <w:p w14:paraId="00139384" w14:textId="77777777" w:rsidR="00DF52B9" w:rsidRDefault="00DF52B9" w:rsidP="0065489A">
      <w:pPr>
        <w:pStyle w:val="Textoindependiente"/>
        <w:ind w:left="1416"/>
      </w:pPr>
    </w:p>
    <w:p w14:paraId="043AB13F" w14:textId="3702E49A" w:rsidR="00F21658" w:rsidRDefault="00F21658" w:rsidP="00F21658">
      <w:pPr>
        <w:pStyle w:val="Prrafodelista"/>
        <w:ind w:left="1440"/>
        <w:rPr>
          <w:rFonts w:eastAsia="Times New Roman" w:cstheme="minorHAnsi"/>
          <w:kern w:val="0"/>
          <w:sz w:val="20"/>
          <w:szCs w:val="20"/>
          <w14:ligatures w14:val="none"/>
        </w:rPr>
      </w:pPr>
    </w:p>
    <w:p w14:paraId="3FE761AF" w14:textId="77777777" w:rsidR="00F21658" w:rsidRPr="00F21658" w:rsidRDefault="00F21658" w:rsidP="00F21658">
      <w:pPr>
        <w:pStyle w:val="Prrafodelista"/>
        <w:ind w:left="1440"/>
        <w:rPr>
          <w:rFonts w:eastAsia="Times New Roman" w:cstheme="minorHAnsi"/>
          <w:kern w:val="0"/>
          <w:sz w:val="20"/>
          <w:szCs w:val="20"/>
          <w14:ligatures w14:val="none"/>
        </w:rPr>
      </w:pPr>
    </w:p>
    <w:p w14:paraId="1066EFF8" w14:textId="246250C1" w:rsidR="00A543A8" w:rsidRPr="005650D3" w:rsidRDefault="00A543A8" w:rsidP="00A543A8">
      <w:pPr>
        <w:pStyle w:val="Prrafodelista"/>
        <w:numPr>
          <w:ilvl w:val="0"/>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Stop-Loss Strategy</w:t>
      </w:r>
    </w:p>
    <w:p w14:paraId="4E454566" w14:textId="70EBB88F" w:rsidR="00A543A8" w:rsidRPr="005650D3" w:rsidRDefault="00A543A8" w:rsidP="00A543A8">
      <w:pPr>
        <w:pStyle w:val="Prrafodelista"/>
        <w:numPr>
          <w:ilvl w:val="0"/>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Conclusions</w:t>
      </w:r>
    </w:p>
    <w:p w14:paraId="6AC0D44D" w14:textId="712908D8" w:rsidR="00A543A8" w:rsidRPr="005650D3" w:rsidRDefault="00A543A8" w:rsidP="00A543A8">
      <w:pPr>
        <w:pStyle w:val="Prrafodelista"/>
        <w:numPr>
          <w:ilvl w:val="0"/>
          <w:numId w:val="10"/>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Recommendations</w:t>
      </w:r>
    </w:p>
    <w:p w14:paraId="2DD7E9F3" w14:textId="63DEED1A" w:rsidR="004256E9" w:rsidRPr="004256E9" w:rsidRDefault="004256E9" w:rsidP="004256E9">
      <w:pPr>
        <w:spacing w:before="100" w:beforeAutospacing="1" w:after="100" w:afterAutospacing="1" w:line="240" w:lineRule="auto"/>
        <w:rPr>
          <w:rFonts w:eastAsia="Times New Roman" w:cstheme="minorHAnsi"/>
          <w:kern w:val="0"/>
          <w:sz w:val="20"/>
          <w:szCs w:val="20"/>
          <w14:ligatures w14:val="none"/>
        </w:rPr>
      </w:pPr>
    </w:p>
    <w:p w14:paraId="10996247" w14:textId="77777777" w:rsidR="00A543A8" w:rsidRDefault="00A543A8">
      <w:pPr>
        <w:rPr>
          <w:rFonts w:eastAsia="Times New Roman" w:cstheme="minorHAnsi"/>
          <w:b/>
          <w:bCs/>
          <w:kern w:val="0"/>
          <w:sz w:val="20"/>
          <w:szCs w:val="20"/>
          <w14:ligatures w14:val="none"/>
        </w:rPr>
      </w:pPr>
      <w:r>
        <w:rPr>
          <w:rFonts w:eastAsia="Times New Roman" w:cstheme="minorHAnsi"/>
          <w:b/>
          <w:bCs/>
          <w:kern w:val="0"/>
          <w:sz w:val="20"/>
          <w:szCs w:val="20"/>
          <w14:ligatures w14:val="none"/>
        </w:rPr>
        <w:br w:type="page"/>
      </w:r>
    </w:p>
    <w:p w14:paraId="08688F67" w14:textId="0D613F60" w:rsidR="004256E9" w:rsidRPr="005650D3" w:rsidRDefault="0061625B" w:rsidP="005650D3">
      <w:pPr>
        <w:pStyle w:val="Prrafodelista"/>
        <w:numPr>
          <w:ilvl w:val="0"/>
          <w:numId w:val="6"/>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lastRenderedPageBreak/>
        <w:t>Appendix:</w:t>
      </w:r>
    </w:p>
    <w:p w14:paraId="11442699" w14:textId="233E85E7" w:rsidR="00490D94" w:rsidRPr="005650D3" w:rsidRDefault="0061625B" w:rsidP="005650D3">
      <w:pPr>
        <w:pStyle w:val="Prrafodelista"/>
        <w:numPr>
          <w:ilvl w:val="1"/>
          <w:numId w:val="6"/>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Dickey Fuller Test</w:t>
      </w:r>
    </w:p>
    <w:p w14:paraId="70AE0564" w14:textId="031D2C96" w:rsidR="00490D94" w:rsidRPr="00490D94" w:rsidRDefault="00490D94" w:rsidP="00490D94">
      <w:pPr>
        <w:pStyle w:val="Prrafodelista"/>
        <w:rPr>
          <w:rFonts w:eastAsia="Times New Roman" w:cstheme="minorHAnsi"/>
          <w:b/>
          <w:bCs/>
          <w:kern w:val="0"/>
          <w:sz w:val="20"/>
          <w:szCs w:val="20"/>
          <w14:ligatures w14:val="none"/>
        </w:rPr>
      </w:pPr>
      <w:r w:rsidRPr="0061625B">
        <w:rPr>
          <w:rFonts w:eastAsia="Times New Roman" w:cstheme="minorHAnsi"/>
          <w:b/>
          <w:bCs/>
          <w:noProof/>
          <w:kern w:val="0"/>
          <w:sz w:val="20"/>
          <w:szCs w:val="20"/>
          <w14:ligatures w14:val="none"/>
        </w:rPr>
        <w:drawing>
          <wp:inline distT="0" distB="0" distL="0" distR="0" wp14:anchorId="611870B0" wp14:editId="58BAFA79">
            <wp:extent cx="1944413" cy="247050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8966" cy="2476290"/>
                    </a:xfrm>
                    <a:prstGeom prst="rect">
                      <a:avLst/>
                    </a:prstGeom>
                  </pic:spPr>
                </pic:pic>
              </a:graphicData>
            </a:graphic>
          </wp:inline>
        </w:drawing>
      </w:r>
    </w:p>
    <w:p w14:paraId="48F84CE0" w14:textId="64ECB181" w:rsidR="00490D94" w:rsidRDefault="00490D94" w:rsidP="00490D94">
      <w:pPr>
        <w:rPr>
          <w:rFonts w:eastAsia="Times New Roman" w:cstheme="minorHAnsi"/>
          <w:b/>
          <w:bCs/>
          <w:kern w:val="0"/>
          <w:sz w:val="20"/>
          <w:szCs w:val="20"/>
          <w14:ligatures w14:val="none"/>
        </w:rPr>
      </w:pPr>
    </w:p>
    <w:p w14:paraId="2D3FC206" w14:textId="5DBC03E1" w:rsidR="00490D94" w:rsidRPr="005650D3" w:rsidRDefault="00490D94" w:rsidP="005650D3">
      <w:pPr>
        <w:pStyle w:val="Prrafodelista"/>
        <w:numPr>
          <w:ilvl w:val="1"/>
          <w:numId w:val="6"/>
        </w:numPr>
        <w:rPr>
          <w:rFonts w:eastAsia="Times New Roman" w:cstheme="minorHAnsi"/>
          <w:b/>
          <w:bCs/>
          <w:kern w:val="0"/>
          <w:sz w:val="20"/>
          <w:szCs w:val="20"/>
          <w14:ligatures w14:val="none"/>
        </w:rPr>
      </w:pPr>
      <w:r w:rsidRPr="005650D3">
        <w:rPr>
          <w:rFonts w:eastAsia="Times New Roman" w:cstheme="minorHAnsi"/>
          <w:b/>
          <w:bCs/>
          <w:kern w:val="0"/>
          <w:sz w:val="20"/>
          <w:szCs w:val="20"/>
          <w14:ligatures w14:val="none"/>
        </w:rPr>
        <w:t>Dickey Fuller Test</w:t>
      </w:r>
    </w:p>
    <w:p w14:paraId="71D0D13E" w14:textId="67627B7A" w:rsidR="004256E9" w:rsidRPr="004256E9" w:rsidRDefault="00490D94" w:rsidP="004256E9">
      <w:pPr>
        <w:rPr>
          <w:rFonts w:eastAsia="Times New Roman" w:cstheme="minorHAnsi"/>
          <w:b/>
          <w:bCs/>
          <w:kern w:val="0"/>
          <w14:ligatures w14:val="none"/>
        </w:rPr>
      </w:pPr>
      <w:r w:rsidRPr="0061625B">
        <w:rPr>
          <w:noProof/>
        </w:rPr>
        <w:drawing>
          <wp:anchor distT="0" distB="0" distL="114300" distR="114300" simplePos="0" relativeHeight="251664384" behindDoc="1" locked="0" layoutInCell="1" allowOverlap="1" wp14:anchorId="1F2BEE16" wp14:editId="05B9D877">
            <wp:simplePos x="0" y="0"/>
            <wp:positionH relativeFrom="column">
              <wp:posOffset>196850</wp:posOffset>
            </wp:positionH>
            <wp:positionV relativeFrom="paragraph">
              <wp:posOffset>5715</wp:posOffset>
            </wp:positionV>
            <wp:extent cx="3852545" cy="735330"/>
            <wp:effectExtent l="0" t="0" r="0" b="7620"/>
            <wp:wrapTight wrapText="bothSides">
              <wp:wrapPolygon edited="0">
                <wp:start x="0" y="0"/>
                <wp:lineTo x="0" y="21264"/>
                <wp:lineTo x="21468" y="21264"/>
                <wp:lineTo x="2146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2545" cy="735330"/>
                    </a:xfrm>
                    <a:prstGeom prst="rect">
                      <a:avLst/>
                    </a:prstGeom>
                  </pic:spPr>
                </pic:pic>
              </a:graphicData>
            </a:graphic>
            <wp14:sizeRelH relativeFrom="margin">
              <wp14:pctWidth>0</wp14:pctWidth>
            </wp14:sizeRelH>
            <wp14:sizeRelV relativeFrom="margin">
              <wp14:pctHeight>0</wp14:pctHeight>
            </wp14:sizeRelV>
          </wp:anchor>
        </w:drawing>
      </w:r>
    </w:p>
    <w:p w14:paraId="6AB9B383" w14:textId="17FE2CC6" w:rsidR="004256E9" w:rsidRDefault="004256E9">
      <w:pPr>
        <w:rPr>
          <w:rFonts w:asciiTheme="majorHAnsi" w:hAnsiTheme="majorHAnsi" w:cstheme="majorHAnsi"/>
        </w:rPr>
      </w:pPr>
    </w:p>
    <w:p w14:paraId="0D0877A8" w14:textId="18E325B3" w:rsidR="00427163" w:rsidRDefault="00427163">
      <w:pPr>
        <w:rPr>
          <w:rFonts w:asciiTheme="majorHAnsi" w:hAnsiTheme="majorHAnsi" w:cstheme="majorHAnsi"/>
        </w:rPr>
      </w:pPr>
    </w:p>
    <w:p w14:paraId="5D2A0A4F" w14:textId="26DAE7A6" w:rsidR="00427163" w:rsidRPr="005650D3" w:rsidRDefault="005650D3" w:rsidP="005650D3">
      <w:pPr>
        <w:ind w:left="360"/>
        <w:rPr>
          <w:rFonts w:asciiTheme="majorHAnsi" w:hAnsiTheme="majorHAnsi" w:cstheme="majorHAnsi"/>
          <w:b/>
          <w:bCs/>
        </w:rPr>
      </w:pPr>
      <w:r>
        <w:rPr>
          <w:rFonts w:asciiTheme="majorHAnsi" w:hAnsiTheme="majorHAnsi" w:cstheme="majorHAnsi"/>
          <w:b/>
          <w:bCs/>
        </w:rPr>
        <w:t>1.3 QQ</w:t>
      </w:r>
      <w:r w:rsidR="00427163" w:rsidRPr="005650D3">
        <w:rPr>
          <w:rFonts w:asciiTheme="majorHAnsi" w:hAnsiTheme="majorHAnsi" w:cstheme="majorHAnsi"/>
          <w:b/>
          <w:bCs/>
        </w:rPr>
        <w:t xml:space="preserve"> plot </w:t>
      </w:r>
      <w:proofErr w:type="spellStart"/>
      <w:r w:rsidR="00427163" w:rsidRPr="005650D3">
        <w:rPr>
          <w:rFonts w:asciiTheme="majorHAnsi" w:hAnsiTheme="majorHAnsi" w:cstheme="majorHAnsi"/>
          <w:b/>
          <w:bCs/>
        </w:rPr>
        <w:t>t</w:t>
      </w:r>
      <w:proofErr w:type="spellEnd"/>
      <w:r w:rsidR="00427163" w:rsidRPr="005650D3">
        <w:rPr>
          <w:rFonts w:asciiTheme="majorHAnsi" w:hAnsiTheme="majorHAnsi" w:cstheme="majorHAnsi"/>
          <w:b/>
          <w:bCs/>
        </w:rPr>
        <w:t xml:space="preserve"> fitted</w:t>
      </w:r>
    </w:p>
    <w:p w14:paraId="5CB7CC4C" w14:textId="6095EFC7" w:rsidR="00427163" w:rsidRDefault="00427163" w:rsidP="00427163">
      <w:pPr>
        <w:pStyle w:val="Prrafodelista"/>
        <w:rPr>
          <w:rFonts w:asciiTheme="majorHAnsi" w:hAnsiTheme="majorHAnsi" w:cstheme="majorHAnsi"/>
        </w:rPr>
      </w:pPr>
      <w:r w:rsidRPr="00427163">
        <w:rPr>
          <w:rFonts w:eastAsia="Times New Roman" w:cstheme="minorHAnsi"/>
          <w:noProof/>
          <w:kern w:val="0"/>
          <w:sz w:val="20"/>
          <w:szCs w:val="20"/>
          <w14:ligatures w14:val="none"/>
        </w:rPr>
        <w:drawing>
          <wp:anchor distT="0" distB="0" distL="114300" distR="114300" simplePos="0" relativeHeight="251667456" behindDoc="1" locked="0" layoutInCell="1" allowOverlap="1" wp14:anchorId="409183AB" wp14:editId="21AA2A28">
            <wp:simplePos x="0" y="0"/>
            <wp:positionH relativeFrom="column">
              <wp:posOffset>238760</wp:posOffset>
            </wp:positionH>
            <wp:positionV relativeFrom="paragraph">
              <wp:posOffset>155575</wp:posOffset>
            </wp:positionV>
            <wp:extent cx="3342640" cy="1891665"/>
            <wp:effectExtent l="0" t="0" r="0" b="0"/>
            <wp:wrapTight wrapText="bothSides">
              <wp:wrapPolygon edited="0">
                <wp:start x="0" y="0"/>
                <wp:lineTo x="0" y="21317"/>
                <wp:lineTo x="21419" y="21317"/>
                <wp:lineTo x="214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2640" cy="1891665"/>
                    </a:xfrm>
                    <a:prstGeom prst="rect">
                      <a:avLst/>
                    </a:prstGeom>
                  </pic:spPr>
                </pic:pic>
              </a:graphicData>
            </a:graphic>
            <wp14:sizeRelH relativeFrom="margin">
              <wp14:pctWidth>0</wp14:pctWidth>
            </wp14:sizeRelH>
            <wp14:sizeRelV relativeFrom="margin">
              <wp14:pctHeight>0</wp14:pctHeight>
            </wp14:sizeRelV>
          </wp:anchor>
        </w:drawing>
      </w:r>
    </w:p>
    <w:p w14:paraId="731CA14C" w14:textId="2C64D20D" w:rsidR="005650D3" w:rsidRPr="005650D3" w:rsidRDefault="005650D3" w:rsidP="005650D3"/>
    <w:p w14:paraId="32DB16DD" w14:textId="1A08E378" w:rsidR="005650D3" w:rsidRPr="005650D3" w:rsidRDefault="005650D3" w:rsidP="005650D3"/>
    <w:p w14:paraId="620B3B7F" w14:textId="63F66D39" w:rsidR="005650D3" w:rsidRPr="005650D3" w:rsidRDefault="005650D3" w:rsidP="005650D3"/>
    <w:p w14:paraId="7FC907BC" w14:textId="5E3AA3F1" w:rsidR="005650D3" w:rsidRPr="005650D3" w:rsidRDefault="005650D3" w:rsidP="005650D3"/>
    <w:p w14:paraId="0AB03D14" w14:textId="2623EAA7" w:rsidR="005650D3" w:rsidRPr="005650D3" w:rsidRDefault="005650D3" w:rsidP="005650D3"/>
    <w:p w14:paraId="4AEDDFF6" w14:textId="22B5AB4C" w:rsidR="005650D3" w:rsidRPr="005650D3" w:rsidRDefault="005650D3" w:rsidP="005650D3"/>
    <w:p w14:paraId="2E794EAA" w14:textId="7ECB913E" w:rsidR="005650D3" w:rsidRDefault="005650D3" w:rsidP="005650D3">
      <w:pPr>
        <w:rPr>
          <w:rFonts w:asciiTheme="majorHAnsi" w:hAnsiTheme="majorHAnsi" w:cstheme="majorHAnsi"/>
        </w:rPr>
      </w:pPr>
    </w:p>
    <w:p w14:paraId="628FEE48" w14:textId="3A881D2B" w:rsidR="005650D3" w:rsidRPr="005650D3" w:rsidRDefault="005650D3" w:rsidP="005650D3">
      <w:pPr>
        <w:pStyle w:val="Prrafodelista"/>
        <w:numPr>
          <w:ilvl w:val="0"/>
          <w:numId w:val="6"/>
        </w:numPr>
        <w:rPr>
          <w:b/>
          <w:bCs/>
        </w:rPr>
      </w:pPr>
      <w:r w:rsidRPr="005650D3">
        <w:rPr>
          <w:b/>
          <w:bCs/>
        </w:rPr>
        <w:t>Practical 2</w:t>
      </w:r>
    </w:p>
    <w:p w14:paraId="54E11E8A" w14:textId="4BE5DF46" w:rsidR="005650D3" w:rsidRPr="005650D3" w:rsidRDefault="005650D3" w:rsidP="005650D3">
      <w:pPr>
        <w:pStyle w:val="Prrafodelista"/>
        <w:numPr>
          <w:ilvl w:val="0"/>
          <w:numId w:val="6"/>
        </w:numPr>
        <w:rPr>
          <w:b/>
          <w:bCs/>
        </w:rPr>
      </w:pPr>
      <w:r w:rsidRPr="005650D3">
        <w:rPr>
          <w:b/>
          <w:bCs/>
        </w:rPr>
        <w:t>Practical 3</w:t>
      </w:r>
    </w:p>
    <w:p w14:paraId="4CB36F66" w14:textId="2E4F6B44" w:rsidR="005650D3" w:rsidRDefault="005650D3" w:rsidP="005650D3">
      <w:pPr>
        <w:pStyle w:val="Prrafodelista"/>
        <w:numPr>
          <w:ilvl w:val="1"/>
          <w:numId w:val="6"/>
        </w:numPr>
        <w:rPr>
          <w:b/>
          <w:bCs/>
        </w:rPr>
      </w:pPr>
      <w:r w:rsidRPr="005650D3">
        <w:rPr>
          <w:b/>
          <w:bCs/>
        </w:rPr>
        <w:t>Open Prices Time Series</w:t>
      </w:r>
    </w:p>
    <w:p w14:paraId="37D2CA39" w14:textId="2CA4C13A" w:rsidR="005650D3" w:rsidRDefault="005650D3" w:rsidP="005650D3">
      <w:pPr>
        <w:pStyle w:val="Prrafodelista"/>
        <w:rPr>
          <w:b/>
          <w:bCs/>
        </w:rPr>
      </w:pPr>
      <w:r>
        <w:rPr>
          <w:noProof/>
        </w:rPr>
        <w:lastRenderedPageBreak/>
        <w:drawing>
          <wp:inline distT="0" distB="0" distL="0" distR="0" wp14:anchorId="4795A3B7" wp14:editId="52B66E8F">
            <wp:extent cx="3247697" cy="238584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3_files/figure-docx/unnamed-chunk-3-1.png"/>
                    <pic:cNvPicPr>
                      <a:picLocks noChangeAspect="1" noChangeArrowheads="1"/>
                    </pic:cNvPicPr>
                  </pic:nvPicPr>
                  <pic:blipFill>
                    <a:blip r:embed="rId18"/>
                    <a:stretch>
                      <a:fillRect/>
                    </a:stretch>
                  </pic:blipFill>
                  <pic:spPr bwMode="auto">
                    <a:xfrm>
                      <a:off x="0" y="0"/>
                      <a:ext cx="3258381" cy="2393697"/>
                    </a:xfrm>
                    <a:prstGeom prst="rect">
                      <a:avLst/>
                    </a:prstGeom>
                    <a:noFill/>
                    <a:ln w="9525">
                      <a:noFill/>
                      <a:headEnd/>
                      <a:tailEnd/>
                    </a:ln>
                  </pic:spPr>
                </pic:pic>
              </a:graphicData>
            </a:graphic>
          </wp:inline>
        </w:drawing>
      </w:r>
    </w:p>
    <w:p w14:paraId="4700AB21" w14:textId="14760352" w:rsidR="005650D3" w:rsidRDefault="005650D3" w:rsidP="005650D3">
      <w:pPr>
        <w:pStyle w:val="Prrafodelista"/>
        <w:numPr>
          <w:ilvl w:val="1"/>
          <w:numId w:val="6"/>
        </w:numPr>
        <w:rPr>
          <w:b/>
          <w:bCs/>
        </w:rPr>
      </w:pPr>
      <w:r>
        <w:rPr>
          <w:b/>
          <w:bCs/>
        </w:rPr>
        <w:t>Dickey Fuller Test</w:t>
      </w:r>
    </w:p>
    <w:p w14:paraId="0E6A1A7D" w14:textId="343604D1" w:rsidR="005650D3" w:rsidRDefault="005650D3" w:rsidP="005650D3">
      <w:pPr>
        <w:pStyle w:val="Prrafodelista"/>
        <w:rPr>
          <w:b/>
          <w:bCs/>
        </w:rPr>
      </w:pPr>
      <w:r w:rsidRPr="005650D3">
        <w:rPr>
          <w:b/>
          <w:bCs/>
          <w:noProof/>
        </w:rPr>
        <w:drawing>
          <wp:inline distT="0" distB="0" distL="0" distR="0" wp14:anchorId="17639414" wp14:editId="2FCA04F4">
            <wp:extent cx="5749158" cy="1281851"/>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605" cy="1285072"/>
                    </a:xfrm>
                    <a:prstGeom prst="rect">
                      <a:avLst/>
                    </a:prstGeom>
                  </pic:spPr>
                </pic:pic>
              </a:graphicData>
            </a:graphic>
          </wp:inline>
        </w:drawing>
      </w:r>
    </w:p>
    <w:p w14:paraId="62D85CBC" w14:textId="296C61C0" w:rsidR="005650D3" w:rsidRDefault="00C43E3E" w:rsidP="005650D3">
      <w:pPr>
        <w:pStyle w:val="Prrafodelista"/>
        <w:numPr>
          <w:ilvl w:val="1"/>
          <w:numId w:val="6"/>
        </w:numPr>
        <w:rPr>
          <w:b/>
          <w:bCs/>
        </w:rPr>
      </w:pPr>
      <w:r>
        <w:rPr>
          <w:b/>
          <w:bCs/>
        </w:rPr>
        <w:t>Shapiro Wilk Normality Test</w:t>
      </w:r>
    </w:p>
    <w:p w14:paraId="3DEED16D" w14:textId="6DD4FFD8" w:rsidR="00C43E3E" w:rsidRDefault="00C43E3E" w:rsidP="00C43E3E">
      <w:pPr>
        <w:pStyle w:val="Prrafodelista"/>
        <w:rPr>
          <w:b/>
          <w:bCs/>
        </w:rPr>
      </w:pPr>
      <w:r w:rsidRPr="00C43E3E">
        <w:rPr>
          <w:b/>
          <w:bCs/>
          <w:noProof/>
        </w:rPr>
        <w:drawing>
          <wp:inline distT="0" distB="0" distL="0" distR="0" wp14:anchorId="1F680319" wp14:editId="4CF83C47">
            <wp:extent cx="6188710" cy="1362710"/>
            <wp:effectExtent l="0" t="0" r="254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362710"/>
                    </a:xfrm>
                    <a:prstGeom prst="rect">
                      <a:avLst/>
                    </a:prstGeom>
                  </pic:spPr>
                </pic:pic>
              </a:graphicData>
            </a:graphic>
          </wp:inline>
        </w:drawing>
      </w:r>
    </w:p>
    <w:p w14:paraId="71FC507A" w14:textId="251FF2D0" w:rsidR="005650D3" w:rsidRDefault="005650D3" w:rsidP="005650D3">
      <w:pPr>
        <w:pStyle w:val="Prrafodelista"/>
        <w:numPr>
          <w:ilvl w:val="1"/>
          <w:numId w:val="6"/>
        </w:numPr>
        <w:rPr>
          <w:b/>
          <w:bCs/>
        </w:rPr>
      </w:pPr>
      <w:r>
        <w:rPr>
          <w:b/>
          <w:bCs/>
        </w:rPr>
        <w:t>S</w:t>
      </w:r>
    </w:p>
    <w:p w14:paraId="6428288D" w14:textId="1C6D75DD" w:rsidR="005650D3" w:rsidRDefault="005650D3" w:rsidP="005650D3">
      <w:pPr>
        <w:pStyle w:val="Prrafodelista"/>
        <w:numPr>
          <w:ilvl w:val="1"/>
          <w:numId w:val="6"/>
        </w:numPr>
        <w:rPr>
          <w:b/>
          <w:bCs/>
        </w:rPr>
      </w:pPr>
      <w:r>
        <w:rPr>
          <w:b/>
          <w:bCs/>
        </w:rPr>
        <w:t>S</w:t>
      </w:r>
    </w:p>
    <w:p w14:paraId="4E16C7BA" w14:textId="77777777" w:rsidR="005650D3" w:rsidRPr="005650D3" w:rsidRDefault="005650D3" w:rsidP="005650D3">
      <w:pPr>
        <w:pStyle w:val="Prrafodelista"/>
        <w:numPr>
          <w:ilvl w:val="1"/>
          <w:numId w:val="6"/>
        </w:numPr>
        <w:rPr>
          <w:b/>
          <w:bCs/>
        </w:rPr>
      </w:pPr>
    </w:p>
    <w:sectPr w:rsidR="005650D3" w:rsidRPr="005650D3" w:rsidSect="0061625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847"/>
    <w:multiLevelType w:val="hybridMultilevel"/>
    <w:tmpl w:val="885EFA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34B8D"/>
    <w:multiLevelType w:val="hybridMultilevel"/>
    <w:tmpl w:val="12A6D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E4392"/>
    <w:multiLevelType w:val="hybridMultilevel"/>
    <w:tmpl w:val="F2927D7E"/>
    <w:lvl w:ilvl="0" w:tplc="FC2EF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A2728"/>
    <w:multiLevelType w:val="hybridMultilevel"/>
    <w:tmpl w:val="35EC1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91C23"/>
    <w:multiLevelType w:val="hybridMultilevel"/>
    <w:tmpl w:val="35EC1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63C7F"/>
    <w:multiLevelType w:val="hybridMultilevel"/>
    <w:tmpl w:val="FB661AC2"/>
    <w:lvl w:ilvl="0" w:tplc="A57272A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E6EF2"/>
    <w:multiLevelType w:val="hybridMultilevel"/>
    <w:tmpl w:val="7970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F1A54"/>
    <w:multiLevelType w:val="hybridMultilevel"/>
    <w:tmpl w:val="A1803E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4E857A8A"/>
    <w:multiLevelType w:val="multilevel"/>
    <w:tmpl w:val="614621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2374AA6"/>
    <w:multiLevelType w:val="hybridMultilevel"/>
    <w:tmpl w:val="7970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0756A"/>
    <w:multiLevelType w:val="hybridMultilevel"/>
    <w:tmpl w:val="5BA663FC"/>
    <w:lvl w:ilvl="0" w:tplc="F8C07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B4086"/>
    <w:multiLevelType w:val="multilevel"/>
    <w:tmpl w:val="0D18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01218"/>
    <w:multiLevelType w:val="hybridMultilevel"/>
    <w:tmpl w:val="A1803E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1"/>
  </w:num>
  <w:num w:numId="2">
    <w:abstractNumId w:val="1"/>
  </w:num>
  <w:num w:numId="3">
    <w:abstractNumId w:val="2"/>
  </w:num>
  <w:num w:numId="4">
    <w:abstractNumId w:val="3"/>
  </w:num>
  <w:num w:numId="5">
    <w:abstractNumId w:val="10"/>
  </w:num>
  <w:num w:numId="6">
    <w:abstractNumId w:val="8"/>
  </w:num>
  <w:num w:numId="7">
    <w:abstractNumId w:val="9"/>
  </w:num>
  <w:num w:numId="8">
    <w:abstractNumId w:val="6"/>
  </w:num>
  <w:num w:numId="9">
    <w:abstractNumId w:val="0"/>
  </w:num>
  <w:num w:numId="10">
    <w:abstractNumId w:val="4"/>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E9"/>
    <w:rsid w:val="004256E9"/>
    <w:rsid w:val="00427163"/>
    <w:rsid w:val="00490D94"/>
    <w:rsid w:val="004A245C"/>
    <w:rsid w:val="004E37BA"/>
    <w:rsid w:val="005650D3"/>
    <w:rsid w:val="0061625B"/>
    <w:rsid w:val="0065489A"/>
    <w:rsid w:val="006F6E15"/>
    <w:rsid w:val="00755C71"/>
    <w:rsid w:val="007B631C"/>
    <w:rsid w:val="008204C8"/>
    <w:rsid w:val="0090195E"/>
    <w:rsid w:val="00A543A8"/>
    <w:rsid w:val="00C43E3E"/>
    <w:rsid w:val="00CF008D"/>
    <w:rsid w:val="00D6680E"/>
    <w:rsid w:val="00DF52B9"/>
    <w:rsid w:val="00E42300"/>
    <w:rsid w:val="00E615C3"/>
    <w:rsid w:val="00F21658"/>
    <w:rsid w:val="00F87DE1"/>
    <w:rsid w:val="00FA155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BC87"/>
  <w15:chartTrackingRefBased/>
  <w15:docId w15:val="{D7DA128B-1605-42AD-B830-657D875E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95E"/>
    <w:rPr>
      <w:lang w:val="en-US"/>
    </w:rPr>
  </w:style>
  <w:style w:type="paragraph" w:styleId="Ttulo2">
    <w:name w:val="heading 2"/>
    <w:basedOn w:val="Normal"/>
    <w:link w:val="Ttulo2Car"/>
    <w:uiPriority w:val="9"/>
    <w:qFormat/>
    <w:rsid w:val="004256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56E9"/>
    <w:rPr>
      <w:rFonts w:ascii="Times New Roman" w:eastAsia="Times New Roman" w:hAnsi="Times New Roman" w:cs="Times New Roman"/>
      <w:b/>
      <w:bCs/>
      <w:kern w:val="0"/>
      <w:sz w:val="36"/>
      <w:szCs w:val="36"/>
      <w:lang w:val="en-US"/>
      <w14:ligatures w14:val="none"/>
    </w:rPr>
  </w:style>
  <w:style w:type="paragraph" w:styleId="NormalWeb">
    <w:name w:val="Normal (Web)"/>
    <w:basedOn w:val="Normal"/>
    <w:uiPriority w:val="99"/>
    <w:semiHidden/>
    <w:unhideWhenUsed/>
    <w:rsid w:val="004256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4256E9"/>
    <w:rPr>
      <w:b/>
      <w:bCs/>
    </w:rPr>
  </w:style>
  <w:style w:type="paragraph" w:styleId="Prrafodelista">
    <w:name w:val="List Paragraph"/>
    <w:basedOn w:val="Normal"/>
    <w:uiPriority w:val="34"/>
    <w:qFormat/>
    <w:rsid w:val="004256E9"/>
    <w:pPr>
      <w:ind w:left="720"/>
      <w:contextualSpacing/>
    </w:pPr>
  </w:style>
  <w:style w:type="table" w:styleId="Tablaconcuadrcula">
    <w:name w:val="Table Grid"/>
    <w:basedOn w:val="Tablanormal"/>
    <w:uiPriority w:val="39"/>
    <w:rsid w:val="00C43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qFormat/>
    <w:rsid w:val="0090195E"/>
    <w:pPr>
      <w:spacing w:before="180" w:after="180" w:line="240" w:lineRule="auto"/>
    </w:pPr>
    <w:rPr>
      <w:kern w:val="0"/>
      <w:sz w:val="24"/>
      <w:szCs w:val="24"/>
      <w14:ligatures w14:val="none"/>
    </w:rPr>
  </w:style>
  <w:style w:type="character" w:customStyle="1" w:styleId="TextoindependienteCar">
    <w:name w:val="Texto independiente Car"/>
    <w:basedOn w:val="Fuentedeprrafopredeter"/>
    <w:link w:val="Textoindependiente"/>
    <w:rsid w:val="0090195E"/>
    <w:rPr>
      <w:kern w:val="0"/>
      <w:sz w:val="24"/>
      <w:szCs w:val="24"/>
      <w:lang w:val="en-US"/>
      <w14:ligatures w14:val="none"/>
    </w:rPr>
  </w:style>
  <w:style w:type="paragraph" w:customStyle="1" w:styleId="FirstParagraph">
    <w:name w:val="First Paragraph"/>
    <w:basedOn w:val="Textoindependiente"/>
    <w:next w:val="Textoindependiente"/>
    <w:qFormat/>
    <w:rsid w:val="0090195E"/>
  </w:style>
  <w:style w:type="character" w:customStyle="1" w:styleId="VerbatimChar">
    <w:name w:val="Verbatim Char"/>
    <w:basedOn w:val="Fuentedeprrafopredeter"/>
    <w:link w:val="SourceCode"/>
    <w:rsid w:val="0090195E"/>
    <w:rPr>
      <w:rFonts w:ascii="Consolas" w:hAnsi="Consolas"/>
      <w:shd w:val="clear" w:color="auto" w:fill="F8F8F8"/>
    </w:rPr>
  </w:style>
  <w:style w:type="paragraph" w:customStyle="1" w:styleId="SourceCode">
    <w:name w:val="Source Code"/>
    <w:basedOn w:val="Normal"/>
    <w:link w:val="VerbatimChar"/>
    <w:rsid w:val="0090195E"/>
    <w:pPr>
      <w:shd w:val="clear" w:color="auto" w:fill="F8F8F8"/>
      <w:wordWrap w:val="0"/>
      <w:spacing w:after="200" w:line="240" w:lineRule="auto"/>
    </w:pPr>
    <w:rPr>
      <w:rFonts w:ascii="Consolas" w:hAnsi="Consolas"/>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9976">
      <w:bodyDiv w:val="1"/>
      <w:marLeft w:val="0"/>
      <w:marRight w:val="0"/>
      <w:marTop w:val="0"/>
      <w:marBottom w:val="0"/>
      <w:divBdr>
        <w:top w:val="none" w:sz="0" w:space="0" w:color="auto"/>
        <w:left w:val="none" w:sz="0" w:space="0" w:color="auto"/>
        <w:bottom w:val="none" w:sz="0" w:space="0" w:color="auto"/>
        <w:right w:val="none" w:sz="0" w:space="0" w:color="auto"/>
      </w:divBdr>
    </w:div>
    <w:div w:id="621226798">
      <w:bodyDiv w:val="1"/>
      <w:marLeft w:val="0"/>
      <w:marRight w:val="0"/>
      <w:marTop w:val="0"/>
      <w:marBottom w:val="0"/>
      <w:divBdr>
        <w:top w:val="none" w:sz="0" w:space="0" w:color="auto"/>
        <w:left w:val="none" w:sz="0" w:space="0" w:color="auto"/>
        <w:bottom w:val="none" w:sz="0" w:space="0" w:color="auto"/>
        <w:right w:val="none" w:sz="0" w:space="0" w:color="auto"/>
      </w:divBdr>
    </w:div>
    <w:div w:id="673648767">
      <w:bodyDiv w:val="1"/>
      <w:marLeft w:val="0"/>
      <w:marRight w:val="0"/>
      <w:marTop w:val="0"/>
      <w:marBottom w:val="0"/>
      <w:divBdr>
        <w:top w:val="none" w:sz="0" w:space="0" w:color="auto"/>
        <w:left w:val="none" w:sz="0" w:space="0" w:color="auto"/>
        <w:bottom w:val="none" w:sz="0" w:space="0" w:color="auto"/>
        <w:right w:val="none" w:sz="0" w:space="0" w:color="auto"/>
      </w:divBdr>
    </w:div>
    <w:div w:id="691954710">
      <w:bodyDiv w:val="1"/>
      <w:marLeft w:val="0"/>
      <w:marRight w:val="0"/>
      <w:marTop w:val="0"/>
      <w:marBottom w:val="0"/>
      <w:divBdr>
        <w:top w:val="none" w:sz="0" w:space="0" w:color="auto"/>
        <w:left w:val="none" w:sz="0" w:space="0" w:color="auto"/>
        <w:bottom w:val="none" w:sz="0" w:space="0" w:color="auto"/>
        <w:right w:val="none" w:sz="0" w:space="0" w:color="auto"/>
      </w:divBdr>
    </w:div>
    <w:div w:id="723218135">
      <w:bodyDiv w:val="1"/>
      <w:marLeft w:val="0"/>
      <w:marRight w:val="0"/>
      <w:marTop w:val="0"/>
      <w:marBottom w:val="0"/>
      <w:divBdr>
        <w:top w:val="none" w:sz="0" w:space="0" w:color="auto"/>
        <w:left w:val="none" w:sz="0" w:space="0" w:color="auto"/>
        <w:bottom w:val="none" w:sz="0" w:space="0" w:color="auto"/>
        <w:right w:val="none" w:sz="0" w:space="0" w:color="auto"/>
      </w:divBdr>
    </w:div>
    <w:div w:id="763301519">
      <w:bodyDiv w:val="1"/>
      <w:marLeft w:val="0"/>
      <w:marRight w:val="0"/>
      <w:marTop w:val="0"/>
      <w:marBottom w:val="0"/>
      <w:divBdr>
        <w:top w:val="none" w:sz="0" w:space="0" w:color="auto"/>
        <w:left w:val="none" w:sz="0" w:space="0" w:color="auto"/>
        <w:bottom w:val="none" w:sz="0" w:space="0" w:color="auto"/>
        <w:right w:val="none" w:sz="0" w:space="0" w:color="auto"/>
      </w:divBdr>
    </w:div>
    <w:div w:id="768083727">
      <w:bodyDiv w:val="1"/>
      <w:marLeft w:val="0"/>
      <w:marRight w:val="0"/>
      <w:marTop w:val="0"/>
      <w:marBottom w:val="0"/>
      <w:divBdr>
        <w:top w:val="none" w:sz="0" w:space="0" w:color="auto"/>
        <w:left w:val="none" w:sz="0" w:space="0" w:color="auto"/>
        <w:bottom w:val="none" w:sz="0" w:space="0" w:color="auto"/>
        <w:right w:val="none" w:sz="0" w:space="0" w:color="auto"/>
      </w:divBdr>
      <w:divsChild>
        <w:div w:id="615068143">
          <w:marLeft w:val="0"/>
          <w:marRight w:val="0"/>
          <w:marTop w:val="0"/>
          <w:marBottom w:val="0"/>
          <w:divBdr>
            <w:top w:val="none" w:sz="0" w:space="0" w:color="auto"/>
            <w:left w:val="none" w:sz="0" w:space="0" w:color="auto"/>
            <w:bottom w:val="none" w:sz="0" w:space="0" w:color="auto"/>
            <w:right w:val="none" w:sz="0" w:space="0" w:color="auto"/>
          </w:divBdr>
          <w:divsChild>
            <w:div w:id="3943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8564">
      <w:bodyDiv w:val="1"/>
      <w:marLeft w:val="0"/>
      <w:marRight w:val="0"/>
      <w:marTop w:val="0"/>
      <w:marBottom w:val="0"/>
      <w:divBdr>
        <w:top w:val="none" w:sz="0" w:space="0" w:color="auto"/>
        <w:left w:val="none" w:sz="0" w:space="0" w:color="auto"/>
        <w:bottom w:val="none" w:sz="0" w:space="0" w:color="auto"/>
        <w:right w:val="none" w:sz="0" w:space="0" w:color="auto"/>
      </w:divBdr>
    </w:div>
    <w:div w:id="1021710346">
      <w:bodyDiv w:val="1"/>
      <w:marLeft w:val="0"/>
      <w:marRight w:val="0"/>
      <w:marTop w:val="0"/>
      <w:marBottom w:val="0"/>
      <w:divBdr>
        <w:top w:val="none" w:sz="0" w:space="0" w:color="auto"/>
        <w:left w:val="none" w:sz="0" w:space="0" w:color="auto"/>
        <w:bottom w:val="none" w:sz="0" w:space="0" w:color="auto"/>
        <w:right w:val="none" w:sz="0" w:space="0" w:color="auto"/>
      </w:divBdr>
    </w:div>
    <w:div w:id="1295867283">
      <w:bodyDiv w:val="1"/>
      <w:marLeft w:val="0"/>
      <w:marRight w:val="0"/>
      <w:marTop w:val="0"/>
      <w:marBottom w:val="0"/>
      <w:divBdr>
        <w:top w:val="none" w:sz="0" w:space="0" w:color="auto"/>
        <w:left w:val="none" w:sz="0" w:space="0" w:color="auto"/>
        <w:bottom w:val="none" w:sz="0" w:space="0" w:color="auto"/>
        <w:right w:val="none" w:sz="0" w:space="0" w:color="auto"/>
      </w:divBdr>
    </w:div>
    <w:div w:id="1443528477">
      <w:bodyDiv w:val="1"/>
      <w:marLeft w:val="0"/>
      <w:marRight w:val="0"/>
      <w:marTop w:val="0"/>
      <w:marBottom w:val="0"/>
      <w:divBdr>
        <w:top w:val="none" w:sz="0" w:space="0" w:color="auto"/>
        <w:left w:val="none" w:sz="0" w:space="0" w:color="auto"/>
        <w:bottom w:val="none" w:sz="0" w:space="0" w:color="auto"/>
        <w:right w:val="none" w:sz="0" w:space="0" w:color="auto"/>
      </w:divBdr>
    </w:div>
    <w:div w:id="2034107390">
      <w:bodyDiv w:val="1"/>
      <w:marLeft w:val="0"/>
      <w:marRight w:val="0"/>
      <w:marTop w:val="0"/>
      <w:marBottom w:val="0"/>
      <w:divBdr>
        <w:top w:val="none" w:sz="0" w:space="0" w:color="auto"/>
        <w:left w:val="none" w:sz="0" w:space="0" w:color="auto"/>
        <w:bottom w:val="none" w:sz="0" w:space="0" w:color="auto"/>
        <w:right w:val="none" w:sz="0" w:space="0" w:color="auto"/>
      </w:divBdr>
    </w:div>
    <w:div w:id="209207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939</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Gandarillas Calderon</dc:creator>
  <cp:keywords/>
  <dc:description/>
  <cp:lastModifiedBy>Mariel Gandarillas Calderon</cp:lastModifiedBy>
  <cp:revision>6</cp:revision>
  <dcterms:created xsi:type="dcterms:W3CDTF">2024-12-03T15:15:00Z</dcterms:created>
  <dcterms:modified xsi:type="dcterms:W3CDTF">2024-12-04T17:06:00Z</dcterms:modified>
</cp:coreProperties>
</file>