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histogram suggests a normal distribution while the QQplot shows some desviations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Fit a t-distribution to the negative log returns using fitdistr().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Use a Ljung-Box procedure to formally test for (temporal) serial dependence in the raw series and</w:t>
      </w:r>
      <w:r w:rsidRPr="00B37909">
        <w:rPr>
          <w:rFonts w:ascii="Calibri" w:eastAsia="Times New Roman" w:hAnsi="Calibri" w:cs="Calibri"/>
          <w:b/>
          <w:bCs/>
          <w:kern w:val="0"/>
          <w:sz w:val="20"/>
          <w:szCs w:val="20"/>
          <w14:ligatures w14:val="none"/>
        </w:rPr>
        <w:t>in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Ljung-Box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series </w:t>
      </w:r>
      <w:r>
        <w:rPr>
          <w:rFonts w:ascii="Calibri" w:eastAsia="Times New Roman" w:hAnsi="Calibri" w:cs="Calibri"/>
          <w:kern w:val="0"/>
          <w:sz w:val="20"/>
          <w:szCs w:val="20"/>
          <w14:ligatures w14:val="none"/>
        </w:rPr>
        <w:t xml:space="preserve"> and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with order (1, 1), using the garchFit() function from the fGarch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The GARCH(1,1)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The GARCH(1,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Ljung-Box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models is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Are the negative log returns of Bitcoin and ETH dependent? Compute the correlation using cor.test()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Is one of the time series good predictor of the second? Assess whether there is any predictive power between the negative log returns of Bitcoin and ETH. You can use grangertest() in the lmtest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We observe an extreme sudden drop in Bitcoin stocks. What should we expect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y examining the scale parameters of the distributions, which indicate the variability of the data, we can observe that the Frechet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Frechet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Frechet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suggesting that Frechet provides the best fit for the data. However, the Gumbel distribution also performs reasonably well, and while the Frechet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gev.diag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mrlplot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yield similar (in the same range) results for the return period of &gt;100mm rain. However, we find widely different results when computing the probability that there will be a day in the next year when the precipitation exceed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subsetted series with appropriatelly chosen threshold (for example, you can use extremalindex function in extRemes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Decluster the data using a suitable threshold. Plot the resulting declustered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Fit a Generalized Pareto Distribution (GPD) to the data, both raw and declustered.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Declustered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2ED965"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w:t>
      </w:r>
    </w:p>
    <w:p w14:paraId="0D4DD03A" w14:textId="77777777" w:rsidR="003D7742" w:rsidRPr="003D7742" w:rsidRDefault="003D7742" w:rsidP="003D7742">
      <w:pPr>
        <w:pStyle w:val="ListParagraph"/>
        <w:numPr>
          <w:ilvl w:val="0"/>
          <w:numId w:val="27"/>
        </w:numPr>
        <w:jc w:val="both"/>
        <w:rPr>
          <w:rFonts w:ascii="Calibri" w:hAnsi="Calibri" w:cs="Calibri"/>
          <w:sz w:val="20"/>
          <w:szCs w:val="20"/>
        </w:rPr>
      </w:pPr>
      <w:r w:rsidRPr="003D7742">
        <w:rPr>
          <w:rFonts w:ascii="Calibri" w:hAnsi="Calibri" w:cs="Calibri"/>
          <w:color w:val="000000"/>
          <w:sz w:val="20"/>
          <w:szCs w:val="20"/>
        </w:rPr>
        <w:t>Which risk management model, based on the POT or GEV method, provides a better understanding of extreme risks to enhance the profitability of a portfolio invested in the NASDAQ Composite Index during the period Nov 2020 – Nov 2024?</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VaR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(VaR)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VaR</w:t>
            </w:r>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VaR</w:t>
            </w:r>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2C775523" w14:textId="77777777" w:rsidR="00035052" w:rsidRPr="007D3F47" w:rsidRDefault="00035052" w:rsidP="00035052">
      <w:pPr>
        <w:pStyle w:val="BodyText"/>
        <w:rPr>
          <w:rFonts w:ascii="Calibri" w:hAnsi="Calibri" w:cs="Calibri"/>
          <w:sz w:val="20"/>
          <w:szCs w:val="20"/>
        </w:rPr>
      </w:pPr>
      <w:r w:rsidRPr="007D3F47">
        <w:rPr>
          <w:rFonts w:ascii="Calibri" w:hAnsi="Calibri" w:cs="Calibri"/>
          <w:sz w:val="20"/>
          <w:szCs w:val="20"/>
        </w:rPr>
        <w:lastRenderedPageBreak/>
        <w:t>The parameter stability plots provided a guidance to select a threshold. Region 2.2 and 2.8 shows stability, making it reliable range for analyzing extreme events.</w:t>
      </w:r>
      <w:r>
        <w:rPr>
          <w:rFonts w:ascii="Calibri" w:hAnsi="Calibri" w:cs="Calibri"/>
          <w:sz w:val="20"/>
          <w:szCs w:val="20"/>
        </w:rPr>
        <w:t xml:space="preserve"> At the end the chosen threshold for stability region was 2.5.</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VaR and ES</w:t>
      </w:r>
    </w:p>
    <w:p w14:paraId="2ABDA6C1" w14:textId="77777777" w:rsidR="008F057A" w:rsidRDefault="009B740C" w:rsidP="009A0A9E">
      <w:pPr>
        <w:rPr>
          <w:rFonts w:ascii="Calibri" w:hAnsi="Calibri" w:cs="Calibri"/>
          <w:sz w:val="20"/>
          <w:szCs w:val="20"/>
        </w:rPr>
      </w:pPr>
      <w:r w:rsidRPr="007D3F47">
        <w:rPr>
          <w:rFonts w:ascii="Calibri" w:hAnsi="Calibri" w:cs="Calibri"/>
          <w:sz w:val="20"/>
          <w:szCs w:val="20"/>
        </w:rPr>
        <w:t>The table compares Value at Risk (VaR)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8F057A" w:rsidRPr="007D3F47" w14:paraId="6D4563AA" w14:textId="77777777" w:rsidTr="0084512C">
        <w:trPr>
          <w:jc w:val="center"/>
        </w:trPr>
        <w:tc>
          <w:tcPr>
            <w:tcW w:w="1689" w:type="dxa"/>
            <w:shd w:val="clear" w:color="auto" w:fill="8EAADB" w:themeFill="accent1" w:themeFillTint="99"/>
          </w:tcPr>
          <w:p w14:paraId="48B311A1" w14:textId="77777777" w:rsidR="008F057A" w:rsidRPr="007D3F47" w:rsidRDefault="008F057A" w:rsidP="0084512C">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18B82D53" w14:textId="77777777" w:rsidR="008F057A" w:rsidRPr="007D3F47" w:rsidRDefault="008F057A" w:rsidP="0084512C">
            <w:pPr>
              <w:rPr>
                <w:rFonts w:ascii="Calibri" w:hAnsi="Calibri" w:cs="Calibri"/>
                <w:b/>
                <w:bCs/>
                <w:sz w:val="20"/>
                <w:szCs w:val="20"/>
              </w:rPr>
            </w:pPr>
            <w:r w:rsidRPr="007D3F47">
              <w:rPr>
                <w:rFonts w:ascii="Calibri" w:hAnsi="Calibri" w:cs="Calibri"/>
                <w:b/>
                <w:bCs/>
                <w:sz w:val="20"/>
                <w:szCs w:val="20"/>
              </w:rPr>
              <w:t>Parametric VaR</w:t>
            </w:r>
          </w:p>
        </w:tc>
        <w:tc>
          <w:tcPr>
            <w:tcW w:w="1638" w:type="dxa"/>
            <w:shd w:val="clear" w:color="auto" w:fill="8EAADB" w:themeFill="accent1" w:themeFillTint="99"/>
          </w:tcPr>
          <w:p w14:paraId="6CAF88D7" w14:textId="77777777" w:rsidR="008F057A" w:rsidRPr="007D3F47" w:rsidRDefault="008F057A" w:rsidP="0084512C">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25218915" w14:textId="77777777" w:rsidR="008F057A" w:rsidRPr="007D3F47" w:rsidRDefault="008F057A" w:rsidP="0084512C">
            <w:pPr>
              <w:rPr>
                <w:rFonts w:ascii="Calibri" w:hAnsi="Calibri" w:cs="Calibri"/>
                <w:b/>
                <w:bCs/>
                <w:sz w:val="20"/>
                <w:szCs w:val="20"/>
              </w:rPr>
            </w:pPr>
            <w:r w:rsidRPr="007D3F47">
              <w:rPr>
                <w:rFonts w:ascii="Calibri" w:hAnsi="Calibri" w:cs="Calibri"/>
                <w:b/>
                <w:bCs/>
                <w:sz w:val="20"/>
                <w:szCs w:val="20"/>
              </w:rPr>
              <w:t>Historical  VaR</w:t>
            </w:r>
          </w:p>
        </w:tc>
        <w:tc>
          <w:tcPr>
            <w:tcW w:w="1387" w:type="dxa"/>
            <w:shd w:val="clear" w:color="auto" w:fill="8EAADB" w:themeFill="accent1" w:themeFillTint="99"/>
          </w:tcPr>
          <w:p w14:paraId="1294B08A" w14:textId="77777777" w:rsidR="008F057A" w:rsidRPr="007D3F47" w:rsidRDefault="008F057A" w:rsidP="0084512C">
            <w:pPr>
              <w:rPr>
                <w:rFonts w:ascii="Calibri" w:hAnsi="Calibri" w:cs="Calibri"/>
                <w:b/>
                <w:bCs/>
                <w:sz w:val="20"/>
                <w:szCs w:val="20"/>
              </w:rPr>
            </w:pPr>
            <w:r w:rsidRPr="007D3F47">
              <w:rPr>
                <w:rFonts w:ascii="Calibri" w:hAnsi="Calibri" w:cs="Calibri"/>
                <w:b/>
                <w:bCs/>
                <w:sz w:val="20"/>
                <w:szCs w:val="20"/>
              </w:rPr>
              <w:t>Historical  ES</w:t>
            </w:r>
          </w:p>
        </w:tc>
      </w:tr>
      <w:tr w:rsidR="008F057A" w:rsidRPr="007D3F47" w14:paraId="451C7D13" w14:textId="77777777" w:rsidTr="0084512C">
        <w:trPr>
          <w:jc w:val="center"/>
        </w:trPr>
        <w:tc>
          <w:tcPr>
            <w:tcW w:w="1689" w:type="dxa"/>
          </w:tcPr>
          <w:p w14:paraId="1A0D602E" w14:textId="77777777" w:rsidR="008F057A" w:rsidRPr="007D3F47" w:rsidRDefault="008F057A" w:rsidP="0084512C">
            <w:pPr>
              <w:jc w:val="center"/>
              <w:rPr>
                <w:rFonts w:ascii="Calibri" w:hAnsi="Calibri" w:cs="Calibri"/>
                <w:sz w:val="20"/>
                <w:szCs w:val="20"/>
              </w:rPr>
            </w:pPr>
            <w:r w:rsidRPr="007D3F47">
              <w:rPr>
                <w:rFonts w:ascii="Calibri" w:hAnsi="Calibri" w:cs="Calibri"/>
                <w:sz w:val="20"/>
                <w:szCs w:val="20"/>
              </w:rPr>
              <w:t>95%</w:t>
            </w:r>
          </w:p>
        </w:tc>
        <w:tc>
          <w:tcPr>
            <w:tcW w:w="1638" w:type="dxa"/>
          </w:tcPr>
          <w:p w14:paraId="0E2F7C16" w14:textId="77777777" w:rsidR="008F057A" w:rsidRPr="00B664AC" w:rsidRDefault="008F057A" w:rsidP="0084512C">
            <w:pPr>
              <w:jc w:val="center"/>
              <w:rPr>
                <w:lang w:val="es-BO"/>
              </w:rPr>
            </w:pPr>
            <w:r>
              <w:t>-2.163317</w:t>
            </w:r>
          </w:p>
        </w:tc>
        <w:tc>
          <w:tcPr>
            <w:tcW w:w="1638" w:type="dxa"/>
          </w:tcPr>
          <w:p w14:paraId="4EB81462" w14:textId="77777777" w:rsidR="008F057A" w:rsidRPr="00A44205" w:rsidRDefault="008F057A" w:rsidP="0084512C">
            <w:pPr>
              <w:jc w:val="center"/>
              <w:rPr>
                <w:rFonts w:cstheme="minorHAnsi"/>
                <w:sz w:val="20"/>
                <w:szCs w:val="20"/>
              </w:rPr>
            </w:pPr>
            <w:r>
              <w:rPr>
                <w:rFonts w:cstheme="minorHAnsi"/>
                <w:sz w:val="20"/>
                <w:szCs w:val="20"/>
              </w:rPr>
              <w:t>-</w:t>
            </w:r>
            <w:r w:rsidRPr="00B664AC">
              <w:rPr>
                <w:rFonts w:cstheme="minorHAnsi"/>
                <w:sz w:val="20"/>
                <w:szCs w:val="20"/>
              </w:rPr>
              <w:t>2.932675</w:t>
            </w:r>
          </w:p>
        </w:tc>
        <w:tc>
          <w:tcPr>
            <w:tcW w:w="1677" w:type="dxa"/>
          </w:tcPr>
          <w:p w14:paraId="06F2DCE1" w14:textId="77777777" w:rsidR="008F057A" w:rsidRPr="00A44205" w:rsidRDefault="008F057A" w:rsidP="0084512C">
            <w:pPr>
              <w:jc w:val="center"/>
              <w:rPr>
                <w:rFonts w:cstheme="minorHAnsi"/>
                <w:sz w:val="20"/>
                <w:szCs w:val="20"/>
              </w:rPr>
            </w:pPr>
            <w:r w:rsidRPr="00B664AC">
              <w:rPr>
                <w:rFonts w:cstheme="minorHAnsi"/>
                <w:sz w:val="20"/>
                <w:szCs w:val="20"/>
              </w:rPr>
              <w:t>-6.175129</w:t>
            </w:r>
          </w:p>
        </w:tc>
        <w:tc>
          <w:tcPr>
            <w:tcW w:w="1387" w:type="dxa"/>
          </w:tcPr>
          <w:p w14:paraId="2E105F15" w14:textId="77777777" w:rsidR="008F057A" w:rsidRPr="00A44205" w:rsidRDefault="008F057A" w:rsidP="0084512C">
            <w:pPr>
              <w:jc w:val="center"/>
              <w:rPr>
                <w:rFonts w:cstheme="minorHAnsi"/>
                <w:sz w:val="20"/>
                <w:szCs w:val="20"/>
              </w:rPr>
            </w:pPr>
            <w:r w:rsidRPr="00B664AC">
              <w:rPr>
                <w:rFonts w:cstheme="minorHAnsi"/>
                <w:sz w:val="20"/>
                <w:szCs w:val="20"/>
              </w:rPr>
              <w:t>-7.221120</w:t>
            </w:r>
          </w:p>
        </w:tc>
      </w:tr>
      <w:tr w:rsidR="008F057A" w:rsidRPr="007D3F47" w14:paraId="636B8B1F" w14:textId="77777777" w:rsidTr="0084512C">
        <w:trPr>
          <w:jc w:val="center"/>
        </w:trPr>
        <w:tc>
          <w:tcPr>
            <w:tcW w:w="1689" w:type="dxa"/>
          </w:tcPr>
          <w:p w14:paraId="70F71093" w14:textId="77777777" w:rsidR="008F057A" w:rsidRPr="007D3F47" w:rsidRDefault="008F057A" w:rsidP="0084512C">
            <w:pPr>
              <w:jc w:val="center"/>
              <w:rPr>
                <w:rFonts w:ascii="Calibri" w:hAnsi="Calibri" w:cs="Calibri"/>
                <w:sz w:val="20"/>
                <w:szCs w:val="20"/>
              </w:rPr>
            </w:pPr>
            <w:r w:rsidRPr="007D3F47">
              <w:rPr>
                <w:rFonts w:ascii="Calibri" w:hAnsi="Calibri" w:cs="Calibri"/>
                <w:sz w:val="20"/>
                <w:szCs w:val="20"/>
              </w:rPr>
              <w:t>99.5%</w:t>
            </w:r>
          </w:p>
        </w:tc>
        <w:tc>
          <w:tcPr>
            <w:tcW w:w="1638" w:type="dxa"/>
          </w:tcPr>
          <w:p w14:paraId="5143CCF7" w14:textId="77777777" w:rsidR="008F057A" w:rsidRPr="00A44205" w:rsidRDefault="008F057A" w:rsidP="0084512C">
            <w:pPr>
              <w:jc w:val="center"/>
              <w:rPr>
                <w:rFonts w:cstheme="minorHAnsi"/>
                <w:sz w:val="20"/>
                <w:szCs w:val="20"/>
              </w:rPr>
            </w:pPr>
            <w:r w:rsidRPr="00B664AC">
              <w:rPr>
                <w:rFonts w:cstheme="minorHAnsi"/>
                <w:sz w:val="20"/>
                <w:szCs w:val="20"/>
              </w:rPr>
              <w:t>-3.963370</w:t>
            </w:r>
          </w:p>
        </w:tc>
        <w:tc>
          <w:tcPr>
            <w:tcW w:w="1638" w:type="dxa"/>
          </w:tcPr>
          <w:p w14:paraId="311AF96C" w14:textId="77777777" w:rsidR="008F057A" w:rsidRPr="00A44205" w:rsidRDefault="008F057A" w:rsidP="0084512C">
            <w:pPr>
              <w:jc w:val="center"/>
              <w:rPr>
                <w:rFonts w:cstheme="minorHAnsi"/>
                <w:sz w:val="20"/>
                <w:szCs w:val="20"/>
              </w:rPr>
            </w:pPr>
            <w:r w:rsidRPr="00B664AC">
              <w:rPr>
                <w:rFonts w:cstheme="minorHAnsi"/>
                <w:sz w:val="20"/>
                <w:szCs w:val="20"/>
              </w:rPr>
              <w:t>-5.163683</w:t>
            </w:r>
          </w:p>
        </w:tc>
        <w:tc>
          <w:tcPr>
            <w:tcW w:w="1677" w:type="dxa"/>
          </w:tcPr>
          <w:p w14:paraId="72DF67F7" w14:textId="77777777" w:rsidR="008F057A" w:rsidRPr="00A44205" w:rsidRDefault="008F057A" w:rsidP="0084512C">
            <w:pPr>
              <w:jc w:val="center"/>
              <w:rPr>
                <w:rFonts w:cstheme="minorHAnsi"/>
                <w:color w:val="000000"/>
                <w:sz w:val="20"/>
                <w:szCs w:val="20"/>
                <w:lang w:val="es-BO"/>
              </w:rPr>
            </w:pPr>
            <w:r w:rsidRPr="00B664AC">
              <w:rPr>
                <w:rFonts w:cstheme="minorHAnsi"/>
                <w:color w:val="000000"/>
                <w:sz w:val="20"/>
                <w:szCs w:val="20"/>
              </w:rPr>
              <w:t>-7.587020</w:t>
            </w:r>
          </w:p>
        </w:tc>
        <w:tc>
          <w:tcPr>
            <w:tcW w:w="1387" w:type="dxa"/>
          </w:tcPr>
          <w:p w14:paraId="7FA476B9" w14:textId="77777777" w:rsidR="008F057A" w:rsidRPr="00A44205" w:rsidRDefault="008F057A" w:rsidP="0084512C">
            <w:pPr>
              <w:jc w:val="center"/>
              <w:rPr>
                <w:rFonts w:cstheme="minorHAnsi"/>
                <w:sz w:val="20"/>
                <w:szCs w:val="20"/>
              </w:rPr>
            </w:pPr>
            <w:r w:rsidRPr="00B664AC">
              <w:rPr>
                <w:rFonts w:cstheme="minorHAnsi"/>
                <w:sz w:val="20"/>
                <w:szCs w:val="20"/>
              </w:rPr>
              <w:t>-7.736473</w:t>
            </w:r>
          </w:p>
        </w:tc>
      </w:tr>
      <w:tr w:rsidR="008F057A" w:rsidRPr="007D3F47" w14:paraId="11024B14" w14:textId="77777777" w:rsidTr="0084512C">
        <w:trPr>
          <w:jc w:val="center"/>
        </w:trPr>
        <w:tc>
          <w:tcPr>
            <w:tcW w:w="1689" w:type="dxa"/>
          </w:tcPr>
          <w:p w14:paraId="2FC4FE1A" w14:textId="77777777" w:rsidR="008F057A" w:rsidRPr="007D3F47" w:rsidRDefault="008F057A" w:rsidP="0084512C">
            <w:pPr>
              <w:jc w:val="center"/>
              <w:rPr>
                <w:rFonts w:ascii="Calibri" w:hAnsi="Calibri" w:cs="Calibri"/>
                <w:sz w:val="20"/>
                <w:szCs w:val="20"/>
              </w:rPr>
            </w:pPr>
            <w:r w:rsidRPr="007D3F47">
              <w:rPr>
                <w:rFonts w:ascii="Calibri" w:hAnsi="Calibri" w:cs="Calibri"/>
                <w:sz w:val="20"/>
                <w:szCs w:val="20"/>
              </w:rPr>
              <w:t>99.9%</w:t>
            </w:r>
          </w:p>
        </w:tc>
        <w:tc>
          <w:tcPr>
            <w:tcW w:w="1638" w:type="dxa"/>
          </w:tcPr>
          <w:p w14:paraId="3354FD1E" w14:textId="77777777" w:rsidR="008F057A" w:rsidRPr="00B664AC" w:rsidRDefault="008F057A" w:rsidP="0084512C">
            <w:pPr>
              <w:jc w:val="center"/>
              <w:rPr>
                <w:lang w:val="es-BO"/>
              </w:rPr>
            </w:pPr>
            <w:r>
              <w:t>-5.791509</w:t>
            </w:r>
          </w:p>
        </w:tc>
        <w:tc>
          <w:tcPr>
            <w:tcW w:w="1638" w:type="dxa"/>
          </w:tcPr>
          <w:p w14:paraId="5E7F4149" w14:textId="77777777" w:rsidR="008F057A" w:rsidRPr="00A44205" w:rsidRDefault="008F057A" w:rsidP="0084512C">
            <w:pPr>
              <w:jc w:val="center"/>
              <w:rPr>
                <w:rFonts w:cstheme="minorHAnsi"/>
                <w:sz w:val="20"/>
                <w:szCs w:val="20"/>
              </w:rPr>
            </w:pPr>
            <w:r w:rsidRPr="00A44205">
              <w:rPr>
                <w:rFonts w:cstheme="minorHAnsi"/>
                <w:sz w:val="20"/>
                <w:szCs w:val="20"/>
              </w:rPr>
              <w:t>-</w:t>
            </w:r>
            <w:r w:rsidRPr="00A44205">
              <w:rPr>
                <w:rFonts w:cstheme="minorHAnsi"/>
                <w:color w:val="000000"/>
                <w:sz w:val="20"/>
                <w:szCs w:val="20"/>
              </w:rPr>
              <w:t xml:space="preserve"> </w:t>
            </w:r>
            <w:r w:rsidRPr="00B664AC">
              <w:rPr>
                <w:rFonts w:cstheme="minorHAnsi"/>
                <w:color w:val="000000"/>
                <w:sz w:val="20"/>
                <w:szCs w:val="20"/>
              </w:rPr>
              <w:t>7.429501</w:t>
            </w:r>
          </w:p>
        </w:tc>
        <w:tc>
          <w:tcPr>
            <w:tcW w:w="1677" w:type="dxa"/>
          </w:tcPr>
          <w:p w14:paraId="52F8821B" w14:textId="77777777" w:rsidR="008F057A" w:rsidRPr="00A44205" w:rsidRDefault="008F057A" w:rsidP="0084512C">
            <w:pPr>
              <w:jc w:val="center"/>
              <w:rPr>
                <w:rFonts w:cstheme="minorHAnsi"/>
                <w:sz w:val="20"/>
                <w:szCs w:val="20"/>
              </w:rPr>
            </w:pPr>
            <w:r w:rsidRPr="00B664AC">
              <w:rPr>
                <w:rFonts w:cstheme="minorHAnsi"/>
                <w:sz w:val="20"/>
                <w:szCs w:val="20"/>
              </w:rPr>
              <w:t>-7.706582</w:t>
            </w:r>
          </w:p>
        </w:tc>
        <w:tc>
          <w:tcPr>
            <w:tcW w:w="1387" w:type="dxa"/>
          </w:tcPr>
          <w:p w14:paraId="22A437ED" w14:textId="77777777" w:rsidR="008F057A" w:rsidRPr="00A44205" w:rsidRDefault="008F057A" w:rsidP="0084512C">
            <w:pPr>
              <w:jc w:val="center"/>
              <w:rPr>
                <w:rFonts w:cstheme="minorHAnsi"/>
                <w:sz w:val="20"/>
                <w:szCs w:val="20"/>
              </w:rPr>
            </w:pPr>
            <w:r w:rsidRPr="00B664AC">
              <w:rPr>
                <w:rFonts w:cstheme="minorHAnsi"/>
                <w:sz w:val="20"/>
                <w:szCs w:val="20"/>
              </w:rPr>
              <w:t>-7.736473</w:t>
            </w:r>
          </w:p>
        </w:tc>
      </w:tr>
    </w:tbl>
    <w:p w14:paraId="311F48D9" w14:textId="77777777" w:rsidR="00035052" w:rsidRPr="00035052" w:rsidRDefault="00035052" w:rsidP="00035052">
      <w:pPr>
        <w:jc w:val="both"/>
        <w:rPr>
          <w:rFonts w:ascii="Calibri" w:hAnsi="Calibri" w:cs="Calibri"/>
          <w:sz w:val="20"/>
          <w:szCs w:val="20"/>
        </w:rPr>
      </w:pPr>
      <w:bookmarkStart w:id="0" w:name="_Hlk185166226"/>
      <w:r w:rsidRPr="00035052">
        <w:rPr>
          <w:rFonts w:ascii="Calibri" w:hAnsi="Calibri" w:cs="Calibri"/>
          <w:sz w:val="20"/>
          <w:szCs w:val="20"/>
        </w:rPr>
        <w:t>The Parametric VaR and ES rely on assumptions of normality, which may underestimate tail risks, as shown in the earlier analysis (non-normal returns). While the Historical VaR and ES do not make these assumptions, instead relying on actual extreme events from the data, leading to more conservative estimates.</w:t>
      </w:r>
    </w:p>
    <w:p w14:paraId="183A7943" w14:textId="77777777" w:rsidR="00035052" w:rsidRPr="00035052" w:rsidRDefault="00035052" w:rsidP="00035052">
      <w:pPr>
        <w:jc w:val="both"/>
        <w:rPr>
          <w:rFonts w:ascii="Calibri" w:hAnsi="Calibri" w:cs="Calibri"/>
          <w:sz w:val="20"/>
          <w:szCs w:val="20"/>
        </w:rPr>
      </w:pPr>
      <w:r w:rsidRPr="00035052">
        <w:rPr>
          <w:rFonts w:ascii="Calibri" w:hAnsi="Calibri" w:cs="Calibri"/>
          <w:sz w:val="20"/>
          <w:szCs w:val="20"/>
        </w:rPr>
        <w:t>The Historical POT approach better captures extreme losses due to its reliance on observed data and focus on the most extreme values. This makes it more suitable for managing tail risks, especially in volatile markets like the NASDAQ Composite. Hence, it is more suitable for risk-averse investors who want to be prepared for worst-case scenarios.</w:t>
      </w:r>
    </w:p>
    <w:bookmarkEnd w:id="0"/>
    <w:p w14:paraId="5F353A4F" w14:textId="1EBCC018" w:rsidR="009A0A9E" w:rsidRPr="009A0A9E" w:rsidRDefault="0041259F"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38D95E3E">
            <wp:simplePos x="0" y="0"/>
            <wp:positionH relativeFrom="margin">
              <wp:posOffset>2853690</wp:posOffset>
            </wp:positionH>
            <wp:positionV relativeFrom="margin">
              <wp:posOffset>4476115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A064CCA"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t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Box-Ljung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1B56FD1A">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readr::read_csv("C:/Users/Marcela/Documents/Documentos/3rd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mutate(Bitcoin = as.numeric(Bitcoin),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as.numeric(Ethereum),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Bitcoin_log_return = log(Bitcoin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Ethereum_log_return = log(Ethereum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mutate(Bitcoin_negative_log_return = -Bitcoin_log_return,</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Ethereum_negative_log_return = -Ethereum_log_return)</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plot(crypto$Bitcoin_log_return,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ylab = "Log Returns")</w:t>
      </w:r>
    </w:p>
    <w:p w14:paraId="0A2DD334"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lines(crypto$Ethereum_log_return, col = "#62A39F")</w:t>
      </w:r>
    </w:p>
    <w:p w14:paraId="3FD519F6" w14:textId="1B0C188E"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legend("topright", legend = c("Bitcoin", "Ethereum"), col = c("#27CED7", "#62A39F"), lty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cor.test()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na.omit(crypto)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sum(is.na(crypto$Bitcoin_negative_log_return))  #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sum(is.na(crypto$Ethereum_negative_log_return))  #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correlation_test &lt;- cor.test(crypto$Bitcoin_negative_log_return, crypto$Ethereum_negative_log_return)</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ccf_result &lt;- ccf(</w:t>
      </w:r>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crypto$Bitcoin_negative_log_return,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crypto$Ethereum_negative_log_return,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lag.max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cex.main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grangertest() in the lmtest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fit_btc &lt;- auto.arima(crypto$Bitcoin_negative_log_return, ic = "aic")</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summary(fit_btc)</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fit_eth &lt;- auto.arima(crypto$Ethereum_negative_log_return, ic = "aic")</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summary(fit_eth)</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granger_test_btc_to_eth &lt;- grangertest(Ethereum_negative_log_return ~ Bitcoin_negative_log_return, order = 2, data = crypto)</w:t>
      </w:r>
    </w:p>
    <w:p w14:paraId="07C0646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granger_test_eth_to_btc &lt;- grangertest(Bitcoin_negative_log_return ~ Ethereum_negative_log_return,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granger_test_btc_to_eth_lag3 &lt;- grangertest(Ethereum_negative_log_return ~ Bitcoin_negative_log_return,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granger_test_eth_to_btc_lag3 &lt;- grangertest(Bitcoin_negative_log_return ~ Ethereum_negative_log_return,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granger_test_btc_to_eth_lag4 &lt;- grangertest(Ethereum_negative_log_return ~ Bitcoin_negative_log_return,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granger_test_eth_to_btc_lag4 &lt;- grangertest(Bitcoin_negative_log_return ~ Ethereum_negative_log_return,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Frechet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72AB99CE">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meplot(-raw_data$Return,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thresholds &lt;- seq(quantile(-raw_data$Return,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quantile(-raw_data$Return,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length.out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xi_values &lt;- numeric(length(thresholds))</w:t>
      </w:r>
    </w:p>
    <w:p w14:paraId="076B75B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beta_values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(i in seq_along(thresholds))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thresholds[i]</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(!is.na(threshold))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gpd(-raw_data$Return,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xi_values[i] &lt;- fit$par.ests["xi"]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beta_values[i] &lt;- fit$par.ests["beta"]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xi_values[i]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beta_values[i]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gpd_params_df &lt;- data.frame(</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xi_values,</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beta_values</w:t>
      </w:r>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par(mfrow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plot(gpd_params_df$Threshold, gpd_params_df$Xi,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  #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xlab = "Threshold", ylab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lwd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plot(gpd_params_df$Threshold, gpd_params_df$Beta,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  #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xlab = "Threshold", ylab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lwd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par(mfrow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u &lt;- 2.5  #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-raw_data$Return[raw_data$Return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gpd_fit &lt;- gpd(-raw_data$Return,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kable(summary(gpd_fit))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xi &lt;- as.numeric(gpd_fit$par.ests["xi"])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beta &lt;- as.numeric(gpd_fit$par.ests["beta"])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length(raw_data$Return)</w:t>
      </w:r>
    </w:p>
    <w:p w14:paraId="0C01C9F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N_exc &lt;- sum(-raw_data$Return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p_levels &lt;- c(0.99,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VaR</w:t>
      </w:r>
    </w:p>
    <w:p w14:paraId="739D5FE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VaR_POT &lt;- sapply(p_levels,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return(-VaR)  #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VaR_POT_df &lt;- data.frame(</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Confidence_Level = p_levels,</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VaR = VaR_POT</w:t>
      </w:r>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kable(print(VaR_POT_df))</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ES_POT &lt;- sapply(1:length(p_levels), function(i)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p_levels[i]</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VaR_p &lt;- -VaR_POT[i]  #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return(-ES)  #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kable(print(VaR_POT_df))</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threshold &lt;- quantile(-raw_data$Return,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cat("Selected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-raw_data$Return[-raw_data$Return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cat("Excesses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#Calculating the VaR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confidence_levels &lt;- c(0.99,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VaR using POT</w:t>
      </w:r>
    </w:p>
    <w:p w14:paraId="53FF3162"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historical_var_pot &lt;- sapply(confidence_levels,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quantile(excesses,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Historical VaR results</w:t>
      </w:r>
    </w:p>
    <w:p w14:paraId="51C98DE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historical_var_pot_df &lt;- data.frame(</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Confidence_Level = paste0(confidence_levels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Historical_VaR_POT = -historical_var_pot  #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historical_es_pot &lt;- sapply(1:length(confidence_levels), function(i)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var_threshold &lt;- historical_var_pot[i] - threshold  #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mean(excesses[excesses &gt;= var_threshold],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Add ES to the DataFrame</w:t>
      </w:r>
    </w:p>
    <w:p w14:paraId="2BFB4C6A" w14:textId="0CB69EE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historical_var_pot_df$Historical_ES_POT &lt;- -historical_es_pot  #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5B3D1B"/>
    <w:multiLevelType w:val="hybridMultilevel"/>
    <w:tmpl w:val="DB3C1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6"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3"/>
  </w:num>
  <w:num w:numId="2" w16cid:durableId="1421297609">
    <w:abstractNumId w:val="2"/>
  </w:num>
  <w:num w:numId="3" w16cid:durableId="779910151">
    <w:abstractNumId w:val="4"/>
  </w:num>
  <w:num w:numId="4" w16cid:durableId="1891186727">
    <w:abstractNumId w:val="7"/>
  </w:num>
  <w:num w:numId="5" w16cid:durableId="1057629699">
    <w:abstractNumId w:val="20"/>
  </w:num>
  <w:num w:numId="6" w16cid:durableId="1106577306">
    <w:abstractNumId w:val="18"/>
  </w:num>
  <w:num w:numId="7" w16cid:durableId="1110322013">
    <w:abstractNumId w:val="19"/>
  </w:num>
  <w:num w:numId="8" w16cid:durableId="1759790381">
    <w:abstractNumId w:val="11"/>
  </w:num>
  <w:num w:numId="9" w16cid:durableId="1114059887">
    <w:abstractNumId w:val="0"/>
  </w:num>
  <w:num w:numId="10" w16cid:durableId="720251936">
    <w:abstractNumId w:val="8"/>
  </w:num>
  <w:num w:numId="11" w16cid:durableId="1560896053">
    <w:abstractNumId w:val="10"/>
  </w:num>
  <w:num w:numId="12" w16cid:durableId="1185171322">
    <w:abstractNumId w:val="16"/>
  </w:num>
  <w:num w:numId="13" w16cid:durableId="696859106">
    <w:abstractNumId w:val="25"/>
  </w:num>
  <w:num w:numId="14" w16cid:durableId="585114672">
    <w:abstractNumId w:val="9"/>
  </w:num>
  <w:num w:numId="15" w16cid:durableId="2075351576">
    <w:abstractNumId w:val="24"/>
  </w:num>
  <w:num w:numId="16" w16cid:durableId="56974756">
    <w:abstractNumId w:val="21"/>
  </w:num>
  <w:num w:numId="17" w16cid:durableId="1894611163">
    <w:abstractNumId w:val="14"/>
  </w:num>
  <w:num w:numId="18" w16cid:durableId="1902935345">
    <w:abstractNumId w:val="22"/>
  </w:num>
  <w:num w:numId="19" w16cid:durableId="1909685755">
    <w:abstractNumId w:val="13"/>
  </w:num>
  <w:num w:numId="20" w16cid:durableId="1594582982">
    <w:abstractNumId w:val="15"/>
  </w:num>
  <w:num w:numId="21" w16cid:durableId="1762330869">
    <w:abstractNumId w:val="26"/>
  </w:num>
  <w:num w:numId="22" w16cid:durableId="1917976867">
    <w:abstractNumId w:val="17"/>
  </w:num>
  <w:num w:numId="23" w16cid:durableId="1933970750">
    <w:abstractNumId w:val="12"/>
  </w:num>
  <w:num w:numId="24" w16cid:durableId="650257090">
    <w:abstractNumId w:val="1"/>
  </w:num>
  <w:num w:numId="25" w16cid:durableId="962227617">
    <w:abstractNumId w:val="3"/>
  </w:num>
  <w:num w:numId="26" w16cid:durableId="2020891247">
    <w:abstractNumId w:val="5"/>
  </w:num>
  <w:num w:numId="27" w16cid:durableId="18589323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35052"/>
    <w:rsid w:val="00055D62"/>
    <w:rsid w:val="00072E10"/>
    <w:rsid w:val="00083E83"/>
    <w:rsid w:val="000B2E59"/>
    <w:rsid w:val="000E76FA"/>
    <w:rsid w:val="00106DD8"/>
    <w:rsid w:val="00130C1A"/>
    <w:rsid w:val="00152425"/>
    <w:rsid w:val="00153B8B"/>
    <w:rsid w:val="001574A8"/>
    <w:rsid w:val="001946C3"/>
    <w:rsid w:val="001A4BF0"/>
    <w:rsid w:val="001F50A8"/>
    <w:rsid w:val="002B5D1E"/>
    <w:rsid w:val="002E1D30"/>
    <w:rsid w:val="002F231A"/>
    <w:rsid w:val="00362162"/>
    <w:rsid w:val="00386C40"/>
    <w:rsid w:val="003A5410"/>
    <w:rsid w:val="003B3529"/>
    <w:rsid w:val="003D7742"/>
    <w:rsid w:val="003F1298"/>
    <w:rsid w:val="0041259F"/>
    <w:rsid w:val="004256E9"/>
    <w:rsid w:val="00427163"/>
    <w:rsid w:val="00434D36"/>
    <w:rsid w:val="00454149"/>
    <w:rsid w:val="00490D94"/>
    <w:rsid w:val="004A245C"/>
    <w:rsid w:val="004E37BA"/>
    <w:rsid w:val="00542B46"/>
    <w:rsid w:val="005650D3"/>
    <w:rsid w:val="0058388E"/>
    <w:rsid w:val="0061625B"/>
    <w:rsid w:val="0065325E"/>
    <w:rsid w:val="0065489A"/>
    <w:rsid w:val="006D4BC0"/>
    <w:rsid w:val="006F6E15"/>
    <w:rsid w:val="007127B8"/>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8F057A"/>
    <w:rsid w:val="0090195E"/>
    <w:rsid w:val="00934A43"/>
    <w:rsid w:val="00944AB4"/>
    <w:rsid w:val="0094770D"/>
    <w:rsid w:val="0098255E"/>
    <w:rsid w:val="009A0A9E"/>
    <w:rsid w:val="009B740C"/>
    <w:rsid w:val="009C285D"/>
    <w:rsid w:val="009D23FE"/>
    <w:rsid w:val="009E6CC5"/>
    <w:rsid w:val="00A02FDF"/>
    <w:rsid w:val="00A4188E"/>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EF74A7"/>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5782</Words>
  <Characters>31807</Characters>
  <Application>Microsoft Office Word</Application>
  <DocSecurity>0</DocSecurity>
  <Lines>265</Lines>
  <Paragraphs>75</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Marcela Choque Quispe</cp:lastModifiedBy>
  <cp:revision>6</cp:revision>
  <cp:lastPrinted>2024-12-16T10:18:00Z</cp:lastPrinted>
  <dcterms:created xsi:type="dcterms:W3CDTF">2024-12-16T10:18:00Z</dcterms:created>
  <dcterms:modified xsi:type="dcterms:W3CDTF">2024-12-16T14:52:00Z</dcterms:modified>
</cp:coreProperties>
</file>