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Ларшина</w:t>
      </w:r>
      <w:r>
        <w:t xml:space="preserve"> </w:t>
      </w:r>
      <w:r>
        <w:t xml:space="preserve">М.А.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графики на одном полотне, отразив фактические и теоретические плотности распределения;</w:t>
      </w:r>
    </w:p>
    <w:p>
      <w:pPr>
        <w:numPr>
          <w:numId w:val="1001"/>
          <w:ilvl w:val="0"/>
        </w:numPr>
      </w:pPr>
      <w:r>
        <w:t xml:space="preserve">Тест Андерсона-Дарлинга на нормальность: таблица со статистикой теста, критическим значением и выводом по каждой переменной;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графическое представление корреляционной матрицы.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2"/>
          <w:ilvl w:val="0"/>
        </w:numPr>
      </w:pPr>
      <w:r>
        <w:rPr>
          <w:i/>
        </w:rPr>
        <w:t xml:space="preserve">Y.Srmonpop.2014</w:t>
      </w:r>
      <w:r>
        <w:t xml:space="preserve"> </w:t>
      </w:r>
      <w:r>
        <w:t xml:space="preserve">– оборот розничной торговли на душу населения.</w:t>
      </w:r>
    </w:p>
    <w:p>
      <w:pPr>
        <w:numPr>
          <w:numId w:val="1002"/>
          <w:ilvl w:val="0"/>
        </w:numPr>
      </w:pPr>
      <w:r>
        <w:rPr>
          <w:i/>
        </w:rPr>
        <w:t xml:space="preserve">VRPpop.2014</w:t>
      </w:r>
      <w:r>
        <w:t xml:space="preserve"> </w:t>
      </w:r>
      <w:r>
        <w:t xml:space="preserve">– число малых предприятий на 10000 человек населения.</w:t>
      </w:r>
    </w:p>
    <w:p>
      <w:pPr>
        <w:numPr>
          <w:numId w:val="1002"/>
          <w:ilvl w:val="0"/>
        </w:numPr>
      </w:pPr>
      <w:r>
        <w:rPr>
          <w:i/>
        </w:rPr>
        <w:t xml:space="preserve">ORTpop.2014</w:t>
      </w:r>
      <w:r>
        <w:t xml:space="preserve"> </w:t>
      </w:r>
      <w:r>
        <w:t xml:space="preserve">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2"/>
          <w:ilvl w:val="0"/>
        </w:numPr>
      </w:pPr>
      <w:r>
        <w:rPr>
          <w:i/>
        </w:rPr>
        <w:t xml:space="preserve">RKBSsocial.2013</w:t>
      </w:r>
      <w:r>
        <w:t xml:space="preserve"> </w:t>
      </w:r>
      <w:r>
        <w:t xml:space="preserve">– расходы консолидированных бюджетов субъектов Российской Федерации: всего.</w:t>
      </w:r>
      <w:r>
        <w:br/>
      </w:r>
    </w:p>
    <w:p>
      <w:pPr>
        <w:numPr>
          <w:numId w:val="1002"/>
          <w:ilvl w:val="0"/>
        </w:numPr>
      </w:pPr>
      <w:r>
        <w:rPr>
          <w:i/>
        </w:rPr>
        <w:t xml:space="preserve">NumSmEnt.2014</w:t>
      </w:r>
      <w:r>
        <w:t xml:space="preserve"> </w:t>
      </w:r>
      <w:r>
        <w:t xml:space="preserve">– реальные денежные доходы населения.</w:t>
      </w:r>
    </w:p>
    <w:p>
      <w:pPr>
        <w:pStyle w:val="Heading2"/>
      </w:pPr>
      <w:bookmarkStart w:id="22" w:name="импорт-данных"/>
      <w:r>
        <w:t xml:space="preserve">Импорт данных:</w:t>
      </w:r>
      <w:bookmarkEnd w:id="22"/>
    </w:p>
    <w:p>
      <w:pPr>
        <w:pStyle w:val="FirstParagraph"/>
      </w:pPr>
      <w:r>
        <w:t xml:space="preserve">Файл с данными содержит 92 строк и 8 столбцов.</w:t>
      </w:r>
    </w:p>
    <w:p>
      <w:pPr>
        <w:pStyle w:val="SourceCode"/>
      </w:pPr>
      <w:r>
        <w:rPr>
          <w:rStyle w:val="VerbatimChar"/>
        </w:rPr>
        <w:t xml:space="preserve">## Warning in Ops.factor(factor(DF$FO)): '-' not meaningful for factors</w:t>
      </w:r>
    </w:p>
    <w:p>
      <w:pPr>
        <w:pStyle w:val="SourceCode"/>
      </w:pPr>
      <w:r>
        <w:rPr>
          <w:rStyle w:val="VerbatimChar"/>
        </w:rPr>
        <w:t xml:space="preserve">##  [1] NA NA NA NA NA NA NA NA NA NA NA NA NA NA NA NA NA NA NA NA NA NA NA NA NA</w:t>
      </w:r>
      <w:r>
        <w:br/>
      </w:r>
      <w:r>
        <w:rPr>
          <w:rStyle w:val="VerbatimChar"/>
        </w:rPr>
        <w:t xml:space="preserve">## [26] NA NA NA NA NA NA NA NA NA NA NA NA NA NA NA NA NA NA NA NA NA NA NA NA NA</w:t>
      </w:r>
      <w:r>
        <w:br/>
      </w:r>
      <w:r>
        <w:rPr>
          <w:rStyle w:val="VerbatimChar"/>
        </w:rPr>
        <w:t xml:space="preserve">## [51] NA NA NA NA NA NA NA NA NA NA NA NA NA NA NA NA NA NA NA NA NA NA NA NA NA</w:t>
      </w:r>
      <w:r>
        <w:br/>
      </w:r>
      <w:r>
        <w:rPr>
          <w:rStyle w:val="VerbatimChar"/>
        </w:rPr>
        <w:t xml:space="preserve">## [76] NA NA NA NA NA NA NA NA NA NA NA NA NA NA NA NA NA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Y.Srmonpop.2014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VRPpop.2014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ORTpop.2014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RKBSsocial.2013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NumSmEnt.2014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23592.9</w:t>
            </w:r>
          </w:p>
        </w:tc>
        <w:tc>
          <w:p>
            <w:pPr>
              <w:pStyle w:val="Compact"/>
              <w:jc w:val="right"/>
            </w:pPr>
            <w:r>
              <w:t xml:space="preserve">601445.3</w:t>
            </w:r>
          </w:p>
        </w:tc>
        <w:tc>
          <w:p>
            <w:pPr>
              <w:pStyle w:val="Compact"/>
              <w:jc w:val="right"/>
            </w:pPr>
            <w:r>
              <w:t xml:space="preserve">152739.9</w:t>
            </w:r>
          </w:p>
        </w:tc>
        <w:tc>
          <w:p>
            <w:pPr>
              <w:pStyle w:val="Compact"/>
              <w:jc w:val="right"/>
            </w:pPr>
            <w:r>
              <w:t xml:space="preserve">15811.1</w:t>
            </w:r>
          </w:p>
        </w:tc>
        <w:tc>
          <w:p>
            <w:pPr>
              <w:pStyle w:val="Compact"/>
              <w:jc w:val="right"/>
            </w:pPr>
            <w:r>
              <w:t xml:space="preserve">129.1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9862.7</w:t>
            </w:r>
          </w:p>
        </w:tc>
        <w:tc>
          <w:p>
            <w:pPr>
              <w:pStyle w:val="Compact"/>
              <w:jc w:val="right"/>
            </w:pPr>
            <w:r>
              <w:t xml:space="preserve">1224463.6</w:t>
            </w:r>
          </w:p>
        </w:tc>
        <w:tc>
          <w:p>
            <w:pPr>
              <w:pStyle w:val="Compact"/>
              <w:jc w:val="right"/>
            </w:pPr>
            <w:r>
              <w:t xml:space="preserve">46017.7</w:t>
            </w:r>
          </w:p>
        </w:tc>
        <w:tc>
          <w:p>
            <w:pPr>
              <w:pStyle w:val="Compact"/>
              <w:jc w:val="right"/>
            </w:pPr>
            <w:r>
              <w:t xml:space="preserve">28515.6</w:t>
            </w:r>
          </w:p>
        </w:tc>
        <w:tc>
          <w:p>
            <w:pPr>
              <w:pStyle w:val="Compact"/>
              <w:jc w:val="right"/>
            </w:pPr>
            <w:r>
              <w:t xml:space="preserve">55.4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41.8</w:t>
            </w:r>
          </w:p>
        </w:tc>
        <w:tc>
          <w:p>
            <w:pPr>
              <w:pStyle w:val="Compact"/>
              <w:jc w:val="right"/>
            </w:pPr>
            <w:r>
              <w:t xml:space="preserve">203.6</w:t>
            </w:r>
          </w:p>
        </w:tc>
        <w:tc>
          <w:p>
            <w:pPr>
              <w:pStyle w:val="Compact"/>
              <w:jc w:val="right"/>
            </w:pPr>
            <w:r>
              <w:t xml:space="preserve">30.1</w:t>
            </w:r>
          </w:p>
        </w:tc>
        <w:tc>
          <w:p>
            <w:pPr>
              <w:pStyle w:val="Compact"/>
              <w:jc w:val="right"/>
            </w:pPr>
            <w:r>
              <w:t xml:space="preserve">180.4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неоднородны.</w:t>
      </w:r>
    </w:p>
    <w:p>
      <w:pPr>
        <w:pStyle w:val="Heading2"/>
      </w:pPr>
      <w:bookmarkStart w:id="24" w:name="анализ-распределения-данных"/>
      <w:r>
        <w:t xml:space="preserve">Анализ распределения данных</w:t>
      </w:r>
      <w:bookmarkEnd w:id="24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-lab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VRPpop.2014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ORTpop.2014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RKBSsocial.2013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140"/>
      </w:pPr>
      <w:bookmarkStart w:id="26" w:name="section"/>
      <w:bookmarkEnd w:id="26"/>
    </w:p>
    <w:p>
      <w:pPr>
        <w:pStyle w:val="Heading1"/>
      </w:pPr>
      <w:bookmarkStart w:id="27" w:name="тесты-на-нормальность"/>
      <w:r>
        <w:t xml:space="preserve">Тесты на нормальность</w:t>
      </w:r>
      <w:bookmarkEnd w:id="27"/>
    </w:p>
    <w:p>
      <w:pPr>
        <w:pStyle w:val="Heading1"/>
      </w:pPr>
      <w:bookmarkStart w:id="28" w:name="тест-андерсона-дарлинга"/>
      <w:r>
        <w:t xml:space="preserve">Тест Андерсона-Дарлинга</w:t>
      </w:r>
      <w:bookmarkEnd w:id="28"/>
    </w:p>
    <w:tbl>
      <w:tblPr>
        <w:tblStyle w:val="Table"/>
        <w:tblW w:type="pct" w:w="5000.0"/>
        <w:tblLook w:firstRow="1"/>
      </w:tblPr>
      <w:tblGrid>
        <w:gridCol w:w="1646"/>
        <w:gridCol w:w="1411"/>
        <w:gridCol w:w="1097"/>
        <w:gridCol w:w="1097"/>
        <w:gridCol w:w="1411"/>
        <w:gridCol w:w="12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Y.Srmonpop.2014.A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VRPpop.2014.A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ORTpop.2014.A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RKBSsocial.2013.A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NumSmEnt.2014.A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6.5906</w:t>
            </w:r>
          </w:p>
        </w:tc>
        <w:tc>
          <w:p>
            <w:pPr>
              <w:pStyle w:val="Compact"/>
              <w:jc w:val="right"/>
            </w:pPr>
            <w:r>
              <w:t xml:space="preserve">14.1895</w:t>
            </w:r>
          </w:p>
        </w:tc>
        <w:tc>
          <w:p>
            <w:pPr>
              <w:pStyle w:val="Compact"/>
              <w:jc w:val="right"/>
            </w:pPr>
            <w:r>
              <w:t xml:space="preserve">0.8515</w:t>
            </w:r>
          </w:p>
        </w:tc>
        <w:tc>
          <w:p>
            <w:pPr>
              <w:pStyle w:val="Compact"/>
              <w:jc w:val="right"/>
            </w:pPr>
            <w:r>
              <w:t xml:space="preserve">14.1254</w:t>
            </w:r>
          </w:p>
        </w:tc>
        <w:tc>
          <w:p>
            <w:pPr>
              <w:pStyle w:val="Compact"/>
              <w:jc w:val="right"/>
            </w:pPr>
            <w:r>
              <w:t xml:space="preserve">1.8852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Критическое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0.0273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Проверяя гипотезу нормального распределения для переменных на уровне значимости 0.05, мы отвергаем все, так как все p-значения &lt; 0.05</w:t>
      </w:r>
    </w:p>
    <w:p>
      <w:pPr>
        <w:pStyle w:val="Heading1"/>
      </w:pPr>
      <w:bookmarkStart w:id="29" w:name="анализ-линейных-взаимосвязей"/>
      <w:r>
        <w:t xml:space="preserve">Анализ линейных взаимосвязей</w:t>
      </w:r>
      <w:bookmarkEnd w:id="29"/>
    </w:p>
    <w:p>
      <w:pPr>
        <w:pStyle w:val="Heading1"/>
      </w:pPr>
      <w:bookmarkStart w:id="30" w:name="точечные-графики-разброса"/>
      <w:r>
        <w:t xml:space="preserve">Точечные графики разброса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-lab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IPI.2014</w:t>
      </w:r>
      <w:r>
        <w:t xml:space="preserve"> </w:t>
      </w:r>
      <w:r>
        <w:t xml:space="preserve">и остальными показателями. У</w:t>
      </w:r>
      <w:r>
        <w:t xml:space="preserve"> </w:t>
      </w:r>
      <w:r>
        <w:rPr>
          <w:i/>
        </w:rPr>
        <w:t xml:space="preserve">IPI.2014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PIM.2014</w:t>
      </w:r>
      <w:r>
        <w:t xml:space="preserve"> </w:t>
      </w:r>
      <w:r>
        <w:t xml:space="preserve">положительная связь. А с остальными у</w:t>
      </w:r>
      <w:r>
        <w:t xml:space="preserve"> </w:t>
      </w:r>
      <w:r>
        <w:rPr>
          <w:i/>
        </w:rPr>
        <w:t xml:space="preserve">IPI.2014</w:t>
      </w:r>
      <w:r>
        <w:t xml:space="preserve"> </w:t>
      </w:r>
      <w:r>
        <w:t xml:space="preserve">связи нет</w:t>
      </w:r>
    </w:p>
    <w:p>
      <w:pPr>
        <w:pStyle w:val="Heading1"/>
      </w:pPr>
      <w:bookmarkStart w:id="32" w:name="корреляционная-матрица"/>
      <w:r>
        <w:t xml:space="preserve">Корреляционная матрица</w:t>
      </w:r>
      <w:bookmarkEnd w:id="32"/>
    </w:p>
    <w:p>
      <w:pPr>
        <w:pStyle w:val="Heading1"/>
      </w:pPr>
      <w:bookmarkStart w:id="33" w:name="коэффициенты-пирсона-с-р-значениями"/>
      <w:r>
        <w:t xml:space="preserve">коэффициенты Пирсона с Р-значениями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-lab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IPI.2014</w:t>
      </w:r>
      <w:r>
        <w:t xml:space="preserve"> </w:t>
      </w:r>
      <w:r>
        <w:t xml:space="preserve">значима с показателем</w:t>
      </w:r>
      <w:r>
        <w:t xml:space="preserve"> </w:t>
      </w:r>
      <w:r>
        <w:rPr>
          <w:i/>
        </w:rPr>
        <w:t xml:space="preserve">PIM.2013</w:t>
      </w:r>
      <w:r>
        <w:t xml:space="preserve"> </w:t>
      </w:r>
      <w:r>
        <w:t xml:space="preserve">.</w:t>
      </w:r>
    </w:p>
    <w:p>
      <w:pPr>
        <w:pStyle w:val="Heading1"/>
      </w:pPr>
      <w:bookmarkStart w:id="35" w:name="раздел-ii."/>
      <w:r>
        <w:t xml:space="preserve">Раздел II.</w:t>
      </w:r>
      <w:bookmarkEnd w:id="35"/>
    </w:p>
    <w:p>
      <w:pPr>
        <w:pStyle w:val="FirstParagraph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</w:p>
    <w:p>
      <w:pPr>
        <w:pStyle w:val="Heading2"/>
      </w:pPr>
      <w:bookmarkStart w:id="36" w:name="X563f73b0255f7c466c64da1a0434f78d827b940"/>
      <w:r>
        <w:t xml:space="preserve">Описательная статистика логарифмированных данных: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Y.Srmonpop.2014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VRPpop.2014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ORTpop.2014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RKBSsocial.2013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NumSmEnt.2014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10.007</w:t>
            </w:r>
          </w:p>
        </w:tc>
        <w:tc>
          <w:p>
            <w:pPr>
              <w:pStyle w:val="Compact"/>
              <w:jc w:val="right"/>
            </w:pPr>
            <w:r>
              <w:t xml:space="preserve">12.640</w:t>
            </w:r>
          </w:p>
        </w:tc>
        <w:tc>
          <w:p>
            <w:pPr>
              <w:pStyle w:val="Compact"/>
              <w:jc w:val="right"/>
            </w:pPr>
            <w:r>
              <w:t xml:space="preserve">11.890</w:t>
            </w:r>
          </w:p>
        </w:tc>
        <w:tc>
          <w:p>
            <w:pPr>
              <w:pStyle w:val="Compact"/>
              <w:jc w:val="right"/>
            </w:pPr>
            <w:r>
              <w:t xml:space="preserve">9.193</w:t>
            </w:r>
          </w:p>
        </w:tc>
        <w:tc>
          <w:p>
            <w:pPr>
              <w:pStyle w:val="Compact"/>
              <w:jc w:val="right"/>
            </w:pPr>
            <w:r>
              <w:t xml:space="preserve">4.775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3.318</w:t>
            </w:r>
          </w:p>
        </w:tc>
        <w:tc>
          <w:p>
            <w:pPr>
              <w:pStyle w:val="Compact"/>
              <w:jc w:val="right"/>
            </w:pPr>
            <w:r>
              <w:t xml:space="preserve">8.631</w:t>
            </w:r>
          </w:p>
        </w:tc>
        <w:tc>
          <w:p>
            <w:pPr>
              <w:pStyle w:val="Compact"/>
              <w:jc w:val="right"/>
            </w:pPr>
            <w:r>
              <w:t xml:space="preserve">2.675</w:t>
            </w:r>
          </w:p>
        </w:tc>
        <w:tc>
          <w:p>
            <w:pPr>
              <w:pStyle w:val="Compact"/>
              <w:jc w:val="right"/>
            </w:pPr>
            <w:r>
              <w:t xml:space="preserve">9.736</w:t>
            </w:r>
          </w:p>
        </w:tc>
        <w:tc>
          <w:p>
            <w:pPr>
              <w:pStyle w:val="Compact"/>
              <w:jc w:val="right"/>
            </w:pPr>
            <w:r>
              <w:t xml:space="preserve">9.089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считаются однородными, т.к. коэффициенты вариации не превышают 10%.</w:t>
      </w:r>
    </w:p>
    <w:p>
      <w:pPr>
        <w:pStyle w:val="Heading2"/>
      </w:pPr>
      <w:bookmarkStart w:id="37" w:name="анализ-распределения-данных-1"/>
      <w:r>
        <w:t xml:space="preserve">Анализ распределения данных</w:t>
      </w:r>
      <w:bookmarkEnd w:id="37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-lab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t xml:space="preserve">“</w:t>
      </w:r>
      <w:r>
        <w:t xml:space="preserve">ORTpop.2014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Y.Srmonpop.2014</w:t>
      </w:r>
      <w: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39" w:name="Xb46bd7019720a66fd74dc1a7283b7bc1d084adb"/>
      <w:r>
        <w:t xml:space="preserve">Тест Андерсона-Дарлинга на нормальность распределения</w:t>
      </w:r>
      <w:bookmarkEnd w:id="39"/>
    </w:p>
    <w:p>
      <w:pPr>
        <w:pStyle w:val="SourceCode"/>
      </w:pPr>
      <w:r>
        <w:rPr>
          <w:rStyle w:val="VerbatimChar"/>
        </w:rPr>
        <w:t xml:space="preserve">## Y.Srmonpop.2014     VRPpop.2014     ORTpop.2014 RKBSsocial.2013   NumSmEnt.2014 </w:t>
      </w:r>
      <w:r>
        <w:br/>
      </w:r>
      <w:r>
        <w:rPr>
          <w:rStyle w:val="VerbatimChar"/>
        </w:rPr>
        <w:t xml:space="preserve">##           FALSE           FALSE           FALSE           FALSE           FALSE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Y.Srmonpop.2014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2.4951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0.2136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ORTpop.2014</w:t>
            </w:r>
          </w:p>
        </w:tc>
        <w:tc>
          <w:p>
            <w:pPr>
              <w:pStyle w:val="Compact"/>
              <w:jc w:val="right"/>
            </w:pPr>
            <w:r>
              <w:t xml:space="preserve">0.0273</w:t>
            </w:r>
          </w:p>
        </w:tc>
        <w:tc>
          <w:p>
            <w:pPr>
              <w:pStyle w:val="Compact"/>
              <w:jc w:val="right"/>
            </w:pPr>
            <w:r>
              <w:t xml:space="preserve">1.2604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0.4777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NumSmEnt.2014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1.4809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DDFA.2014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DLR.2014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40" w:name="графики-разброса"/>
      <w:r>
        <w:t xml:space="preserve">Графики разброса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-lab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IPI.2014</w:t>
      </w:r>
      <w:r>
        <w:t xml:space="preserve"> </w:t>
      </w:r>
      <w:r>
        <w:t xml:space="preserve">и остальными показателями. У</w:t>
      </w:r>
      <w:r>
        <w:t xml:space="preserve"> </w:t>
      </w:r>
      <w:r>
        <w:rPr>
          <w:i/>
        </w:rPr>
        <w:t xml:space="preserve">IPI.2014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PIM.2014</w:t>
      </w:r>
      <w:r>
        <w:t xml:space="preserve"> </w:t>
      </w:r>
      <w:r>
        <w:t xml:space="preserve">положительная связь. А с остальными у</w:t>
      </w:r>
      <w:r>
        <w:t xml:space="preserve"> </w:t>
      </w:r>
      <w:r>
        <w:rPr>
          <w:i/>
        </w:rPr>
        <w:t xml:space="preserve">IPI.2014</w:t>
      </w:r>
      <w:r>
        <w:t xml:space="preserve"> </w:t>
      </w:r>
      <w:r>
        <w:t xml:space="preserve">связи нет.</w:t>
      </w:r>
    </w:p>
    <w:p>
      <w:pPr>
        <w:pStyle w:val="Heading2"/>
      </w:pPr>
      <w:bookmarkStart w:id="42" w:name="корреляционная-матрица-1"/>
      <w:r>
        <w:t xml:space="preserve">Корреляционная матрица</w:t>
      </w:r>
      <w:bookmarkEnd w:id="4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-lab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IPI.2014</w:t>
      </w:r>
      <w:r>
        <w:t xml:space="preserve"> </w:t>
      </w:r>
      <w:r>
        <w:t xml:space="preserve">значима с показателем</w:t>
      </w:r>
      <w:r>
        <w:t xml:space="preserve"> </w:t>
      </w:r>
      <w:r>
        <w:rPr>
          <w:i/>
        </w:rPr>
        <w:t xml:space="preserve">PIM.2014</w:t>
      </w:r>
      <w:r>
        <w:t xml:space="preserve">, и при этом она стала сильнее.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Ларшина М.А.</dc:creator>
  <cp:keywords/>
  <dcterms:created xsi:type="dcterms:W3CDTF">2020-12-21T12:34:43Z</dcterms:created>
  <dcterms:modified xsi:type="dcterms:W3CDTF">2020-12-21T12:34:43Z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21 12 2020</vt:lpwstr>
  </property>
  <property fmtid="{D5CDD505-2E9C-101B-9397-08002B2CF9AE}" pid="3" name="output">
    <vt:lpwstr>word_document</vt:lpwstr>
  </property>
</Properties>
</file>