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969" w14:textId="77777777" w:rsidR="00243AC8" w:rsidRPr="00876F3D" w:rsidRDefault="00243AC8" w:rsidP="00243AC8">
      <w:pPr>
        <w:spacing w:after="200" w:line="480" w:lineRule="auto"/>
        <w:jc w:val="both"/>
        <w:rPr>
          <w:rFonts w:ascii="Times New Roman" w:eastAsia="Arial" w:hAnsi="Times New Roman"/>
          <w:b/>
          <w:sz w:val="24"/>
          <w:szCs w:val="24"/>
        </w:rPr>
      </w:pPr>
      <w:r w:rsidRPr="00876F3D">
        <w:rPr>
          <w:rFonts w:ascii="Times New Roman" w:eastAsia="Arial" w:hAnsi="Times New Roman"/>
          <w:b/>
          <w:sz w:val="24"/>
          <w:szCs w:val="24"/>
        </w:rPr>
        <w:t>Using eDNA to reveal detrimental predator prey interactions caused by invasive species</w:t>
      </w:r>
    </w:p>
    <w:p w14:paraId="1333B2A5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b/>
          <w:sz w:val="24"/>
          <w:szCs w:val="24"/>
          <w:vertAlign w:val="superscript"/>
          <w:lang w:val="en-GB"/>
        </w:rPr>
      </w:pPr>
      <w:r w:rsidRPr="00CB1A77">
        <w:rPr>
          <w:rFonts w:ascii="Times New Roman" w:hAnsi="Times New Roman"/>
          <w:b/>
          <w:sz w:val="24"/>
          <w:szCs w:val="24"/>
          <w:lang w:val="en-GB"/>
        </w:rPr>
        <w:t>Maria Riaz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1,2,3*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Dan Warren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4,5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Claudia Wittwer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1,2,3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 xml:space="preserve">, </w:t>
      </w:r>
      <w:proofErr w:type="spellStart"/>
      <w:r w:rsidRPr="00CB1A77">
        <w:rPr>
          <w:rFonts w:ascii="Times New Roman" w:hAnsi="Times New Roman"/>
          <w:b/>
          <w:sz w:val="24"/>
          <w:szCs w:val="24"/>
          <w:lang w:val="en-GB"/>
        </w:rPr>
        <w:t>Berardino</w:t>
      </w:r>
      <w:proofErr w:type="spellEnd"/>
      <w:r w:rsidRPr="00CB1A77">
        <w:rPr>
          <w:rFonts w:ascii="Times New Roman" w:hAnsi="Times New Roman"/>
          <w:b/>
          <w:sz w:val="24"/>
          <w:szCs w:val="24"/>
          <w:lang w:val="en-GB"/>
        </w:rPr>
        <w:t xml:space="preserve"> Cocchiararo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Inga Hundertmark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6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Tobias Erik Reiners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1,6</w:t>
      </w:r>
      <w:r w:rsidRPr="00CB1A77">
        <w:rPr>
          <w:rFonts w:ascii="Times New Roman" w:hAnsi="Times New Roman"/>
          <w:b/>
          <w:sz w:val="24"/>
          <w:szCs w:val="24"/>
          <w:vertAlign w:val="subscript"/>
          <w:lang w:val="en-GB"/>
        </w:rPr>
        <w:t xml:space="preserve">, 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Sven Klimpel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2,3,5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Markus Pfenninger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2,5,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7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Imran Khaliq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8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,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9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,1</w:t>
      </w:r>
      <w:r>
        <w:rPr>
          <w:rFonts w:ascii="Times New Roman" w:hAnsi="Times New Roman"/>
          <w:b/>
          <w:sz w:val="24"/>
          <w:szCs w:val="24"/>
          <w:vertAlign w:val="superscript"/>
          <w:lang w:val="en-GB"/>
        </w:rPr>
        <w:t>0</w:t>
      </w:r>
      <w:r w:rsidRPr="00CB1A77">
        <w:rPr>
          <w:rFonts w:ascii="Times New Roman" w:hAnsi="Times New Roman"/>
          <w:b/>
          <w:sz w:val="24"/>
          <w:szCs w:val="24"/>
          <w:lang w:val="en-GB"/>
        </w:rPr>
        <w:t>, Carsten Nowak</w:t>
      </w: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1,2*</w:t>
      </w:r>
    </w:p>
    <w:p w14:paraId="4159177E" w14:textId="77777777" w:rsidR="00343AB4" w:rsidRPr="00CB1A77" w:rsidRDefault="00343AB4" w:rsidP="00343AB4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CB1A77">
        <w:rPr>
          <w:rFonts w:ascii="Times New Roman" w:hAnsi="Times New Roman"/>
          <w:b/>
          <w:sz w:val="24"/>
          <w:szCs w:val="24"/>
          <w:vertAlign w:val="superscript"/>
          <w:lang w:val="en-GB"/>
        </w:rPr>
        <w:t>1</w:t>
      </w:r>
      <w:r w:rsidRPr="00CB1A77">
        <w:rPr>
          <w:rFonts w:ascii="Times New Roman" w:hAnsi="Times New Roman"/>
          <w:sz w:val="24"/>
          <w:szCs w:val="24"/>
          <w:lang w:val="en-GB"/>
        </w:rPr>
        <w:t xml:space="preserve">Conservation Genetics Section, </w:t>
      </w:r>
      <w:proofErr w:type="spellStart"/>
      <w:r w:rsidRPr="00CB1A77">
        <w:rPr>
          <w:rFonts w:ascii="Times New Roman" w:hAnsi="Times New Roman"/>
          <w:sz w:val="24"/>
          <w:szCs w:val="24"/>
          <w:lang w:val="en-GB"/>
        </w:rPr>
        <w:t>Senckenberg</w:t>
      </w:r>
      <w:proofErr w:type="spellEnd"/>
      <w:r w:rsidRPr="00CB1A77">
        <w:rPr>
          <w:rFonts w:ascii="Times New Roman" w:hAnsi="Times New Roman"/>
          <w:sz w:val="24"/>
          <w:szCs w:val="24"/>
          <w:lang w:val="en-GB"/>
        </w:rPr>
        <w:t xml:space="preserve"> Research Institute and Natural History Museum Frankfurt, 63571 </w:t>
      </w:r>
      <w:proofErr w:type="spellStart"/>
      <w:r w:rsidRPr="00CB1A77">
        <w:rPr>
          <w:rFonts w:ascii="Times New Roman" w:hAnsi="Times New Roman"/>
          <w:sz w:val="24"/>
          <w:szCs w:val="24"/>
          <w:lang w:val="en-GB"/>
        </w:rPr>
        <w:t>Gelnhausen</w:t>
      </w:r>
      <w:proofErr w:type="spellEnd"/>
      <w:r w:rsidRPr="00CB1A77">
        <w:rPr>
          <w:rFonts w:ascii="Times New Roman" w:hAnsi="Times New Roman"/>
          <w:sz w:val="24"/>
          <w:szCs w:val="24"/>
          <w:lang w:val="en-GB"/>
        </w:rPr>
        <w:t>, Germany</w:t>
      </w:r>
    </w:p>
    <w:p w14:paraId="11E7156B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CB1A77">
        <w:rPr>
          <w:rFonts w:ascii="Times New Roman" w:hAnsi="Times New Roman"/>
          <w:sz w:val="24"/>
          <w:szCs w:val="24"/>
          <w:vertAlign w:val="superscript"/>
          <w:lang w:val="en-GB"/>
        </w:rPr>
        <w:t>2</w:t>
      </w:r>
      <w:r w:rsidRPr="00CB1A77">
        <w:rPr>
          <w:rFonts w:ascii="Times New Roman" w:hAnsi="Times New Roman"/>
          <w:sz w:val="24"/>
          <w:szCs w:val="24"/>
          <w:lang w:val="en-GB"/>
        </w:rPr>
        <w:t xml:space="preserve">LOEWE Centre for Translational Biodiversity Genomics (LOEWE-TBG), </w:t>
      </w:r>
      <w:proofErr w:type="spellStart"/>
      <w:r w:rsidRPr="00CB1A77">
        <w:rPr>
          <w:rFonts w:ascii="Times New Roman" w:hAnsi="Times New Roman"/>
          <w:sz w:val="24"/>
          <w:szCs w:val="24"/>
          <w:lang w:val="en-GB"/>
        </w:rPr>
        <w:t>Senckenberganlage</w:t>
      </w:r>
      <w:proofErr w:type="spellEnd"/>
      <w:r w:rsidRPr="00CB1A77">
        <w:rPr>
          <w:rFonts w:ascii="Times New Roman" w:hAnsi="Times New Roman"/>
          <w:sz w:val="24"/>
          <w:szCs w:val="24"/>
          <w:lang w:val="en-GB"/>
        </w:rPr>
        <w:t xml:space="preserve"> 25, 60325 Frankfurt am Main, Germany</w:t>
      </w:r>
    </w:p>
    <w:p w14:paraId="692D58C6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b/>
          <w:sz w:val="24"/>
          <w:szCs w:val="24"/>
          <w:vertAlign w:val="superscript"/>
          <w:lang w:val="en-GB"/>
        </w:rPr>
      </w:pPr>
      <w:r w:rsidRPr="00CB1A77">
        <w:rPr>
          <w:rFonts w:ascii="Times New Roman" w:hAnsi="Times New Roman"/>
          <w:sz w:val="24"/>
          <w:szCs w:val="24"/>
          <w:vertAlign w:val="superscript"/>
          <w:lang w:val="en-GB"/>
        </w:rPr>
        <w:t>3</w:t>
      </w:r>
      <w:r w:rsidRPr="00CB1A77">
        <w:rPr>
          <w:rFonts w:ascii="Times New Roman" w:hAnsi="Times New Roman"/>
          <w:sz w:val="24"/>
          <w:szCs w:val="24"/>
          <w:lang w:val="en-GB"/>
        </w:rPr>
        <w:t>Faculty of Biological Sciences, Institute for Ecology, Evolution and Diversity, Goethe University, Max-von-Laue-</w:t>
      </w:r>
      <w:proofErr w:type="spellStart"/>
      <w:r w:rsidRPr="00CB1A77">
        <w:rPr>
          <w:rFonts w:ascii="Times New Roman" w:hAnsi="Times New Roman"/>
          <w:sz w:val="24"/>
          <w:szCs w:val="24"/>
          <w:lang w:val="en-GB"/>
        </w:rPr>
        <w:t>Straße</w:t>
      </w:r>
      <w:proofErr w:type="spellEnd"/>
      <w:r w:rsidRPr="00CB1A77">
        <w:rPr>
          <w:rFonts w:ascii="Times New Roman" w:hAnsi="Times New Roman"/>
          <w:sz w:val="24"/>
          <w:szCs w:val="24"/>
          <w:lang w:val="en-GB"/>
        </w:rPr>
        <w:t xml:space="preserve"> 9, 60438 Frankfurt am Main, Germany</w:t>
      </w:r>
      <w:r w:rsidRPr="00CB1A77" w:rsidDel="001B73B0">
        <w:rPr>
          <w:rFonts w:ascii="Times New Roman" w:hAnsi="Times New Roman"/>
          <w:b/>
          <w:sz w:val="24"/>
          <w:szCs w:val="24"/>
          <w:vertAlign w:val="superscript"/>
          <w:lang w:val="en-GB"/>
        </w:rPr>
        <w:t xml:space="preserve"> </w:t>
      </w:r>
    </w:p>
    <w:p w14:paraId="0BB398E5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CB1A77">
        <w:rPr>
          <w:rFonts w:ascii="Times New Roman" w:hAnsi="Times New Roman"/>
          <w:sz w:val="24"/>
          <w:szCs w:val="24"/>
          <w:vertAlign w:val="superscript"/>
          <w:lang w:val="en-GB"/>
        </w:rPr>
        <w:t>4</w:t>
      </w:r>
      <w:r w:rsidRPr="00CB1A77">
        <w:rPr>
          <w:rFonts w:ascii="Times New Roman" w:hAnsi="Times New Roman"/>
          <w:sz w:val="24"/>
          <w:szCs w:val="24"/>
          <w:lang w:val="en-GB"/>
        </w:rPr>
        <w:t>Biodiversity and Biocomplexity Unit, Okinawa Institute of Science and Technology Graduate University, Okinawa, Japan</w:t>
      </w:r>
    </w:p>
    <w:p w14:paraId="03FD516D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CB1A77">
        <w:rPr>
          <w:rFonts w:ascii="Times New Roman" w:hAnsi="Times New Roman"/>
          <w:sz w:val="24"/>
          <w:szCs w:val="24"/>
          <w:vertAlign w:val="superscript"/>
          <w:lang w:val="de-DE"/>
        </w:rPr>
        <w:t>5</w:t>
      </w:r>
      <w:r w:rsidRPr="00CB1A77">
        <w:rPr>
          <w:rFonts w:ascii="Times New Roman" w:hAnsi="Times New Roman"/>
          <w:sz w:val="24"/>
          <w:szCs w:val="24"/>
          <w:lang w:val="de-DE"/>
        </w:rPr>
        <w:t xml:space="preserve">Senckenberg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Biodiversity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and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Climate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 Research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Centre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 (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BiK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-F),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Senckenberganlage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 25, 60325 Frankfurt am Main, Germany</w:t>
      </w:r>
    </w:p>
    <w:p w14:paraId="282979F9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CB1A77">
        <w:rPr>
          <w:rFonts w:ascii="Times New Roman" w:hAnsi="Times New Roman"/>
          <w:sz w:val="24"/>
          <w:szCs w:val="24"/>
          <w:vertAlign w:val="superscript"/>
          <w:lang w:val="de-DE"/>
        </w:rPr>
        <w:t>6</w:t>
      </w:r>
      <w:r w:rsidRPr="00CB1A77">
        <w:rPr>
          <w:rFonts w:ascii="Times New Roman" w:hAnsi="Times New Roman"/>
          <w:sz w:val="24"/>
          <w:szCs w:val="24"/>
          <w:lang w:val="de-DE"/>
        </w:rPr>
        <w:t xml:space="preserve">Hessische Gesellschaft für Ornithologie und Naturschutz (HGON e. V.),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Lindenstrasse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 5, 61209 </w:t>
      </w:r>
      <w:proofErr w:type="spellStart"/>
      <w:r w:rsidRPr="00CB1A77">
        <w:rPr>
          <w:rFonts w:ascii="Times New Roman" w:hAnsi="Times New Roman"/>
          <w:sz w:val="24"/>
          <w:szCs w:val="24"/>
          <w:lang w:val="de-DE"/>
        </w:rPr>
        <w:t>Echzell</w:t>
      </w:r>
      <w:proofErr w:type="spellEnd"/>
      <w:r w:rsidRPr="00CB1A77">
        <w:rPr>
          <w:rFonts w:ascii="Times New Roman" w:hAnsi="Times New Roman"/>
          <w:sz w:val="24"/>
          <w:szCs w:val="24"/>
          <w:lang w:val="de-DE"/>
        </w:rPr>
        <w:t xml:space="preserve">, Germany </w:t>
      </w:r>
    </w:p>
    <w:p w14:paraId="5A3901D9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vertAlign w:val="superscript"/>
          <w:lang w:val="en-GB"/>
        </w:rPr>
        <w:t>7</w:t>
      </w:r>
      <w:r w:rsidRPr="00CB1A77">
        <w:rPr>
          <w:rFonts w:ascii="Times New Roman" w:hAnsi="Times New Roman"/>
          <w:sz w:val="24"/>
          <w:szCs w:val="24"/>
          <w:lang w:val="en-GB"/>
        </w:rPr>
        <w:t>Institute for Molecular and Organismic Evolution, Johannes Gutenberg University, Johann-Joachim-Becher-</w:t>
      </w:r>
      <w:proofErr w:type="spellStart"/>
      <w:r w:rsidRPr="00CB1A77">
        <w:rPr>
          <w:rFonts w:ascii="Times New Roman" w:hAnsi="Times New Roman"/>
          <w:sz w:val="24"/>
          <w:szCs w:val="24"/>
          <w:lang w:val="en-GB"/>
        </w:rPr>
        <w:t>Weg</w:t>
      </w:r>
      <w:proofErr w:type="spellEnd"/>
      <w:r w:rsidRPr="00CB1A77">
        <w:rPr>
          <w:rFonts w:ascii="Times New Roman" w:hAnsi="Times New Roman"/>
          <w:sz w:val="24"/>
          <w:szCs w:val="24"/>
          <w:lang w:val="en-GB"/>
        </w:rPr>
        <w:t xml:space="preserve"> 7, 55128 Mainz, Germany</w:t>
      </w:r>
    </w:p>
    <w:p w14:paraId="5808CB1B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vertAlign w:val="superscript"/>
          <w:lang w:val="en-GB"/>
        </w:rPr>
        <w:t>8</w:t>
      </w:r>
      <w:r w:rsidRPr="00CB1A77">
        <w:rPr>
          <w:rFonts w:ascii="Times New Roman" w:hAnsi="Times New Roman"/>
          <w:sz w:val="24"/>
          <w:szCs w:val="24"/>
          <w:lang w:val="en-GB"/>
        </w:rPr>
        <w:t xml:space="preserve">Department of Zoology, Ghazi University, </w:t>
      </w:r>
      <w:proofErr w:type="spellStart"/>
      <w:r w:rsidRPr="00CB1A77">
        <w:rPr>
          <w:rFonts w:ascii="Times New Roman" w:hAnsi="Times New Roman"/>
          <w:sz w:val="24"/>
          <w:szCs w:val="24"/>
          <w:lang w:val="en-GB"/>
        </w:rPr>
        <w:t>Dera</w:t>
      </w:r>
      <w:proofErr w:type="spellEnd"/>
      <w:r w:rsidRPr="00CB1A77">
        <w:rPr>
          <w:rFonts w:ascii="Times New Roman" w:hAnsi="Times New Roman"/>
          <w:sz w:val="24"/>
          <w:szCs w:val="24"/>
          <w:lang w:val="en-GB"/>
        </w:rPr>
        <w:t xml:space="preserve"> Ghazi Khan, Pakistan</w:t>
      </w:r>
    </w:p>
    <w:p w14:paraId="6464AC83" w14:textId="77777777" w:rsidR="00343AB4" w:rsidRPr="00CB1A77" w:rsidRDefault="00343AB4" w:rsidP="00343AB4">
      <w:pPr>
        <w:spacing w:line="48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eastAsia="Calibri" w:hAnsi="Times New Roman"/>
          <w:sz w:val="24"/>
          <w:szCs w:val="24"/>
          <w:vertAlign w:val="superscript"/>
        </w:rPr>
        <w:t>9</w:t>
      </w:r>
      <w:r w:rsidRPr="00CB1A77">
        <w:rPr>
          <w:rFonts w:ascii="Times New Roman" w:eastAsia="Calibri" w:hAnsi="Times New Roman"/>
          <w:sz w:val="24"/>
          <w:szCs w:val="24"/>
        </w:rPr>
        <w:t xml:space="preserve">Department of Aquatic Ecology </w:t>
      </w:r>
      <w:proofErr w:type="spellStart"/>
      <w:r w:rsidRPr="00CB1A77">
        <w:rPr>
          <w:rFonts w:ascii="Times New Roman" w:eastAsia="Calibri" w:hAnsi="Times New Roman"/>
          <w:sz w:val="24"/>
          <w:szCs w:val="24"/>
        </w:rPr>
        <w:t>Eawag</w:t>
      </w:r>
      <w:proofErr w:type="spellEnd"/>
      <w:r w:rsidRPr="00CB1A77">
        <w:rPr>
          <w:rFonts w:ascii="Times New Roman" w:eastAsia="Calibri" w:hAnsi="Times New Roman"/>
          <w:sz w:val="24"/>
          <w:szCs w:val="24"/>
        </w:rPr>
        <w:t xml:space="preserve"> (Swiss Federal Institute of Aquatic Science and Technology) </w:t>
      </w:r>
      <w:proofErr w:type="spellStart"/>
      <w:r w:rsidRPr="00CB1A77">
        <w:rPr>
          <w:rFonts w:ascii="Times New Roman" w:eastAsia="Calibri" w:hAnsi="Times New Roman"/>
          <w:sz w:val="24"/>
          <w:szCs w:val="24"/>
        </w:rPr>
        <w:t>Überlandstrasse</w:t>
      </w:r>
      <w:proofErr w:type="spellEnd"/>
      <w:r w:rsidRPr="00CB1A77">
        <w:rPr>
          <w:rFonts w:ascii="Times New Roman" w:eastAsia="Calibri" w:hAnsi="Times New Roman"/>
          <w:sz w:val="24"/>
          <w:szCs w:val="24"/>
        </w:rPr>
        <w:t xml:space="preserve"> 133, 8600 </w:t>
      </w:r>
      <w:proofErr w:type="spellStart"/>
      <w:r w:rsidRPr="00CB1A77">
        <w:rPr>
          <w:rFonts w:ascii="Times New Roman" w:eastAsia="Calibri" w:hAnsi="Times New Roman"/>
          <w:sz w:val="24"/>
          <w:szCs w:val="24"/>
        </w:rPr>
        <w:t>Dübendorf</w:t>
      </w:r>
      <w:proofErr w:type="spellEnd"/>
      <w:r w:rsidRPr="00CB1A77">
        <w:rPr>
          <w:rFonts w:ascii="Times New Roman" w:eastAsia="Calibri" w:hAnsi="Times New Roman"/>
          <w:sz w:val="24"/>
          <w:szCs w:val="24"/>
        </w:rPr>
        <w:t>, Switzerland</w:t>
      </w:r>
      <w:r w:rsidRPr="00CB1A77" w:rsidDel="00A44DD1">
        <w:rPr>
          <w:rFonts w:ascii="Times New Roman" w:hAnsi="Times New Roman"/>
          <w:sz w:val="24"/>
          <w:szCs w:val="24"/>
          <w:vertAlign w:val="superscript"/>
          <w:lang w:val="en-GB"/>
        </w:rPr>
        <w:t xml:space="preserve"> </w:t>
      </w:r>
    </w:p>
    <w:p w14:paraId="053B1867" w14:textId="196C86FA" w:rsidR="00343AB4" w:rsidRDefault="00343AB4" w:rsidP="00343AB4">
      <w:pPr>
        <w:spacing w:line="480" w:lineRule="auto"/>
        <w:jc w:val="both"/>
        <w:rPr>
          <w:rFonts w:ascii="Times New Roman" w:eastAsia="Calibri" w:hAnsi="Times New Roman"/>
          <w:sz w:val="24"/>
          <w:szCs w:val="24"/>
        </w:rPr>
      </w:pPr>
      <w:r w:rsidRPr="00CB1A77">
        <w:rPr>
          <w:rFonts w:ascii="Times New Roman" w:eastAsia="Calibri" w:hAnsi="Times New Roman"/>
          <w:sz w:val="24"/>
          <w:szCs w:val="24"/>
          <w:vertAlign w:val="superscript"/>
        </w:rPr>
        <w:lastRenderedPageBreak/>
        <w:t>1</w:t>
      </w:r>
      <w:r>
        <w:rPr>
          <w:rFonts w:ascii="Times New Roman" w:eastAsia="Calibri" w:hAnsi="Times New Roman"/>
          <w:sz w:val="24"/>
          <w:szCs w:val="24"/>
          <w:vertAlign w:val="superscript"/>
        </w:rPr>
        <w:t>0</w:t>
      </w:r>
      <w:r w:rsidRPr="00CB1A77">
        <w:rPr>
          <w:rFonts w:ascii="Times New Roman" w:eastAsia="Calibri" w:hAnsi="Times New Roman"/>
          <w:sz w:val="24"/>
          <w:szCs w:val="24"/>
        </w:rPr>
        <w:t xml:space="preserve">Swiss Federal Institute for Forest, Snow and Landscape Research (WSL), </w:t>
      </w:r>
      <w:proofErr w:type="spellStart"/>
      <w:r w:rsidRPr="00CB1A77">
        <w:rPr>
          <w:rFonts w:ascii="Times New Roman" w:eastAsia="Calibri" w:hAnsi="Times New Roman"/>
          <w:sz w:val="24"/>
          <w:szCs w:val="24"/>
        </w:rPr>
        <w:t>Flüelastr</w:t>
      </w:r>
      <w:proofErr w:type="spellEnd"/>
      <w:r w:rsidRPr="00CB1A77">
        <w:rPr>
          <w:rFonts w:ascii="Times New Roman" w:eastAsia="Calibri" w:hAnsi="Times New Roman"/>
          <w:sz w:val="24"/>
          <w:szCs w:val="24"/>
        </w:rPr>
        <w:t>. 11, 7260 Davos Dorf, Switzerland</w:t>
      </w:r>
    </w:p>
    <w:p w14:paraId="7382DA64" w14:textId="6B71D762" w:rsidR="00343AB4" w:rsidRDefault="00343AB4" w:rsidP="00343AB4">
      <w:pPr>
        <w:spacing w:line="480" w:lineRule="auto"/>
        <w:jc w:val="both"/>
        <w:rPr>
          <w:rFonts w:ascii="Times New Roman" w:eastAsia="Calibri" w:hAnsi="Times New Roman"/>
          <w:sz w:val="24"/>
          <w:szCs w:val="24"/>
        </w:rPr>
      </w:pPr>
      <w:r w:rsidRPr="00876F3D">
        <w:rPr>
          <w:rFonts w:ascii="Times New Roman" w:hAnsi="Times New Roman"/>
          <w:sz w:val="24"/>
          <w:szCs w:val="24"/>
          <w:lang w:val="en-GB"/>
        </w:rPr>
        <w:t>*Authors to whom correspondence should be addressed:</w:t>
      </w:r>
      <w:r>
        <w:rPr>
          <w:rFonts w:ascii="Times New Roman" w:hAnsi="Times New Roman"/>
          <w:sz w:val="24"/>
          <w:szCs w:val="24"/>
          <w:lang w:val="en-GB"/>
        </w:rPr>
        <w:t xml:space="preserve"> hmmmariariaz@yahoo.com</w:t>
      </w:r>
      <w:r>
        <w:rPr>
          <w:rStyle w:val="Hyperlink"/>
          <w:rFonts w:ascii="Times New Roman" w:hAnsi="Times New Roman"/>
          <w:sz w:val="24"/>
          <w:szCs w:val="24"/>
          <w:lang w:val="en-GB"/>
        </w:rPr>
        <w:t xml:space="preserve"> </w:t>
      </w:r>
      <w:hyperlink r:id="rId4" w:history="1">
        <w:r w:rsidRPr="00876F3D">
          <w:rPr>
            <w:rStyle w:val="Hyperlink"/>
            <w:rFonts w:ascii="Times New Roman" w:hAnsi="Times New Roman"/>
            <w:sz w:val="24"/>
            <w:szCs w:val="24"/>
            <w:lang w:val="en-GB"/>
          </w:rPr>
          <w:t>cnowak@senckenberg.de</w:t>
        </w:r>
      </w:hyperlink>
    </w:p>
    <w:p w14:paraId="576ED619" w14:textId="77777777" w:rsidR="00343AB4" w:rsidRDefault="00343AB4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br w:type="page"/>
      </w:r>
    </w:p>
    <w:p w14:paraId="7837BBDC" w14:textId="77777777" w:rsidR="00343AB4" w:rsidRDefault="00343AB4" w:rsidP="00343AB4">
      <w:pPr>
        <w:spacing w:line="48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627685CD" w14:textId="77777777" w:rsidR="004C0532" w:rsidRDefault="004C0532" w:rsidP="004C053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9F88B4B" w14:textId="70EA2ABD" w:rsidR="00243AC8" w:rsidRPr="004C0532" w:rsidRDefault="004C0532" w:rsidP="004C053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Appendix</w:t>
      </w:r>
      <w:r w:rsidRPr="002C34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3:</w:t>
      </w:r>
      <w:r w:rsidRPr="002C34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2C3490">
        <w:rPr>
          <w:rFonts w:ascii="Times New Roman" w:hAnsi="Times New Roman" w:cs="Times New Roman"/>
          <w:sz w:val="24"/>
          <w:szCs w:val="24"/>
          <w:lang w:val="en-GB"/>
        </w:rPr>
        <w:t>alues of the standard curve parameters obtained for each assay</w:t>
      </w:r>
    </w:p>
    <w:tbl>
      <w:tblPr>
        <w:tblStyle w:val="TableGrid"/>
        <w:tblpPr w:leftFromText="141" w:rightFromText="141" w:vertAnchor="page" w:horzAnchor="margin" w:tblpXSpec="center" w:tblpY="2880"/>
        <w:tblW w:w="11160" w:type="dxa"/>
        <w:tblLook w:val="04A0" w:firstRow="1" w:lastRow="0" w:firstColumn="1" w:lastColumn="0" w:noHBand="0" w:noVBand="1"/>
      </w:tblPr>
      <w:tblGrid>
        <w:gridCol w:w="2430"/>
        <w:gridCol w:w="2880"/>
        <w:gridCol w:w="2070"/>
        <w:gridCol w:w="1890"/>
        <w:gridCol w:w="1890"/>
      </w:tblGrid>
      <w:tr w:rsidR="004C0532" w:rsidRPr="002C3490" w14:paraId="00E3D82D" w14:textId="77777777" w:rsidTr="00485D84">
        <w:tc>
          <w:tcPr>
            <w:tcW w:w="2430" w:type="dxa"/>
          </w:tcPr>
          <w:p w14:paraId="0C99BFA2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Standard curve values</w:t>
            </w:r>
          </w:p>
        </w:tc>
        <w:tc>
          <w:tcPr>
            <w:tcW w:w="2880" w:type="dxa"/>
          </w:tcPr>
          <w:p w14:paraId="01596AAB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>Pseudorasbora</w:t>
            </w:r>
            <w:proofErr w:type="spellEnd"/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parva</w:t>
            </w:r>
          </w:p>
        </w:tc>
        <w:tc>
          <w:tcPr>
            <w:tcW w:w="2070" w:type="dxa"/>
          </w:tcPr>
          <w:p w14:paraId="5E5DDA2A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>Lepomis gibbosus</w:t>
            </w:r>
          </w:p>
        </w:tc>
        <w:tc>
          <w:tcPr>
            <w:tcW w:w="1890" w:type="dxa"/>
          </w:tcPr>
          <w:p w14:paraId="5187785E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Triturus </w:t>
            </w:r>
            <w:proofErr w:type="spellStart"/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>cristatus</w:t>
            </w:r>
            <w:proofErr w:type="spellEnd"/>
          </w:p>
        </w:tc>
        <w:tc>
          <w:tcPr>
            <w:tcW w:w="1890" w:type="dxa"/>
          </w:tcPr>
          <w:p w14:paraId="55217DCC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>Pelobates</w:t>
            </w:r>
            <w:proofErr w:type="spellEnd"/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C3490">
              <w:rPr>
                <w:rFonts w:ascii="Times New Roman" w:hAnsi="Times New Roman" w:cs="Times New Roman"/>
                <w:i/>
                <w:sz w:val="24"/>
                <w:szCs w:val="24"/>
              </w:rPr>
              <w:t>fuscus</w:t>
            </w:r>
            <w:proofErr w:type="spellEnd"/>
          </w:p>
        </w:tc>
      </w:tr>
      <w:tr w:rsidR="004C0532" w:rsidRPr="002C3490" w14:paraId="4A6F79A4" w14:textId="77777777" w:rsidTr="00485D84">
        <w:tc>
          <w:tcPr>
            <w:tcW w:w="2430" w:type="dxa"/>
          </w:tcPr>
          <w:p w14:paraId="3FE8DA63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C34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80" w:type="dxa"/>
          </w:tcPr>
          <w:p w14:paraId="630EEFF7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2070" w:type="dxa"/>
          </w:tcPr>
          <w:p w14:paraId="4F18C087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890" w:type="dxa"/>
          </w:tcPr>
          <w:p w14:paraId="039EE72B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890" w:type="dxa"/>
          </w:tcPr>
          <w:p w14:paraId="02171439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4C0532" w:rsidRPr="002C3490" w14:paraId="448CA382" w14:textId="77777777" w:rsidTr="00485D84">
        <w:tc>
          <w:tcPr>
            <w:tcW w:w="2430" w:type="dxa"/>
          </w:tcPr>
          <w:p w14:paraId="319A657E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</w:tc>
        <w:tc>
          <w:tcPr>
            <w:tcW w:w="2880" w:type="dxa"/>
          </w:tcPr>
          <w:p w14:paraId="0B34663F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-3.5175</w:t>
            </w:r>
          </w:p>
        </w:tc>
        <w:tc>
          <w:tcPr>
            <w:tcW w:w="2070" w:type="dxa"/>
          </w:tcPr>
          <w:p w14:paraId="74433FB2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-3.3618</w:t>
            </w:r>
          </w:p>
        </w:tc>
        <w:tc>
          <w:tcPr>
            <w:tcW w:w="1890" w:type="dxa"/>
          </w:tcPr>
          <w:p w14:paraId="52EF9470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-3.3434</w:t>
            </w:r>
          </w:p>
        </w:tc>
        <w:tc>
          <w:tcPr>
            <w:tcW w:w="1890" w:type="dxa"/>
          </w:tcPr>
          <w:p w14:paraId="4C1E616E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-3.8297</w:t>
            </w:r>
          </w:p>
        </w:tc>
      </w:tr>
      <w:tr w:rsidR="004C0532" w:rsidRPr="002C3490" w14:paraId="6C6E1073" w14:textId="77777777" w:rsidTr="00485D84">
        <w:tc>
          <w:tcPr>
            <w:tcW w:w="2430" w:type="dxa"/>
          </w:tcPr>
          <w:p w14:paraId="6269974E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PCR efficiency</w:t>
            </w:r>
          </w:p>
        </w:tc>
        <w:tc>
          <w:tcPr>
            <w:tcW w:w="2880" w:type="dxa"/>
          </w:tcPr>
          <w:p w14:paraId="07DE6674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2070" w:type="dxa"/>
          </w:tcPr>
          <w:p w14:paraId="7A0D1ED1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1890" w:type="dxa"/>
          </w:tcPr>
          <w:p w14:paraId="64643E58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1890" w:type="dxa"/>
          </w:tcPr>
          <w:p w14:paraId="74B8B113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</w:tr>
      <w:tr w:rsidR="004C0532" w:rsidRPr="002C3490" w14:paraId="3692216D" w14:textId="77777777" w:rsidTr="00485D84">
        <w:tc>
          <w:tcPr>
            <w:tcW w:w="2430" w:type="dxa"/>
          </w:tcPr>
          <w:p w14:paraId="5579F101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Limit of quantification (LOQ)</w:t>
            </w:r>
          </w:p>
        </w:tc>
        <w:tc>
          <w:tcPr>
            <w:tcW w:w="2880" w:type="dxa"/>
          </w:tcPr>
          <w:p w14:paraId="421F9C7D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38.24  Ct</w:t>
            </w:r>
            <w:proofErr w:type="gramEnd"/>
          </w:p>
        </w:tc>
        <w:tc>
          <w:tcPr>
            <w:tcW w:w="2070" w:type="dxa"/>
          </w:tcPr>
          <w:p w14:paraId="51C33B2E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36.73Ct</w:t>
            </w:r>
          </w:p>
        </w:tc>
        <w:tc>
          <w:tcPr>
            <w:tcW w:w="1890" w:type="dxa"/>
          </w:tcPr>
          <w:p w14:paraId="49C23066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37.13Ct</w:t>
            </w:r>
          </w:p>
        </w:tc>
        <w:tc>
          <w:tcPr>
            <w:tcW w:w="1890" w:type="dxa"/>
          </w:tcPr>
          <w:p w14:paraId="39C786FB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36.33Ct</w:t>
            </w:r>
          </w:p>
        </w:tc>
      </w:tr>
      <w:tr w:rsidR="004C0532" w:rsidRPr="002C3490" w14:paraId="2E677E92" w14:textId="77777777" w:rsidTr="00485D84">
        <w:tc>
          <w:tcPr>
            <w:tcW w:w="2430" w:type="dxa"/>
          </w:tcPr>
          <w:p w14:paraId="1F192F10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Limit of detection (LOD)</w:t>
            </w:r>
          </w:p>
        </w:tc>
        <w:tc>
          <w:tcPr>
            <w:tcW w:w="2880" w:type="dxa"/>
          </w:tcPr>
          <w:p w14:paraId="242F31D6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40.54 Ct</w:t>
            </w:r>
          </w:p>
        </w:tc>
        <w:tc>
          <w:tcPr>
            <w:tcW w:w="2070" w:type="dxa"/>
          </w:tcPr>
          <w:p w14:paraId="41979AFC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39.93Ct</w:t>
            </w:r>
          </w:p>
        </w:tc>
        <w:tc>
          <w:tcPr>
            <w:tcW w:w="1890" w:type="dxa"/>
          </w:tcPr>
          <w:p w14:paraId="702190E2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39.76Ct</w:t>
            </w:r>
          </w:p>
        </w:tc>
        <w:tc>
          <w:tcPr>
            <w:tcW w:w="1890" w:type="dxa"/>
          </w:tcPr>
          <w:p w14:paraId="52C0180D" w14:textId="77777777" w:rsidR="004C0532" w:rsidRPr="002C3490" w:rsidRDefault="004C0532" w:rsidP="00485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490">
              <w:rPr>
                <w:rFonts w:ascii="Times New Roman" w:hAnsi="Times New Roman" w:cs="Times New Roman"/>
                <w:sz w:val="24"/>
                <w:szCs w:val="24"/>
              </w:rPr>
              <w:t>38.86Ct</w:t>
            </w:r>
          </w:p>
        </w:tc>
      </w:tr>
    </w:tbl>
    <w:p w14:paraId="778CD2E3" w14:textId="77777777" w:rsidR="004C0532" w:rsidRPr="002C3490" w:rsidRDefault="004C0532" w:rsidP="004C053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Appendix</w:t>
      </w:r>
      <w:r w:rsidRPr="00FE31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Values of the standard curve parameters of </w:t>
      </w:r>
      <w:r w:rsidRPr="00FE3122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E312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 w:rsidRPr="00FE3122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slope of the curve, PCR efficiency, Limit of quantification (LOQ) and Limit of detection (LOD) obtained for each TaqMan based species specific assay. </w:t>
      </w:r>
    </w:p>
    <w:p w14:paraId="20F5FF6B" w14:textId="77777777" w:rsidR="00AA64BF" w:rsidRPr="004C0532" w:rsidRDefault="00AA64BF" w:rsidP="00243AC8">
      <w:pPr>
        <w:jc w:val="both"/>
        <w:rPr>
          <w:lang w:val="en-GB"/>
        </w:rPr>
      </w:pPr>
    </w:p>
    <w:sectPr w:rsidR="00AA64BF" w:rsidRPr="004C053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29"/>
    <w:rsid w:val="000073D9"/>
    <w:rsid w:val="00037675"/>
    <w:rsid w:val="000A1DDC"/>
    <w:rsid w:val="00243AC8"/>
    <w:rsid w:val="00343AB4"/>
    <w:rsid w:val="00456B6B"/>
    <w:rsid w:val="004C0532"/>
    <w:rsid w:val="00547F29"/>
    <w:rsid w:val="00593DB9"/>
    <w:rsid w:val="006C2114"/>
    <w:rsid w:val="006D6C55"/>
    <w:rsid w:val="00740BBE"/>
    <w:rsid w:val="00780E83"/>
    <w:rsid w:val="00823097"/>
    <w:rsid w:val="00A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9334"/>
  <w15:chartTrackingRefBased/>
  <w15:docId w15:val="{46D0A72F-D2DF-4D32-9079-ED49650C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AC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nowak@senckenber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Reiners_admin</dc:creator>
  <cp:keywords/>
  <dc:description/>
  <cp:lastModifiedBy>Imran Khaliq</cp:lastModifiedBy>
  <cp:revision>11</cp:revision>
  <dcterms:created xsi:type="dcterms:W3CDTF">2020-05-07T06:49:00Z</dcterms:created>
  <dcterms:modified xsi:type="dcterms:W3CDTF">2022-02-03T19:21:00Z</dcterms:modified>
</cp:coreProperties>
</file>