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A8BCD" w14:textId="61C5AE36" w:rsidR="00EF270A" w:rsidRDefault="00EF270A" w:rsidP="003B4AC0">
      <w:pPr>
        <w:jc w:val="center"/>
        <w:rPr>
          <w:rFonts w:ascii="Times New Roman" w:hAnsi="Times New Roman" w:cs="Times New Roman"/>
          <w:sz w:val="32"/>
          <w:szCs w:val="32"/>
        </w:rPr>
      </w:pPr>
      <w:r w:rsidRPr="003B4AC0">
        <w:rPr>
          <w:rFonts w:ascii="Times New Roman" w:hAnsi="Times New Roman" w:cs="Times New Roman"/>
          <w:sz w:val="32"/>
          <w:szCs w:val="32"/>
        </w:rPr>
        <w:t>Анализ источников по теме «Компьютерная графика»</w:t>
      </w:r>
    </w:p>
    <w:p w14:paraId="5F871ED2" w14:textId="77777777" w:rsidR="002F3AD4" w:rsidRPr="003B4AC0" w:rsidRDefault="002F3AD4" w:rsidP="003B4AC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472150F" w14:textId="405A60CB" w:rsidR="00EF270A" w:rsidRPr="002F3AD4" w:rsidRDefault="00EF270A" w:rsidP="002F3AD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3AD4">
        <w:rPr>
          <w:rFonts w:ascii="Times New Roman" w:hAnsi="Times New Roman" w:cs="Times New Roman"/>
          <w:sz w:val="28"/>
          <w:szCs w:val="28"/>
        </w:rPr>
        <w:t xml:space="preserve">Компьютерная графика как область знания отличается широтой, объединяя строгую математическую теорию, алгоритмические решения и инструменты, которые прочно вошли в повседневную практику инженеров, дизайнеров и разработчиков. </w:t>
      </w:r>
      <w:r w:rsidR="00605539" w:rsidRPr="002F3AD4">
        <w:rPr>
          <w:rFonts w:ascii="Times New Roman" w:hAnsi="Times New Roman" w:cs="Times New Roman"/>
          <w:sz w:val="28"/>
          <w:szCs w:val="28"/>
        </w:rPr>
        <w:t>При анализе различных источников</w:t>
      </w:r>
      <w:r w:rsidRPr="002F3AD4">
        <w:rPr>
          <w:rFonts w:ascii="Times New Roman" w:hAnsi="Times New Roman" w:cs="Times New Roman"/>
          <w:sz w:val="28"/>
          <w:szCs w:val="28"/>
        </w:rPr>
        <w:t xml:space="preserve">, можно </w:t>
      </w:r>
      <w:r w:rsidR="00605539" w:rsidRPr="002F3AD4">
        <w:rPr>
          <w:rFonts w:ascii="Times New Roman" w:hAnsi="Times New Roman" w:cs="Times New Roman"/>
          <w:sz w:val="28"/>
          <w:szCs w:val="28"/>
        </w:rPr>
        <w:t>заметить</w:t>
      </w:r>
      <w:r w:rsidRPr="002F3AD4">
        <w:rPr>
          <w:rFonts w:ascii="Times New Roman" w:hAnsi="Times New Roman" w:cs="Times New Roman"/>
          <w:sz w:val="28"/>
          <w:szCs w:val="28"/>
        </w:rPr>
        <w:t>, как развиваются и дополняют друг друга различные подходы к этой дисциплине, каждый из которых отвечает на свои специфические вопросы.</w:t>
      </w:r>
    </w:p>
    <w:p w14:paraId="479EB545" w14:textId="77777777" w:rsidR="00EF270A" w:rsidRPr="002F3AD4" w:rsidRDefault="00EF270A" w:rsidP="002F3A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D5B175" w14:textId="5425E01E" w:rsidR="00EF270A" w:rsidRPr="002F3AD4" w:rsidRDefault="00EF270A" w:rsidP="002F3AD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3AD4">
        <w:rPr>
          <w:rFonts w:ascii="Times New Roman" w:hAnsi="Times New Roman" w:cs="Times New Roman"/>
          <w:sz w:val="28"/>
          <w:szCs w:val="28"/>
        </w:rPr>
        <w:t xml:space="preserve">Базисом для любого приложения неизменно служат математические модели и алгоритмы. </w:t>
      </w:r>
      <w:r w:rsidR="00605539" w:rsidRPr="002F3AD4">
        <w:rPr>
          <w:rFonts w:ascii="Times New Roman" w:hAnsi="Times New Roman" w:cs="Times New Roman"/>
          <w:sz w:val="28"/>
          <w:szCs w:val="28"/>
        </w:rPr>
        <w:t>В рамках этого ответвлени</w:t>
      </w:r>
      <w:r w:rsidR="004F6632" w:rsidRPr="002F3AD4">
        <w:rPr>
          <w:rFonts w:ascii="Times New Roman" w:hAnsi="Times New Roman" w:cs="Times New Roman"/>
          <w:sz w:val="28"/>
          <w:szCs w:val="28"/>
        </w:rPr>
        <w:t>и</w:t>
      </w:r>
      <w:r w:rsidRPr="002F3AD4">
        <w:rPr>
          <w:rFonts w:ascii="Times New Roman" w:hAnsi="Times New Roman" w:cs="Times New Roman"/>
          <w:sz w:val="28"/>
          <w:szCs w:val="28"/>
        </w:rPr>
        <w:t xml:space="preserve"> </w:t>
      </w:r>
      <w:r w:rsidR="004F6632" w:rsidRPr="002F3AD4">
        <w:rPr>
          <w:rFonts w:ascii="Times New Roman" w:hAnsi="Times New Roman" w:cs="Times New Roman"/>
          <w:sz w:val="28"/>
          <w:szCs w:val="28"/>
        </w:rPr>
        <w:t>можно</w:t>
      </w:r>
      <w:r w:rsidRPr="002F3AD4">
        <w:rPr>
          <w:rFonts w:ascii="Times New Roman" w:hAnsi="Times New Roman" w:cs="Times New Roman"/>
          <w:sz w:val="28"/>
          <w:szCs w:val="28"/>
        </w:rPr>
        <w:t xml:space="preserve"> выделить два ключевых труда. Учебник А.В. Борескова [1] служит надежным введением, последовательно раскрывая </w:t>
      </w:r>
      <w:r w:rsidR="004F6632" w:rsidRPr="002F3AD4">
        <w:rPr>
          <w:rFonts w:ascii="Times New Roman" w:hAnsi="Times New Roman" w:cs="Times New Roman"/>
          <w:sz w:val="28"/>
          <w:szCs w:val="28"/>
        </w:rPr>
        <w:t>последовательность</w:t>
      </w:r>
      <w:r w:rsidRPr="002F3AD4">
        <w:rPr>
          <w:rFonts w:ascii="Times New Roman" w:hAnsi="Times New Roman" w:cs="Times New Roman"/>
          <w:sz w:val="28"/>
          <w:szCs w:val="28"/>
        </w:rPr>
        <w:t xml:space="preserve"> от базовых преобразований до сложных алгоритмов визуализации. Его ценность </w:t>
      </w:r>
      <w:r w:rsidR="004F6632" w:rsidRPr="002F3AD4">
        <w:rPr>
          <w:rFonts w:ascii="Times New Roman" w:hAnsi="Times New Roman" w:cs="Times New Roman"/>
          <w:sz w:val="28"/>
          <w:szCs w:val="28"/>
        </w:rPr>
        <w:t xml:space="preserve">заключается </w:t>
      </w:r>
      <w:r w:rsidRPr="002F3AD4">
        <w:rPr>
          <w:rFonts w:ascii="Times New Roman" w:hAnsi="Times New Roman" w:cs="Times New Roman"/>
          <w:sz w:val="28"/>
          <w:szCs w:val="28"/>
        </w:rPr>
        <w:t xml:space="preserve">в методичном изложении, сопровождаемом практикумом, что создает прочный фундамент для </w:t>
      </w:r>
      <w:r w:rsidR="004F6632" w:rsidRPr="002F3AD4">
        <w:rPr>
          <w:rFonts w:ascii="Times New Roman" w:hAnsi="Times New Roman" w:cs="Times New Roman"/>
          <w:sz w:val="28"/>
          <w:szCs w:val="28"/>
        </w:rPr>
        <w:t>новичка</w:t>
      </w:r>
      <w:r w:rsidRPr="002F3AD4">
        <w:rPr>
          <w:rFonts w:ascii="Times New Roman" w:hAnsi="Times New Roman" w:cs="Times New Roman"/>
          <w:sz w:val="28"/>
          <w:szCs w:val="28"/>
        </w:rPr>
        <w:t>. Для тех, кто</w:t>
      </w:r>
      <w:r w:rsidR="004F6632" w:rsidRPr="002F3AD4">
        <w:rPr>
          <w:rFonts w:ascii="Times New Roman" w:hAnsi="Times New Roman" w:cs="Times New Roman"/>
          <w:sz w:val="28"/>
          <w:szCs w:val="28"/>
        </w:rPr>
        <w:t xml:space="preserve"> решил</w:t>
      </w:r>
      <w:r w:rsidRPr="002F3AD4">
        <w:rPr>
          <w:rFonts w:ascii="Times New Roman" w:hAnsi="Times New Roman" w:cs="Times New Roman"/>
          <w:sz w:val="28"/>
          <w:szCs w:val="28"/>
        </w:rPr>
        <w:t xml:space="preserve"> углубляется в тему, работа Е.А. Никулина [4] становится логичным продолжением. Ее можно назвать более специализированной: автор детально анализирует математический аппарат, стоящий за синтезом сложных трехмерных сцен, что раскрывает внутреннюю </w:t>
      </w:r>
      <w:r w:rsidR="004F6632" w:rsidRPr="002F3AD4">
        <w:rPr>
          <w:rFonts w:ascii="Times New Roman" w:hAnsi="Times New Roman" w:cs="Times New Roman"/>
          <w:sz w:val="28"/>
          <w:szCs w:val="28"/>
        </w:rPr>
        <w:t>часть</w:t>
      </w:r>
      <w:r w:rsidRPr="002F3AD4">
        <w:rPr>
          <w:rFonts w:ascii="Times New Roman" w:hAnsi="Times New Roman" w:cs="Times New Roman"/>
          <w:sz w:val="28"/>
          <w:szCs w:val="28"/>
        </w:rPr>
        <w:t xml:space="preserve"> графических систем [1, 4]. </w:t>
      </w:r>
    </w:p>
    <w:p w14:paraId="1805CD64" w14:textId="77777777" w:rsidR="00EF270A" w:rsidRPr="002F3AD4" w:rsidRDefault="00EF270A" w:rsidP="002F3A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E27ACD" w14:textId="0A374ED2" w:rsidR="002F3AD4" w:rsidRPr="002F3AD4" w:rsidRDefault="00EF270A" w:rsidP="002F3A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AD4">
        <w:rPr>
          <w:rFonts w:ascii="Times New Roman" w:hAnsi="Times New Roman" w:cs="Times New Roman"/>
          <w:sz w:val="28"/>
          <w:szCs w:val="28"/>
        </w:rPr>
        <w:t>Прикладные аспекты в литературе представлены двумя ярко выраженными векторами</w:t>
      </w:r>
      <w:r w:rsidR="002F3AD4" w:rsidRPr="002F3AD4">
        <w:rPr>
          <w:rFonts w:ascii="Times New Roman" w:hAnsi="Times New Roman" w:cs="Times New Roman"/>
          <w:sz w:val="28"/>
          <w:szCs w:val="28"/>
        </w:rPr>
        <w:t>:</w:t>
      </w:r>
      <w:r w:rsidRPr="002F3AD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5809A2" w14:textId="7625F8D0" w:rsidR="00EF270A" w:rsidRPr="002F3AD4" w:rsidRDefault="00EF270A" w:rsidP="002F3AD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3AD4">
        <w:rPr>
          <w:rFonts w:ascii="Times New Roman" w:hAnsi="Times New Roman" w:cs="Times New Roman"/>
          <w:sz w:val="28"/>
          <w:szCs w:val="28"/>
        </w:rPr>
        <w:t xml:space="preserve">Первый </w:t>
      </w:r>
      <w:r w:rsidR="002F3AD4" w:rsidRPr="002F3AD4">
        <w:rPr>
          <w:rFonts w:ascii="Times New Roman" w:hAnsi="Times New Roman" w:cs="Times New Roman"/>
          <w:sz w:val="28"/>
          <w:szCs w:val="28"/>
        </w:rPr>
        <w:t>–</w:t>
      </w:r>
      <w:r w:rsidRPr="002F3AD4">
        <w:rPr>
          <w:rFonts w:ascii="Times New Roman" w:hAnsi="Times New Roman" w:cs="Times New Roman"/>
          <w:sz w:val="28"/>
          <w:szCs w:val="28"/>
        </w:rPr>
        <w:t xml:space="preserve"> традиционная инженерная графика, пережившая цифровую трансформацию. Учебник А.А. Чекмарева [2] и пособие [5] демонстрируют эту эволюцию, перенося классические нормы черчения и геометрического моделирования в среду САПР. Их главн</w:t>
      </w:r>
      <w:r w:rsidR="002F3AD4" w:rsidRPr="002F3AD4">
        <w:rPr>
          <w:rFonts w:ascii="Times New Roman" w:hAnsi="Times New Roman" w:cs="Times New Roman"/>
          <w:sz w:val="28"/>
          <w:szCs w:val="28"/>
        </w:rPr>
        <w:t>ый фактор –</w:t>
      </w:r>
      <w:r w:rsidRPr="002F3AD4">
        <w:rPr>
          <w:rFonts w:ascii="Times New Roman" w:hAnsi="Times New Roman" w:cs="Times New Roman"/>
          <w:sz w:val="28"/>
          <w:szCs w:val="28"/>
        </w:rPr>
        <w:t xml:space="preserve"> точность, стандартизация и техническая документация. Как отмечает в своей работе А.М. Подорожный </w:t>
      </w:r>
      <w:r w:rsidRPr="002F3AD4">
        <w:rPr>
          <w:rFonts w:ascii="Times New Roman" w:hAnsi="Times New Roman" w:cs="Times New Roman"/>
          <w:sz w:val="28"/>
          <w:szCs w:val="28"/>
        </w:rPr>
        <w:lastRenderedPageBreak/>
        <w:t>[7], именно этот аспект остается критически важным для машиностроения и строительства [2, 5, 7].</w:t>
      </w:r>
    </w:p>
    <w:p w14:paraId="3562B6F5" w14:textId="77777777" w:rsidR="00EF270A" w:rsidRPr="002F3AD4" w:rsidRDefault="00EF270A" w:rsidP="002F3AD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3AD4">
        <w:rPr>
          <w:rFonts w:ascii="Times New Roman" w:hAnsi="Times New Roman" w:cs="Times New Roman"/>
          <w:sz w:val="28"/>
          <w:szCs w:val="28"/>
        </w:rPr>
        <w:t xml:space="preserve">Второй вектор, динамичный и ориентированный на массового пользователя, связан с </w:t>
      </w:r>
      <w:proofErr w:type="spellStart"/>
      <w:r w:rsidRPr="002F3AD4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2F3AD4">
        <w:rPr>
          <w:rFonts w:ascii="Times New Roman" w:hAnsi="Times New Roman" w:cs="Times New Roman"/>
          <w:sz w:val="28"/>
          <w:szCs w:val="28"/>
        </w:rPr>
        <w:t>-средой. Н.П. Васильев [3] рассматривает компьютерную графику не как самоцель, а как инструмент решения задач веб-разработки, будь то интерактивные интерфейсы или визуализация данных прямо в браузере. Пособие Т.И. Немцовой [6] дополняет этот технический взгляд дизайнерской перспективой, интегрируя основы графики с принципами эргономики, композиции и эстетики цифрового продукта. Таким образом, работы [3] и [6] в совокупности дают целостное представление о создании современного веб-контента, где технология и дизайн неразделимы.</w:t>
      </w:r>
    </w:p>
    <w:p w14:paraId="2711A5C7" w14:textId="77777777" w:rsidR="00EF270A" w:rsidRPr="002F3AD4" w:rsidRDefault="00EF270A" w:rsidP="002F3A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147D49" w14:textId="3BFC746D" w:rsidR="00EF270A" w:rsidRPr="002F3AD4" w:rsidRDefault="00EF270A" w:rsidP="002F3AD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3AD4">
        <w:rPr>
          <w:rFonts w:ascii="Times New Roman" w:hAnsi="Times New Roman" w:cs="Times New Roman"/>
          <w:sz w:val="28"/>
          <w:szCs w:val="28"/>
        </w:rPr>
        <w:t xml:space="preserve">Отдельного </w:t>
      </w:r>
      <w:r w:rsidR="002F3AD4" w:rsidRPr="002F3AD4">
        <w:rPr>
          <w:rFonts w:ascii="Times New Roman" w:hAnsi="Times New Roman" w:cs="Times New Roman"/>
          <w:sz w:val="28"/>
          <w:szCs w:val="28"/>
        </w:rPr>
        <w:t>можно выделить источники</w:t>
      </w:r>
      <w:r w:rsidRPr="002F3AD4">
        <w:rPr>
          <w:rFonts w:ascii="Times New Roman" w:hAnsi="Times New Roman" w:cs="Times New Roman"/>
          <w:sz w:val="28"/>
          <w:szCs w:val="28"/>
        </w:rPr>
        <w:t>, основной задачей которых является формирование конкретных навыков. Если А.В. Боресков [1] уже упоминался как автор, удачно сочетающий теорию с практикумом, то учебно-методическое пособие Н.А. Аксёновой [8] делает этот переход своей центральной темой. Оно предлагает структурированные пути освоения конкретных инструментов, будь то графические редакторы или среды программирования. Такие издания выполняют незаменимую функцию, переводя абстрактные алгоритмы из работ [1] и [4] в плоскость работающего кода и готовых визуальных решений [1, 8].</w:t>
      </w:r>
    </w:p>
    <w:p w14:paraId="08172966" w14:textId="77777777" w:rsidR="00EF270A" w:rsidRDefault="00EF270A" w:rsidP="002F3A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FE02BE" w14:textId="77777777" w:rsidR="002F3AD4" w:rsidRDefault="002F3AD4" w:rsidP="002F3A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2A9250" w14:textId="77777777" w:rsidR="002F3AD4" w:rsidRDefault="002F3AD4" w:rsidP="002F3A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E2B59E" w14:textId="77777777" w:rsidR="002F3AD4" w:rsidRDefault="002F3AD4" w:rsidP="002F3A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CDFC81" w14:textId="77777777" w:rsidR="002F3AD4" w:rsidRDefault="002F3AD4" w:rsidP="002F3A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85F85E" w14:textId="77777777" w:rsidR="002F3AD4" w:rsidRPr="002F3AD4" w:rsidRDefault="002F3AD4" w:rsidP="002F3A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05C8A7" w14:textId="23E43C2B" w:rsidR="00EF270A" w:rsidRPr="002F3AD4" w:rsidRDefault="00EF270A" w:rsidP="002F3AD4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F3AD4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Заключение</w:t>
      </w:r>
    </w:p>
    <w:p w14:paraId="64E1818F" w14:textId="2867DE5E" w:rsidR="00F46FBC" w:rsidRPr="002F3AD4" w:rsidRDefault="002F3AD4" w:rsidP="002F3AD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3AD4">
        <w:rPr>
          <w:rFonts w:ascii="Times New Roman" w:hAnsi="Times New Roman" w:cs="Times New Roman"/>
          <w:sz w:val="28"/>
          <w:szCs w:val="28"/>
        </w:rPr>
        <w:t>Анализируемая л</w:t>
      </w:r>
      <w:r w:rsidR="00EF270A" w:rsidRPr="002F3AD4">
        <w:rPr>
          <w:rFonts w:ascii="Times New Roman" w:hAnsi="Times New Roman" w:cs="Times New Roman"/>
          <w:sz w:val="28"/>
          <w:szCs w:val="28"/>
        </w:rPr>
        <w:t>итература</w:t>
      </w:r>
      <w:r w:rsidRPr="002F3AD4">
        <w:rPr>
          <w:rFonts w:ascii="Times New Roman" w:hAnsi="Times New Roman" w:cs="Times New Roman"/>
          <w:sz w:val="28"/>
          <w:szCs w:val="28"/>
        </w:rPr>
        <w:t xml:space="preserve"> по </w:t>
      </w:r>
      <w:r w:rsidR="00EF270A" w:rsidRPr="002F3AD4">
        <w:rPr>
          <w:rFonts w:ascii="Times New Roman" w:hAnsi="Times New Roman" w:cs="Times New Roman"/>
          <w:sz w:val="28"/>
          <w:szCs w:val="28"/>
        </w:rPr>
        <w:t xml:space="preserve">образует полноценный и связный ландшафт знаний. В ней прослеживается четкая логическая траектория: от глубокого изучения фундаментальных алгоритмов и моделей [1, 4] </w:t>
      </w:r>
      <w:r w:rsidRPr="002F3AD4">
        <w:rPr>
          <w:rFonts w:ascii="Times New Roman" w:hAnsi="Times New Roman" w:cs="Times New Roman"/>
          <w:sz w:val="28"/>
          <w:szCs w:val="28"/>
        </w:rPr>
        <w:t>–</w:t>
      </w:r>
      <w:r w:rsidR="00EF270A" w:rsidRPr="002F3AD4">
        <w:rPr>
          <w:rFonts w:ascii="Times New Roman" w:hAnsi="Times New Roman" w:cs="Times New Roman"/>
          <w:sz w:val="28"/>
          <w:szCs w:val="28"/>
        </w:rPr>
        <w:t xml:space="preserve"> к их воплощению в строгих инженерных системах [2, 5, 7] и, с другой стороны, в динамичной сфере веб-технологий и дизайна [3, 6]. Практико-ориентированные издания [1, 8] выступают в этом процессе связующим звеном. Подобная многослойность не только отражает структуру академического курса, но и точно соответствует потребностям индустрии, где специалисту все чаще требуется понимание всей цепочки </w:t>
      </w:r>
      <w:r w:rsidRPr="002F3AD4">
        <w:rPr>
          <w:rFonts w:ascii="Times New Roman" w:hAnsi="Times New Roman" w:cs="Times New Roman"/>
          <w:sz w:val="28"/>
          <w:szCs w:val="28"/>
        </w:rPr>
        <w:t>–</w:t>
      </w:r>
      <w:r w:rsidR="00EF270A" w:rsidRPr="002F3AD4">
        <w:rPr>
          <w:rFonts w:ascii="Times New Roman" w:hAnsi="Times New Roman" w:cs="Times New Roman"/>
          <w:sz w:val="28"/>
          <w:szCs w:val="28"/>
        </w:rPr>
        <w:t xml:space="preserve"> от математической идеи до конечного продукта.</w:t>
      </w:r>
    </w:p>
    <w:p w14:paraId="7CB3CD5D" w14:textId="77777777" w:rsidR="00EF270A" w:rsidRPr="003B4AC0" w:rsidRDefault="00EF270A" w:rsidP="003B4AC0">
      <w:pPr>
        <w:jc w:val="both"/>
        <w:rPr>
          <w:rFonts w:ascii="Times New Roman" w:hAnsi="Times New Roman" w:cs="Times New Roman"/>
        </w:rPr>
      </w:pPr>
    </w:p>
    <w:p w14:paraId="0F4DB466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4C71525C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4362A18E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620F523D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3465F61C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698556DC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4072EA6E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53E0A280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4A0AFC93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698B55E5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286D9EE2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74B1DEC2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4AA8BCF5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4DD030E4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0FAA8D76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6568C5D5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15C5B770" w14:textId="77777777" w:rsidR="00EF270A" w:rsidRDefault="00EF270A" w:rsidP="00EF270A">
      <w:pPr>
        <w:rPr>
          <w:rFonts w:ascii="Times New Roman" w:hAnsi="Times New Roman" w:cs="Times New Roman"/>
        </w:rPr>
      </w:pPr>
    </w:p>
    <w:p w14:paraId="09AA3971" w14:textId="77777777" w:rsidR="002F3AD4" w:rsidRPr="003B4AC0" w:rsidRDefault="002F3AD4" w:rsidP="00EF270A">
      <w:pPr>
        <w:rPr>
          <w:rFonts w:ascii="Times New Roman" w:hAnsi="Times New Roman" w:cs="Times New Roman"/>
        </w:rPr>
      </w:pPr>
    </w:p>
    <w:p w14:paraId="6FF8C760" w14:textId="77777777" w:rsidR="00EF270A" w:rsidRPr="003B4AC0" w:rsidRDefault="00EF270A" w:rsidP="00EF270A">
      <w:pPr>
        <w:rPr>
          <w:rFonts w:ascii="Times New Roman" w:hAnsi="Times New Roman" w:cs="Times New Roman"/>
        </w:rPr>
      </w:pPr>
    </w:p>
    <w:p w14:paraId="26C97CCE" w14:textId="44F71DEC" w:rsidR="00EF270A" w:rsidRPr="002F3AD4" w:rsidRDefault="00EF270A" w:rsidP="002F3AD4">
      <w:pPr>
        <w:pStyle w:val="a3"/>
        <w:ind w:firstLine="426"/>
        <w:rPr>
          <w:rFonts w:ascii="Times New Roman" w:hAnsi="Times New Roman" w:cs="Times New Roman"/>
          <w:b/>
          <w:bCs/>
          <w:sz w:val="32"/>
          <w:szCs w:val="32"/>
        </w:rPr>
      </w:pPr>
      <w:r w:rsidRPr="002F3AD4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Литература</w:t>
      </w:r>
    </w:p>
    <w:p w14:paraId="2396026F" w14:textId="4AD2EE89" w:rsidR="00EF270A" w:rsidRPr="003B4AC0" w:rsidRDefault="00EF270A" w:rsidP="00EF270A">
      <w:pPr>
        <w:pStyle w:val="a7"/>
        <w:numPr>
          <w:ilvl w:val="0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3B4AC0">
        <w:rPr>
          <w:rFonts w:ascii="Times New Roman" w:hAnsi="Times New Roman" w:cs="Times New Roman"/>
          <w:sz w:val="28"/>
          <w:szCs w:val="28"/>
        </w:rPr>
        <w:t xml:space="preserve">Боресков, А. В.  Основы компьютерной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графики 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учебник и практикум для вузов / А. В. Боресков, Е. В. 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Шикин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 xml:space="preserve">. 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Москва 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Издательство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 xml:space="preserve">, 2025. — 219 с. — (Высшее образование). — ISBN 978-5-534-13196-3. 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электронный // Образовательная платформа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 xml:space="preserve"> [сайт]. — URL: </w:t>
      </w:r>
      <w:hyperlink r:id="rId7" w:tgtFrame="_blank" w:history="1">
        <w:r w:rsidRPr="003B4AC0">
          <w:rPr>
            <w:rStyle w:val="ac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https://urait.ru/bcode/560176</w:t>
        </w:r>
      </w:hyperlink>
      <w:r w:rsidRPr="003B4AC0">
        <w:rPr>
          <w:rFonts w:ascii="Times New Roman" w:hAnsi="Times New Roman" w:cs="Times New Roman"/>
          <w:sz w:val="28"/>
          <w:szCs w:val="28"/>
        </w:rPr>
        <w:t xml:space="preserve"> </w:t>
      </w:r>
      <w:r w:rsidRPr="003B4AC0">
        <w:rPr>
          <w:rFonts w:ascii="Times New Roman" w:hAnsi="Times New Roman" w:cs="Times New Roman"/>
          <w:sz w:val="28"/>
          <w:szCs w:val="28"/>
        </w:rPr>
        <w:t>(дата обращения: 23.12.2025).</w:t>
      </w:r>
    </w:p>
    <w:p w14:paraId="05966322" w14:textId="0E008BD5" w:rsidR="00EF270A" w:rsidRPr="003B4AC0" w:rsidRDefault="00EF270A" w:rsidP="00EF270A">
      <w:pPr>
        <w:pStyle w:val="a7"/>
        <w:numPr>
          <w:ilvl w:val="0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3B4AC0">
        <w:rPr>
          <w:rFonts w:ascii="Times New Roman" w:hAnsi="Times New Roman" w:cs="Times New Roman"/>
          <w:sz w:val="28"/>
          <w:szCs w:val="28"/>
        </w:rPr>
        <w:t xml:space="preserve">Чекмарев, А. А.  Инженерная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графика 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учебник для вузов / А. А. Чекмарев. — 13-е изд.,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испр</w:t>
      </w:r>
      <w:proofErr w:type="spellEnd"/>
      <w:proofErr w:type="gramStart"/>
      <w:r w:rsidRPr="003B4AC0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и доп. 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Москва 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Издательство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 xml:space="preserve">, 2025. — 355 с. — (Высшее образование). — ISBN 978-5-534-12795-9. 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электронный // Образовательная платформа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 xml:space="preserve"> [сайт]. — URL: </w:t>
      </w:r>
      <w:hyperlink r:id="rId8" w:tgtFrame="_blank" w:history="1">
        <w:r w:rsidRPr="003B4AC0">
          <w:rPr>
            <w:rStyle w:val="ac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https://urait.ru/bcode/560530</w:t>
        </w:r>
      </w:hyperlink>
      <w:r w:rsidRPr="003B4AC0">
        <w:rPr>
          <w:rFonts w:ascii="Times New Roman" w:hAnsi="Times New Roman" w:cs="Times New Roman"/>
          <w:sz w:val="28"/>
          <w:szCs w:val="28"/>
        </w:rPr>
        <w:t> (дата обращения: 2</w:t>
      </w:r>
      <w:r w:rsidRPr="003B4AC0">
        <w:rPr>
          <w:rFonts w:ascii="Times New Roman" w:hAnsi="Times New Roman" w:cs="Times New Roman"/>
          <w:sz w:val="28"/>
          <w:szCs w:val="28"/>
        </w:rPr>
        <w:t>3</w:t>
      </w:r>
      <w:r w:rsidRPr="003B4AC0">
        <w:rPr>
          <w:rFonts w:ascii="Times New Roman" w:hAnsi="Times New Roman" w:cs="Times New Roman"/>
          <w:sz w:val="28"/>
          <w:szCs w:val="28"/>
        </w:rPr>
        <w:t>.12.2025).</w:t>
      </w:r>
    </w:p>
    <w:p w14:paraId="7039BF2C" w14:textId="37E5933E" w:rsidR="00EF270A" w:rsidRPr="003B4AC0" w:rsidRDefault="00EF270A" w:rsidP="00EF270A">
      <w:pPr>
        <w:pStyle w:val="a7"/>
        <w:numPr>
          <w:ilvl w:val="0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3B4AC0">
        <w:rPr>
          <w:rFonts w:ascii="Times New Roman" w:hAnsi="Times New Roman" w:cs="Times New Roman"/>
          <w:sz w:val="28"/>
          <w:szCs w:val="28"/>
        </w:rPr>
        <w:t xml:space="preserve">Васильев, Н. П. Компьютерная геометрия и графика в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>-разработке / Н. П. Васильев. — Санкт-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Лань, 2023. — 156 с. — ISBN 978-5-507-46521-7. 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Текст 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электронный //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Лань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электронно-библиотечная система. — URL: https://e.lanbook.com/book/333239 (дата обращения: 2</w:t>
      </w:r>
      <w:r w:rsidRPr="003B4AC0">
        <w:rPr>
          <w:rFonts w:ascii="Times New Roman" w:hAnsi="Times New Roman" w:cs="Times New Roman"/>
          <w:sz w:val="28"/>
          <w:szCs w:val="28"/>
        </w:rPr>
        <w:t>3</w:t>
      </w:r>
      <w:r w:rsidRPr="003B4AC0">
        <w:rPr>
          <w:rFonts w:ascii="Times New Roman" w:hAnsi="Times New Roman" w:cs="Times New Roman"/>
          <w:sz w:val="28"/>
          <w:szCs w:val="28"/>
        </w:rPr>
        <w:t xml:space="preserve">.12.2025). — Режим доступа: для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4A05D7CB" w14:textId="55ED09F4" w:rsidR="00EF270A" w:rsidRPr="003B4AC0" w:rsidRDefault="00EF270A" w:rsidP="00EF270A">
      <w:pPr>
        <w:pStyle w:val="a7"/>
        <w:numPr>
          <w:ilvl w:val="0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3B4AC0">
        <w:rPr>
          <w:rFonts w:ascii="Times New Roman" w:hAnsi="Times New Roman" w:cs="Times New Roman"/>
          <w:sz w:val="28"/>
          <w:szCs w:val="28"/>
        </w:rPr>
        <w:t xml:space="preserve">Никулин, Е. А. Компьютерная графика. Модели и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алгоритмы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учебное пособие для вузов / Е. А. Никулин. — 3-е изд., стер. — Санкт-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Лань, 2024. — 708 с. — ISBN 978-5-507-47600-8. 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Текст 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электронный //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Лань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электронно-библиотечная система. — URL: https://e.lanbook.com/book/394694 (дата обращения: 2</w:t>
      </w:r>
      <w:r w:rsidRPr="003B4AC0">
        <w:rPr>
          <w:rFonts w:ascii="Times New Roman" w:hAnsi="Times New Roman" w:cs="Times New Roman"/>
          <w:sz w:val="28"/>
          <w:szCs w:val="28"/>
        </w:rPr>
        <w:t>3</w:t>
      </w:r>
      <w:r w:rsidRPr="003B4AC0">
        <w:rPr>
          <w:rFonts w:ascii="Times New Roman" w:hAnsi="Times New Roman" w:cs="Times New Roman"/>
          <w:sz w:val="28"/>
          <w:szCs w:val="28"/>
        </w:rPr>
        <w:t xml:space="preserve">.12.2025). — Режим доступа: для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6DF9E386" w14:textId="00B2264C" w:rsidR="00EF270A" w:rsidRPr="003B4AC0" w:rsidRDefault="00EF270A" w:rsidP="00EF270A">
      <w:pPr>
        <w:pStyle w:val="a7"/>
        <w:numPr>
          <w:ilvl w:val="0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3B4AC0">
        <w:rPr>
          <w:rFonts w:ascii="Times New Roman" w:hAnsi="Times New Roman" w:cs="Times New Roman"/>
          <w:sz w:val="28"/>
          <w:szCs w:val="28"/>
        </w:rPr>
        <w:t xml:space="preserve">Инженерная и компьютерная графика: Общие правила выполнения чертежей и геометрические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построения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учебно-методическое пособие / составитель О. А. Борисова. 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МТУСИ, 2024. — 33 с. 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Текст 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электронный //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Лань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электронно-библиотечная система. — URL: https://e.lanbook.com/book/439223 (дата обращения: 2</w:t>
      </w:r>
      <w:r w:rsidRPr="003B4AC0">
        <w:rPr>
          <w:rFonts w:ascii="Times New Roman" w:hAnsi="Times New Roman" w:cs="Times New Roman"/>
          <w:sz w:val="28"/>
          <w:szCs w:val="28"/>
        </w:rPr>
        <w:t>3</w:t>
      </w:r>
      <w:r w:rsidRPr="003B4AC0">
        <w:rPr>
          <w:rFonts w:ascii="Times New Roman" w:hAnsi="Times New Roman" w:cs="Times New Roman"/>
          <w:sz w:val="28"/>
          <w:szCs w:val="28"/>
        </w:rPr>
        <w:t xml:space="preserve">.12.2025). — Режим доступа: для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76616511" w14:textId="72F470FA" w:rsidR="00EF270A" w:rsidRPr="003B4AC0" w:rsidRDefault="00EF270A" w:rsidP="00EF270A">
      <w:pPr>
        <w:pStyle w:val="a7"/>
        <w:numPr>
          <w:ilvl w:val="0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3B4AC0">
        <w:rPr>
          <w:rFonts w:ascii="Times New Roman" w:hAnsi="Times New Roman" w:cs="Times New Roman"/>
          <w:sz w:val="28"/>
          <w:szCs w:val="28"/>
        </w:rPr>
        <w:t xml:space="preserve">Немцова, Т. И. Компьютерная графика и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дизайн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учебное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пособие  /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Т.И. Немцова, Т.В. Казанкова, А.В.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Шнякин ;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под ред. Л.Г. Гагариной. 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lastRenderedPageBreak/>
        <w:t>Москва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ФОРУМ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ИНФРА-М, 2024. — 400 с. + Доп. материалы [Электронный ресурс]. — (Высшее образование). - ISBN 978-5-8199-0703-0. -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электронный. - URL: https://znanium.ru/catalog/product/2111907 (дата обращения: 2</w:t>
      </w:r>
      <w:r w:rsidRPr="003B4AC0">
        <w:rPr>
          <w:rFonts w:ascii="Times New Roman" w:hAnsi="Times New Roman" w:cs="Times New Roman"/>
          <w:sz w:val="28"/>
          <w:szCs w:val="28"/>
        </w:rPr>
        <w:t>3</w:t>
      </w:r>
      <w:r w:rsidRPr="003B4AC0">
        <w:rPr>
          <w:rFonts w:ascii="Times New Roman" w:hAnsi="Times New Roman" w:cs="Times New Roman"/>
          <w:sz w:val="28"/>
          <w:szCs w:val="28"/>
        </w:rPr>
        <w:t>.12.2025). – Режим доступа: по подписке.</w:t>
      </w:r>
    </w:p>
    <w:p w14:paraId="6DF8512C" w14:textId="437D995B" w:rsidR="00EF270A" w:rsidRPr="003B4AC0" w:rsidRDefault="00EF270A" w:rsidP="00EF270A">
      <w:pPr>
        <w:pStyle w:val="a7"/>
        <w:numPr>
          <w:ilvl w:val="0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3B4AC0">
        <w:rPr>
          <w:rFonts w:ascii="Times New Roman" w:hAnsi="Times New Roman" w:cs="Times New Roman"/>
          <w:sz w:val="28"/>
          <w:szCs w:val="28"/>
        </w:rPr>
        <w:t xml:space="preserve">Подорожный, А. М., Компьютерная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графика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учебник / А. М. Подорожный. 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КноРус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>, 2024. — 154 с. — ISBN 978-5-406-13331-6. — URL: https://book.ru/book/954661 (дата обращения: 2</w:t>
      </w:r>
      <w:r w:rsidRPr="003B4AC0">
        <w:rPr>
          <w:rFonts w:ascii="Times New Roman" w:hAnsi="Times New Roman" w:cs="Times New Roman"/>
          <w:sz w:val="28"/>
          <w:szCs w:val="28"/>
        </w:rPr>
        <w:t>3</w:t>
      </w:r>
      <w:r w:rsidRPr="003B4AC0">
        <w:rPr>
          <w:rFonts w:ascii="Times New Roman" w:hAnsi="Times New Roman" w:cs="Times New Roman"/>
          <w:sz w:val="28"/>
          <w:szCs w:val="28"/>
        </w:rPr>
        <w:t xml:space="preserve">.12.2025). 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11A35B38" w14:textId="420D479D" w:rsidR="00EF270A" w:rsidRPr="003B4AC0" w:rsidRDefault="00EF270A" w:rsidP="00EF270A">
      <w:pPr>
        <w:pStyle w:val="a7"/>
        <w:numPr>
          <w:ilvl w:val="0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3B4AC0">
        <w:rPr>
          <w:rFonts w:ascii="Times New Roman" w:hAnsi="Times New Roman" w:cs="Times New Roman"/>
          <w:sz w:val="28"/>
          <w:szCs w:val="28"/>
        </w:rPr>
        <w:t xml:space="preserve">Аксёнова, Н. А. Компьютерная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графика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учебно-методическое пособие / Н. А. Аксёнова, А. В.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Воруев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 xml:space="preserve">, О. М. Демиденко. 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Гомель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ГГУ имени Ф. Скорины, 2023. — 130 с. — ISBN 978-985-577-917-0. —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Текст 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электронный // </w:t>
      </w:r>
      <w:proofErr w:type="gramStart"/>
      <w:r w:rsidRPr="003B4AC0">
        <w:rPr>
          <w:rFonts w:ascii="Times New Roman" w:hAnsi="Times New Roman" w:cs="Times New Roman"/>
          <w:sz w:val="28"/>
          <w:szCs w:val="28"/>
        </w:rPr>
        <w:t>Лань :</w:t>
      </w:r>
      <w:proofErr w:type="gramEnd"/>
      <w:r w:rsidRPr="003B4AC0">
        <w:rPr>
          <w:rFonts w:ascii="Times New Roman" w:hAnsi="Times New Roman" w:cs="Times New Roman"/>
          <w:sz w:val="28"/>
          <w:szCs w:val="28"/>
        </w:rPr>
        <w:t xml:space="preserve"> электронно-библиотечная система. — URL: https://e.lanbook.com/book/329723 (дата обращения: 2</w:t>
      </w:r>
      <w:r w:rsidRPr="003B4AC0">
        <w:rPr>
          <w:rFonts w:ascii="Times New Roman" w:hAnsi="Times New Roman" w:cs="Times New Roman"/>
          <w:sz w:val="28"/>
          <w:szCs w:val="28"/>
        </w:rPr>
        <w:t>3</w:t>
      </w:r>
      <w:r w:rsidRPr="003B4AC0">
        <w:rPr>
          <w:rFonts w:ascii="Times New Roman" w:hAnsi="Times New Roman" w:cs="Times New Roman"/>
          <w:sz w:val="28"/>
          <w:szCs w:val="28"/>
        </w:rPr>
        <w:t xml:space="preserve">.12.2025). — Режим доступа: для </w:t>
      </w:r>
      <w:proofErr w:type="spellStart"/>
      <w:r w:rsidRPr="003B4AC0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3B4AC0">
        <w:rPr>
          <w:rFonts w:ascii="Times New Roman" w:hAnsi="Times New Roman" w:cs="Times New Roman"/>
          <w:sz w:val="28"/>
          <w:szCs w:val="28"/>
        </w:rPr>
        <w:t>. пользователей.</w:t>
      </w:r>
    </w:p>
    <w:sectPr w:rsidR="00EF270A" w:rsidRPr="003B4AC0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29231" w14:textId="77777777" w:rsidR="00B4712B" w:rsidRDefault="00B4712B" w:rsidP="002F3AD4">
      <w:pPr>
        <w:spacing w:after="0" w:line="240" w:lineRule="auto"/>
      </w:pPr>
      <w:r>
        <w:separator/>
      </w:r>
    </w:p>
  </w:endnote>
  <w:endnote w:type="continuationSeparator" w:id="0">
    <w:p w14:paraId="15B87A04" w14:textId="77777777" w:rsidR="00B4712B" w:rsidRDefault="00B4712B" w:rsidP="002F3A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77806725"/>
      <w:docPartObj>
        <w:docPartGallery w:val="Page Numbers (Bottom of Page)"/>
        <w:docPartUnique/>
      </w:docPartObj>
    </w:sdtPr>
    <w:sdtContent>
      <w:p w14:paraId="50C0F577" w14:textId="37AEFCC3" w:rsidR="002F3AD4" w:rsidRDefault="002F3AD4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6A4DE5" w14:textId="77777777" w:rsidR="002F3AD4" w:rsidRDefault="002F3AD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997A6" w14:textId="77777777" w:rsidR="00B4712B" w:rsidRDefault="00B4712B" w:rsidP="002F3AD4">
      <w:pPr>
        <w:spacing w:after="0" w:line="240" w:lineRule="auto"/>
      </w:pPr>
      <w:r>
        <w:separator/>
      </w:r>
    </w:p>
  </w:footnote>
  <w:footnote w:type="continuationSeparator" w:id="0">
    <w:p w14:paraId="080A7B03" w14:textId="77777777" w:rsidR="00B4712B" w:rsidRDefault="00B4712B" w:rsidP="002F3A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F21FD"/>
    <w:multiLevelType w:val="hybridMultilevel"/>
    <w:tmpl w:val="3166A368"/>
    <w:lvl w:ilvl="0" w:tplc="CED8C8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2252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181"/>
    <w:rsid w:val="001C6039"/>
    <w:rsid w:val="002F3AD4"/>
    <w:rsid w:val="00330181"/>
    <w:rsid w:val="003B4AC0"/>
    <w:rsid w:val="004F6632"/>
    <w:rsid w:val="00605539"/>
    <w:rsid w:val="00A67417"/>
    <w:rsid w:val="00B4001A"/>
    <w:rsid w:val="00B4712B"/>
    <w:rsid w:val="00B509BA"/>
    <w:rsid w:val="00EF270A"/>
    <w:rsid w:val="00F46FBC"/>
    <w:rsid w:val="00F63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F5CBB"/>
  <w15:chartTrackingRefBased/>
  <w15:docId w15:val="{2181CAB5-8ACC-4743-8AE0-288C844F4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30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0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01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0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01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0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0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0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0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301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301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301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3018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3018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301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301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301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301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0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30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0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30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30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301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301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3018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301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3018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3018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F270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F270A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2F3AD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F3AD4"/>
  </w:style>
  <w:style w:type="paragraph" w:styleId="af0">
    <w:name w:val="footer"/>
    <w:basedOn w:val="a"/>
    <w:link w:val="af1"/>
    <w:uiPriority w:val="99"/>
    <w:unhideWhenUsed/>
    <w:rsid w:val="002F3AD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F3A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rait.ru/bcode/56053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urait.ru/bcode/56017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5</Pages>
  <Words>959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Кочеткова</dc:creator>
  <cp:keywords/>
  <dc:description/>
  <cp:lastModifiedBy>Мария Кочеткова</cp:lastModifiedBy>
  <cp:revision>3</cp:revision>
  <dcterms:created xsi:type="dcterms:W3CDTF">2025-12-29T10:29:00Z</dcterms:created>
  <dcterms:modified xsi:type="dcterms:W3CDTF">2025-12-29T12:02:00Z</dcterms:modified>
</cp:coreProperties>
</file>