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1.png" ContentType="image/png"/>
  <Override PartName="/word/media/rId58.png" ContentType="image/png"/>
  <Override PartName="/word/media/rId27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ANCOVA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autoeficacia.pos</w:t>
      </w:r>
      <w:r>
        <w:t xml:space="preserve">~</w:t>
      </w:r>
      <w:r>
        <w:rPr>
          <w:rStyle w:val="VerbatimChar"/>
        </w:rPr>
        <w:t xml:space="preserve">autoeficacia.pre</w:t>
      </w:r>
      <w:r>
        <w:t xml:space="preserve">+</w:t>
      </w:r>
      <w:r>
        <w:rPr>
          <w:rStyle w:val="VerbatimChar"/>
        </w:rPr>
        <w:t xml:space="preserve">condicao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initial-variables-and-data"/>
    <w:p>
      <w:pPr>
        <w:pStyle w:val="Heading2"/>
      </w:pPr>
      <w:r>
        <w:t xml:space="preserve">Initial Variables and Data</w:t>
      </w:r>
    </w:p>
    <w:p>
      <w:pPr>
        <w:numPr>
          <w:ilvl w:val="0"/>
          <w:numId w:val="1001"/>
        </w:numPr>
        <w:pStyle w:val="Compact"/>
      </w:pPr>
      <w:r>
        <w:t xml:space="preserve">R-script file:</w:t>
      </w:r>
      <w:r>
        <w:t xml:space="preserve"> </w:t>
      </w:r>
      <w:hyperlink r:id="rId21">
        <w:r>
          <w:rPr>
            <w:rStyle w:val="Hyperlink"/>
          </w:rPr>
          <w:t xml:space="preserve">../code/ancova.R</w:t>
        </w:r>
      </w:hyperlink>
    </w:p>
    <w:p>
      <w:pPr>
        <w:numPr>
          <w:ilvl w:val="0"/>
          <w:numId w:val="1001"/>
        </w:numPr>
        <w:pStyle w:val="Compact"/>
      </w:pPr>
      <w:r>
        <w:t xml:space="preserve">Initial table file:</w:t>
      </w:r>
      <w:r>
        <w:t xml:space="preserve"> </w:t>
      </w:r>
      <w:hyperlink r:id="rId22">
        <w:r>
          <w:rPr>
            <w:rStyle w:val="Hyperlink"/>
          </w:rPr>
          <w:t xml:space="preserve">../data/initial-table.csv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for autoeficacia.pos</w:t>
      </w:r>
      <w:r>
        <w:t xml:space="preserve"> </w:t>
      </w:r>
      <w:hyperlink r:id="rId23">
        <w:r>
          <w:rPr>
            <w:rStyle w:val="Hyperlink"/>
          </w:rPr>
          <w:t xml:space="preserve">../data/table-for-autoeficacia.pos.csv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Table without outliers and normal distribution of data:</w:t>
      </w:r>
      <w:r>
        <w:t xml:space="preserve"> </w:t>
      </w:r>
      <w:hyperlink r:id="rId24">
        <w:r>
          <w:rPr>
            <w:rStyle w:val="Hyperlink"/>
          </w:rPr>
          <w:t xml:space="preserve">../data/table-with-normal-distribution.csv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Other data files:</w:t>
      </w:r>
      <w:r>
        <w:t xml:space="preserve"> </w:t>
      </w:r>
      <w:hyperlink r:id="rId25">
        <w:r>
          <w:rPr>
            <w:rStyle w:val="Hyperlink"/>
          </w:rPr>
          <w:t xml:space="preserve">../data/</w:t>
        </w:r>
      </w:hyperlink>
    </w:p>
    <w:p>
      <w:pPr>
        <w:numPr>
          <w:ilvl w:val="0"/>
          <w:numId w:val="1001"/>
        </w:numPr>
        <w:pStyle w:val="Compact"/>
      </w:pPr>
      <w:r>
        <w:t xml:space="preserve">Files related to the presented results:</w:t>
      </w:r>
      <w:r>
        <w:t xml:space="preserve"> </w:t>
      </w:r>
      <w:hyperlink r:id="rId26">
        <w:r>
          <w:rPr>
            <w:rStyle w:val="Hyperlink"/>
          </w:rPr>
          <w:t xml:space="preserve">../results/</w:t>
        </w:r>
      </w:hyperlink>
    </w:p>
    <w:bookmarkStart w:id="30" w:name="descriptive-statistics-of-initial-data"/>
    <w:p>
      <w:pPr>
        <w:pStyle w:val="Heading3"/>
      </w:pPr>
      <w:r>
        <w:t xml:space="preserve">Descriptive statistics of initial data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5"/>
        <w:gridCol w:w="1294"/>
        <w:gridCol w:w="304"/>
        <w:gridCol w:w="456"/>
        <w:gridCol w:w="533"/>
        <w:gridCol w:w="456"/>
        <w:gridCol w:w="304"/>
        <w:gridCol w:w="456"/>
        <w:gridCol w:w="456"/>
        <w:gridCol w:w="456"/>
        <w:gridCol w:w="456"/>
        <w:gridCol w:w="685"/>
        <w:gridCol w:w="685"/>
        <w:gridCol w:w="6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1.625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cova/02c962a8bfa060f6/results/ancova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"p55"  "p119" "p46"  "p47"  "p64"  "p73"  "p140"</w:t>
      </w:r>
    </w:p>
    <w:bookmarkEnd w:id="30"/>
    <w:bookmarkEnd w:id="31"/>
    <w:bookmarkStart w:id="50" w:name="checking-of-assumptions"/>
    <w:p>
      <w:pPr>
        <w:pStyle w:val="Heading2"/>
      </w:pPr>
      <w:r>
        <w:t xml:space="preserve">Checking of Assumptions</w:t>
      </w:r>
    </w:p>
    <w:bookmarkStart w:id="40" w:name="X4b14c43c58f9bdf50600f1498518fb58f527b7f"/>
    <w:p>
      <w:pPr>
        <w:pStyle w:val="Heading3"/>
      </w:pPr>
      <w:r>
        <w:t xml:space="preserve">Assumption: Symmetry and treatment of outliers</w:t>
      </w:r>
    </w:p>
    <w:bookmarkStart w:id="38" w:name="X1bf3d1a91a44d1d2e6159e00380182afafe3f9b"/>
    <w:p>
      <w:pPr>
        <w:pStyle w:val="Heading4"/>
      </w:pPr>
      <w:r>
        <w:t xml:space="preserve">Applying transformation for skewness data when normality is not achieved</w:t>
      </w:r>
    </w:p>
    <w:p>
      <w:pPr>
        <w:pStyle w:val="FirstParagraph"/>
      </w:pPr>
      <w:r>
        <w:t xml:space="preserve">Applying transformation in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 </w:t>
      </w:r>
      <w:r>
        <w:t xml:space="preserve">to reduce skewness</w:t>
      </w:r>
    </w:p>
    <w:p>
      <w:pPr>
        <w:pStyle w:val="SourceCode"/>
      </w:pPr>
      <w:r>
        <w:rPr>
          <w:rStyle w:val="FunctionTok"/>
        </w:rPr>
        <w:t xml:space="preserve">density.plot.by.residual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,between,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(),covar)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cova/02c962a8bfa060f6/results/ancova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"std.autoeficacia.pos"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FunctionTok"/>
        </w:rPr>
        <w:t xml:space="preserve">density.plot.by.residual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"std.autoeficacia.pos"</w:t>
      </w:r>
      <w:r>
        <w:rPr>
          <w:rStyle w:val="NormalTok"/>
        </w:rPr>
        <w:t xml:space="preserve">,between,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(),covar)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cova/02c962a8bfa060f6/results/ancova_files/figure-docx/unnamed-chunk-6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X5a5a367fb91cab9f159b04ef311298807cc51df"/>
    <w:p>
      <w:pPr>
        <w:pStyle w:val="Heading4"/>
      </w:pPr>
      <w:r>
        <w:t xml:space="preserve">Dealing with outliers (performing treatment of outliers)</w:t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winzorize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"condicao"</w:t>
      </w:r>
      <w:r>
        <w:rPr>
          <w:rStyle w:val="NormalTok"/>
        </w:rPr>
        <w:t xml:space="preserve">),covar, </w:t>
      </w:r>
      <w:r>
        <w:rPr>
          <w:rStyle w:val="AttributeTok"/>
        </w:rPr>
        <w:t xml:space="preserve">skewness=</w:t>
      </w:r>
      <w:r>
        <w:rPr>
          <w:rStyle w:val="NormalTok"/>
        </w:rPr>
        <w:t xml:space="preserve">skewness)</w:t>
      </w:r>
    </w:p>
    <w:bookmarkEnd w:id="39"/>
    <w:bookmarkEnd w:id="40"/>
    <w:bookmarkStart w:id="44" w:name="X94f3a7b2bae4211e00805492d4917b1cadd088d"/>
    <w:p>
      <w:pPr>
        <w:pStyle w:val="Heading3"/>
      </w:pPr>
      <w:r>
        <w:t xml:space="preserve">Assumption: Normality distribution of data</w:t>
      </w:r>
    </w:p>
    <w:bookmarkStart w:id="41" w:name="X2ca65d9e86f31106948e2adb4802a2c1a8e9973"/>
    <w:p>
      <w:pPr>
        <w:pStyle w:val="Heading4"/>
      </w:pPr>
      <w:r>
        <w:t xml:space="preserve">Removing data that affect normality (extreme values)</w:t>
      </w:r>
    </w:p>
    <w:p>
      <w:pPr>
        <w:pStyle w:val="SourceCode"/>
      </w:pPr>
      <w:r>
        <w:rPr>
          <w:rStyle w:val="NormalTok"/>
        </w:rPr>
        <w:t xml:space="preserve">non.normal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removeFromDataTable</w:t>
      </w:r>
      <w:r>
        <w:rPr>
          <w:rStyle w:val="NormalTok"/>
        </w:rPr>
        <w:t xml:space="preserve">(rdat, non.normal, wid)</w:t>
      </w:r>
    </w:p>
    <w:bookmarkEnd w:id="41"/>
    <w:bookmarkStart w:id="42" w:name="Xde5ab568fa597fa8912a999335bb2e36c3c56e4"/>
    <w:p>
      <w:pPr>
        <w:pStyle w:val="Heading4"/>
      </w:pPr>
      <w:r>
        <w:t xml:space="preserve">Result of normality test in the residual model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2"/>
        <w:gridCol w:w="1212"/>
        <w:gridCol w:w="285"/>
        <w:gridCol w:w="642"/>
        <w:gridCol w:w="642"/>
        <w:gridCol w:w="642"/>
        <w:gridCol w:w="713"/>
        <w:gridCol w:w="784"/>
        <w:gridCol w:w="428"/>
        <w:gridCol w:w="642"/>
        <w:gridCol w:w="71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QQ</w:t>
            </w:r>
          </w:p>
        </w:tc>
      </w:tr>
    </w:tbl>
    <w:bookmarkEnd w:id="42"/>
    <w:bookmarkStart w:id="43" w:name="result-of-normality-test-in-each-group"/>
    <w:p>
      <w:pPr>
        <w:pStyle w:val="Heading4"/>
      </w:pPr>
      <w:r>
        <w:t xml:space="preserve">Result of normality test in each group</w:t>
      </w:r>
    </w:p>
    <w:p>
      <w:pPr>
        <w:pStyle w:val="FirstParagraph"/>
      </w:pPr>
      <w:r>
        <w:t xml:space="preserve">This is an optional validation and only valid for groups with number greater than 30 observations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65"/>
        <w:gridCol w:w="1068"/>
        <w:gridCol w:w="188"/>
        <w:gridCol w:w="440"/>
        <w:gridCol w:w="440"/>
        <w:gridCol w:w="440"/>
        <w:gridCol w:w="251"/>
        <w:gridCol w:w="377"/>
        <w:gridCol w:w="377"/>
        <w:gridCol w:w="377"/>
        <w:gridCol w:w="377"/>
        <w:gridCol w:w="628"/>
        <w:gridCol w:w="817"/>
        <w:gridCol w:w="628"/>
        <w:gridCol w:w="377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rPr>
          <w:bCs/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parametric tests remain valid even with the violation of normality 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According to the central limit theorem, the sampling distribution tends to be normal if the sample is large, more than (</w:t>
      </w:r>
      <w:r>
        <w:rPr>
          <w:rStyle w:val="VerbatimChar"/>
        </w:rPr>
        <w:t xml:space="preserve">n &gt; 30</w:t>
      </w:r>
      <w:r>
        <w:t xml:space="preserve">) observations.</w:t>
      </w:r>
      <w:r>
        <w:t xml:space="preserve"> </w:t>
      </w:r>
      <w:r>
        <w:t xml:space="preserve">Therefore, we performed parametric tests with large samples as described as follows:</w:t>
      </w:r>
    </w:p>
    <w:p>
      <w:pPr>
        <w:numPr>
          <w:ilvl w:val="0"/>
          <w:numId w:val="1002"/>
        </w:numPr>
      </w:pPr>
      <w:r>
        <w:t xml:space="preserve">In cases with the sample size greater than 100 (</w:t>
      </w:r>
      <w:r>
        <w:rPr>
          <w:rStyle w:val="VerbatimChar"/>
        </w:rPr>
        <w:t xml:space="preserve">n &gt; 100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</w:t>
      </w:r>
      <w:r>
        <w:t xml:space="preserve"> </w:t>
      </w:r>
      <w:r>
        <w:t xml:space="preserve">that offers better accuracy for larger samples [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the normality test,</w:t>
      </w:r>
      <w:r>
        <w:t xml:space="preserve"> </w:t>
      </w:r>
      <w:r>
        <w:t xml:space="preserve">and our decision of validating normality was based only in the interpretation of QQ-plots</w:t>
      </w:r>
      <w:r>
        <w:t xml:space="preserve"> </w:t>
      </w:r>
      <w:r>
        <w:t xml:space="preserve">and histograms because the Shapiro-Wilk and D’Agostino-Pearson tests tend to be too sensitive</w:t>
      </w:r>
      <w:r>
        <w:t xml:space="preserve"> </w:t>
      </w:r>
      <w:r>
        <w:t xml:space="preserve">with values greater than 200 observation 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limit.</w:t>
      </w:r>
    </w:p>
    <w:bookmarkEnd w:id="43"/>
    <w:bookmarkEnd w:id="44"/>
    <w:bookmarkStart w:id="48" w:name="Xf3367d7f1cacaca3a844f6708d8b5efa9ff12cb"/>
    <w:p>
      <w:pPr>
        <w:pStyle w:val="Heading3"/>
      </w:pPr>
      <w:r>
        <w:t xml:space="preserve">Assumption: Linearity of dependent variables and covariate variable</w:t>
      </w:r>
    </w:p>
    <w:p>
      <w:pPr>
        <w:pStyle w:val="SourceCode"/>
      </w:pPr>
      <w:r>
        <w:rPr>
          <w:rStyle w:val="FunctionTok"/>
        </w:rPr>
        <w:t xml:space="preserve">ggscatter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covar,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facet.by=</w:t>
      </w:r>
      <w:r>
        <w:rPr>
          <w:rStyle w:val="NormalTok"/>
        </w:rPr>
        <w:t xml:space="preserve">between, </w:t>
      </w:r>
      <w:r>
        <w:rPr>
          <w:rStyle w:val="AttributeTok"/>
        </w:rPr>
        <w:t xml:space="preserve">short.panel.labs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cova/02c962a8bfa060f6/results/ancova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X2a9ebc2aa6b4828d3c9dc65d450ee18c81379ed"/>
    <w:p>
      <w:pPr>
        <w:pStyle w:val="Heading3"/>
      </w:pPr>
      <w:r>
        <w:t xml:space="preserve">Assumption: Homogeneity of data distribution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181"/>
        <w:gridCol w:w="1042"/>
        <w:gridCol w:w="1250"/>
        <w:gridCol w:w="277"/>
        <w:gridCol w:w="555"/>
        <w:gridCol w:w="555"/>
        <w:gridCol w:w="694"/>
        <w:gridCol w:w="416"/>
        <w:gridCol w:w="6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DFn.df1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DFd.df2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Levene’s test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~</w:t>
            </w:r>
            <w:r>
              <w:rPr>
                <w:rStyle w:val="VerbatimChar"/>
              </w:rPr>
              <w:t xml:space="preserve">condicao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Anova’s slopes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.res</w:t>
            </w:r>
            <w:r>
              <w:t xml:space="preserve">~</w:t>
            </w:r>
            <w:r>
              <w:rPr>
                <w:rStyle w:val="VerbatimChar"/>
              </w:rPr>
              <w:t xml:space="preserve">condicao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49"/>
    <w:bookmarkEnd w:id="50"/>
    <w:bookmarkStart w:id="54" w:name="X9452419b927525703de9e3fde981f4a347dc873"/>
    <w:p>
      <w:pPr>
        <w:pStyle w:val="Heading2"/>
      </w:pPr>
      <w:r>
        <w:t xml:space="preserve">Saving the Data with Normal Distribution Used for Performing ANCOVA test</w:t>
      </w:r>
    </w:p>
    <w:p>
      <w:pPr>
        <w:pStyle w:val="SourceCode"/>
      </w:pPr>
      <w:r>
        <w:rPr>
          <w:rStyle w:val="NormalTok"/>
        </w:rPr>
        <w:t xml:space="preserve">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(sdat)[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(ndat, sdat[[dv]])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(ndat,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"../data/table-with-normal-distribution.csv"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Descriptive statistics of data with normal distribution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750"/>
        <w:gridCol w:w="1417"/>
        <w:gridCol w:w="250"/>
        <w:gridCol w:w="500"/>
        <w:gridCol w:w="583"/>
        <w:gridCol w:w="500"/>
        <w:gridCol w:w="333"/>
        <w:gridCol w:w="500"/>
        <w:gridCol w:w="500"/>
        <w:gridCol w:w="500"/>
        <w:gridCol w:w="5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1.958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cova/02c962a8bfa060f6/results/ancova_files/figure-docx/unnamed-chunk-1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4" w:name="X36a81a69a5136d3a91624d9f9a5648d92d916be"/>
    <w:p>
      <w:pPr>
        <w:pStyle w:val="Heading2"/>
      </w:pPr>
      <w:r>
        <w:t xml:space="preserve">Computation of ANCOVA test and Pairwise Comparison</w:t>
      </w:r>
    </w:p>
    <w:bookmarkStart w:id="55" w:name="ancova-test"/>
    <w:p>
      <w:pPr>
        <w:pStyle w:val="Heading3"/>
      </w:pPr>
      <w:r>
        <w:t xml:space="preserve">ANCOVA test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65"/>
        <w:gridCol w:w="1565"/>
        <w:gridCol w:w="368"/>
        <w:gridCol w:w="368"/>
        <w:gridCol w:w="644"/>
        <w:gridCol w:w="736"/>
        <w:gridCol w:w="644"/>
        <w:gridCol w:w="644"/>
        <w:gridCol w:w="552"/>
        <w:gridCol w:w="8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bookmarkEnd w:id="55"/>
    <w:bookmarkStart w:id="56" w:name="pairwise-comparison"/>
    <w:p>
      <w:pPr>
        <w:pStyle w:val="Heading3"/>
      </w:pPr>
      <w:r>
        <w:t xml:space="preserve">Pairwise comparison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82"/>
        <w:gridCol w:w="678"/>
        <w:gridCol w:w="678"/>
        <w:gridCol w:w="678"/>
        <w:gridCol w:w="678"/>
        <w:gridCol w:w="754"/>
        <w:gridCol w:w="452"/>
        <w:gridCol w:w="754"/>
        <w:gridCol w:w="528"/>
        <w:gridCol w:w="452"/>
        <w:gridCol w:w="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56"/>
    <w:bookmarkStart w:id="57" w:name="X115d066783c92b07639c83880883e6056312471"/>
    <w:p>
      <w:pPr>
        <w:pStyle w:val="Heading3"/>
      </w:pPr>
      <w:r>
        <w:t xml:space="preserve">Descriptive Statistic of Estimated Marginal Means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848"/>
        <w:gridCol w:w="282"/>
        <w:gridCol w:w="754"/>
        <w:gridCol w:w="848"/>
        <w:gridCol w:w="942"/>
        <w:gridCol w:w="1037"/>
        <w:gridCol w:w="754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(pre)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(pre)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(unadj)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(unadj)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 (adj)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(adj)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"/>
        <w:gridCol w:w="209"/>
        <w:gridCol w:w="396"/>
        <w:gridCol w:w="163"/>
        <w:gridCol w:w="186"/>
        <w:gridCol w:w="93"/>
        <w:gridCol w:w="209"/>
        <w:gridCol w:w="232"/>
        <w:gridCol w:w="302"/>
        <w:gridCol w:w="69"/>
        <w:gridCol w:w="139"/>
        <w:gridCol w:w="163"/>
        <w:gridCol w:w="139"/>
        <w:gridCol w:w="93"/>
        <w:gridCol w:w="139"/>
        <w:gridCol w:w="139"/>
        <w:gridCol w:w="139"/>
        <w:gridCol w:w="139"/>
        <w:gridCol w:w="442"/>
        <w:gridCol w:w="512"/>
        <w:gridCol w:w="559"/>
        <w:gridCol w:w="489"/>
        <w:gridCol w:w="489"/>
        <w:gridCol w:w="465"/>
        <w:gridCol w:w="465"/>
        <w:gridCol w:w="465"/>
        <w:gridCol w:w="489"/>
        <w:gridCol w:w="1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se.emms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iqr.autoeficacia.pre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sd.emms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Emmeans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inThreat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Emmeans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autoeficacia.pos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Emmeans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</w:tr>
    </w:tbl>
    <w:bookmarkEnd w:id="57"/>
    <w:bookmarkStart w:id="62" w:name="X7f0185fb70e9adb6b7e0d0a673885c3116b75b5"/>
    <w:p>
      <w:pPr>
        <w:pStyle w:val="Heading3"/>
      </w:pPr>
      <w:r>
        <w:t xml:space="preserve">Ancova plots for the dependent variable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oneWayAncovaPlots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, between</w:t>
      </w:r>
      <w:r>
        <w:br/>
      </w:r>
      <w:r>
        <w:rPr>
          <w:rStyle w:val="NormalTok"/>
        </w:rPr>
        <w:t xml:space="preserve">, aov[[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pwc[[</w:t>
      </w:r>
      <w:r>
        <w:rPr>
          <w:rStyle w:val="StringTok"/>
        </w:rPr>
        <w:t xml:space="preserve">"autoeficacia.pos"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addParam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font.label.size=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step.increase=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p.label=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)</w:t>
      </w:r>
    </w:p>
    <w:bookmarkStart w:id="61" w:name="plot-for-autoeficacia.pos-condicao"/>
    <w:p>
      <w:pPr>
        <w:pStyle w:val="Heading4"/>
      </w:pPr>
      <w:r>
        <w:t xml:space="preserve">Plot for:</w:t>
      </w:r>
      <w:r>
        <w:t xml:space="preserve"> </w:t>
      </w:r>
      <w:r>
        <w:rPr>
          <w:rStyle w:val="VerbatimChar"/>
        </w:rPr>
        <w:t xml:space="preserve">autoeficacia.pos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condicao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"condicao"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cova/02c962a8bfa060f6/results/ancova_files/figure-docx/unnamed-chunk-27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bookmarkStart w:id="63" w:name="textual-report"/>
    <w:p>
      <w:pPr>
        <w:pStyle w:val="Heading3"/>
      </w:pPr>
      <w:r>
        <w:t xml:space="preserve">Textual Report</w:t>
      </w:r>
    </w:p>
    <w:p>
      <w:pPr>
        <w:pStyle w:val="FirstParagraph"/>
      </w:pPr>
      <w:r>
        <w:t xml:space="preserve">After controlling the linearity of covariance</w:t>
      </w:r>
      <w:r>
        <w:t xml:space="preserve"> </w:t>
      </w:r>
      <w:r>
        <w:t xml:space="preserve">“</w:t>
      </w:r>
      <w:r>
        <w:t xml:space="preserve">autoeficacia.pre</w:t>
      </w:r>
      <w:r>
        <w:t xml:space="preserve">”</w:t>
      </w:r>
      <w:r>
        <w:t xml:space="preserve">, ANCOVA tests with independent between-subjects variables</w:t>
      </w:r>
      <w:r>
        <w:t xml:space="preserve"> </w:t>
      </w:r>
      <w:r>
        <w:t xml:space="preserve">“</w:t>
      </w:r>
      <w:r>
        <w:t xml:space="preserve">condicao</w:t>
      </w:r>
      <w:r>
        <w:t xml:space="preserve">”</w:t>
      </w:r>
      <w:r>
        <w:t xml:space="preserve"> </w:t>
      </w:r>
      <w:r>
        <w:t xml:space="preserve">(inBoost, inThreat, neutro) were performed to determine statistically significant difference on the dependent varibles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, there was statistically significant effects in the factor</w:t>
      </w:r>
      <w:r>
        <w:t xml:space="preserve"> </w:t>
      </w:r>
      <w:r>
        <w:t xml:space="preserve">“</w:t>
      </w:r>
      <w:r>
        <w:t xml:space="preserve">autoeficacia.pre</w:t>
      </w:r>
      <w:r>
        <w:t xml:space="preserve">”</w:t>
      </w:r>
      <w:r>
        <w:t xml:space="preserve"> </w:t>
      </w:r>
      <w:r>
        <w:t xml:space="preserve">with F(1,138)=88.057, p&lt;0.001 and ges=0.39 (effect size) and in the factor</w:t>
      </w:r>
      <w:r>
        <w:t xml:space="preserve"> </w:t>
      </w:r>
      <w:r>
        <w:t xml:space="preserve">“</w:t>
      </w:r>
      <w:r>
        <w:t xml:space="preserve">condicao</w:t>
      </w:r>
      <w:r>
        <w:t xml:space="preserve">”</w:t>
      </w:r>
      <w:r>
        <w:t xml:space="preserve"> </w:t>
      </w:r>
      <w:r>
        <w:t xml:space="preserve">with F(2,138)=5.668, p=0.004 and ges=0.076 (effect size).</w:t>
      </w:r>
    </w:p>
    <w:p>
      <w:pPr>
        <w:pStyle w:val="BodyText"/>
      </w:pPr>
      <w:r>
        <w:t xml:space="preserve">Pairwise comparisons using the Estimated Marginal Means (EMMs) were computed to find statistically significant diferences among the groups defined by the independent variables, and with the p-values ajusted by the method</w:t>
      </w:r>
      <w:r>
        <w:t xml:space="preserve"> </w:t>
      </w:r>
      <w:r>
        <w:t xml:space="preserve">“</w:t>
      </w:r>
      <w:r>
        <w:t xml:space="preserve">bonferroni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autoeficacia.pos</w:t>
      </w:r>
      <w:r>
        <w:t xml:space="preserve">”</w:t>
      </w:r>
      <w:r>
        <w:t xml:space="preserve">, the mean in the condicao=</w:t>
      </w:r>
      <w:r>
        <w:t xml:space="preserve">“</w:t>
      </w:r>
      <w:r>
        <w:t xml:space="preserve">inBoost</w:t>
      </w:r>
      <w:r>
        <w:t xml:space="preserve">”</w:t>
      </w:r>
      <w:r>
        <w:t xml:space="preserve"> </w:t>
      </w:r>
      <w:r>
        <w:t xml:space="preserve">(adj M=6.671 and SD=0.803) was significantly different than the mean in the condicao=</w:t>
      </w:r>
      <w:r>
        <w:t xml:space="preserve">“</w:t>
      </w:r>
      <w:r>
        <w:t xml:space="preserve">neutro</w:t>
      </w:r>
      <w:r>
        <w:t xml:space="preserve">”</w:t>
      </w:r>
      <w:r>
        <w:t xml:space="preserve"> </w:t>
      </w:r>
      <w:r>
        <w:t xml:space="preserve">(adj M=6.047 and SD=1.356) with p-adj=0.003.</w:t>
      </w:r>
    </w:p>
    <w:bookmarkEnd w:id="63"/>
    <w:bookmarkEnd w:id="64"/>
    <w:bookmarkStart w:id="66" w:name="tips-and-references"/>
    <w:p>
      <w:pPr>
        <w:pStyle w:val="Heading2"/>
      </w:pPr>
      <w:r>
        <w:t xml:space="preserve">Tips and References</w:t>
      </w:r>
    </w:p>
    <w:p>
      <w:pPr>
        <w:numPr>
          <w:ilvl w:val="0"/>
          <w:numId w:val="1003"/>
        </w:numPr>
      </w:pPr>
      <w:r>
        <w:t xml:space="preserve">Use the site</w:t>
      </w:r>
      <w:r>
        <w:t xml:space="preserve"> </w:t>
      </w:r>
      <w:hyperlink r:id="rId65">
        <w:r>
          <w:rPr>
            <w:rStyle w:val="Hyperlink"/>
          </w:rPr>
          <w:t xml:space="preserve">https://www.tablesgenerator.com</w:t>
        </w:r>
      </w:hyperlink>
      <w:r>
        <w:t xml:space="preserve"> </w:t>
      </w:r>
      <w:r>
        <w:t xml:space="preserve">to convert the HTML tables into Latex format</w:t>
      </w:r>
    </w:p>
    <w:p>
      <w:pPr>
        <w:numPr>
          <w:ilvl w:val="0"/>
          <w:numId w:val="1003"/>
        </w:numPr>
      </w:pPr>
      <w:r>
        <w:t xml:space="preserve">[2]: Miot, H. A. (2017). Assessing normality of data in clinical and experimental trials. J Vasc Bras, 16(2), 88-91.</w:t>
      </w:r>
    </w:p>
    <w:p>
      <w:pPr>
        <w:numPr>
          <w:ilvl w:val="0"/>
          <w:numId w:val="1003"/>
        </w:numPr>
      </w:pPr>
      <w:r>
        <w:t xml:space="preserve">[3]: Bárány, Imre; Vu, Van (2007).</w:t>
      </w:r>
      <w:r>
        <w:t xml:space="preserve"> </w:t>
      </w:r>
      <w:r>
        <w:t xml:space="preserve">“</w:t>
      </w:r>
      <w:r>
        <w:t xml:space="preserve">Central limit theorems for Gaussian polytopes</w:t>
      </w:r>
      <w:r>
        <w:t xml:space="preserve">”</w:t>
      </w:r>
      <w:r>
        <w:t xml:space="preserve">. Annals of Probability. Institute of Mathematical Statistics. 35 (4): 1593–1621.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1" Target="../code/anc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autoeficacia.po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65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code/anc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autoeficacia.po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65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ANCOVA test for autoeficacia.pos~autoeficacia.pre+condicao</dc:title>
  <dc:creator>Geiser C. Challco geiser@alumni.usp.br</dc:creator>
  <cp:keywords/>
  <dcterms:created xsi:type="dcterms:W3CDTF">2022-12-11T14:04:24Z</dcterms:created>
  <dcterms:modified xsi:type="dcterms:W3CDTF">2022-12-11T14:04:24Z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automatically generate by Shiny-Statistic app (https://statistic.geiser.tech/) Author - Geiser C. Challco geiser@alumni.usp.br Shiny-Statistic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