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5.png" ContentType="image/png"/>
  <Override PartName="/word/media/rId47.png" ContentType="image/png"/>
  <Override PartName="/word/media/rId24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autoeficacia.pos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autoeficacia.pos</w:t>
      </w:r>
      <w:r>
        <w:t xml:space="preserve"> </w:t>
      </w:r>
      <w:hyperlink r:id="rId23">
        <w:r>
          <w:rPr>
            <w:rStyle w:val="Hyperlink"/>
          </w:rPr>
          <w:t xml:space="preserve">../data/table-for-autoeficacia.pos.csv</w:t>
        </w:r>
      </w:hyperlink>
    </w:p>
    <w:bookmarkStart w:id="25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14"/>
        <w:gridCol w:w="682"/>
        <w:gridCol w:w="1160"/>
        <w:gridCol w:w="273"/>
        <w:gridCol w:w="409"/>
        <w:gridCol w:w="477"/>
        <w:gridCol w:w="409"/>
        <w:gridCol w:w="409"/>
        <w:gridCol w:w="409"/>
        <w:gridCol w:w="409"/>
        <w:gridCol w:w="409"/>
        <w:gridCol w:w="409"/>
        <w:gridCol w:w="614"/>
        <w:gridCol w:w="614"/>
        <w:gridCol w:w="614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5.633</w:t>
            </w:r>
          </w:p>
        </w:tc>
        <w:tc>
          <w:p>
            <w:pPr>
              <w:pStyle w:val="Compact"/>
              <w:jc w:val="right"/>
            </w:pPr>
            <w:r>
              <w:t xml:space="preserve">5.833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>
            <w:pPr>
              <w:pStyle w:val="Compact"/>
              <w:jc w:val="right"/>
            </w:pPr>
            <w:r>
              <w:t xml:space="preserve">1.062</w:t>
            </w:r>
          </w:p>
        </w:tc>
        <w:tc>
          <w:p>
            <w:pPr>
              <w:pStyle w:val="Compact"/>
              <w:jc w:val="right"/>
            </w:pPr>
            <w:r>
              <w:t xml:space="preserve">2.083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-0.706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6.435</w:t>
            </w:r>
          </w:p>
        </w:tc>
        <w:tc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1.243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1.417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-0.623</w:t>
            </w:r>
          </w:p>
        </w:tc>
        <w:tc>
          <w:p>
            <w:pPr>
              <w:pStyle w:val="Compact"/>
              <w:jc w:val="right"/>
            </w:pPr>
            <w:r>
              <w:t xml:space="preserve">-0.624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5.944</w:t>
            </w:r>
          </w:p>
        </w:tc>
        <w:tc>
          <w:p>
            <w:pPr>
              <w:pStyle w:val="Compact"/>
              <w:jc w:val="right"/>
            </w:pPr>
            <w:r>
              <w:t xml:space="preserve">6.083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7.667</w:t>
            </w:r>
          </w:p>
        </w:tc>
        <w:tc>
          <w:p>
            <w:pPr>
              <w:pStyle w:val="Compact"/>
              <w:jc w:val="right"/>
            </w:pPr>
            <w:r>
              <w:t xml:space="preserve">1.272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1.667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-1.242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6.264</w:t>
            </w:r>
          </w:p>
        </w:tc>
        <w:tc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p>
            <w:pPr>
              <w:pStyle w:val="Compact"/>
              <w:jc w:val="right"/>
            </w:pPr>
            <w:r>
              <w:t xml:space="preserve">3.167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1.222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-0.527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5.775</w:t>
            </w:r>
          </w:p>
        </w:tc>
        <w:tc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7.500</w:t>
            </w:r>
          </w:p>
        </w:tc>
        <w:tc>
          <w:p>
            <w:pPr>
              <w:pStyle w:val="Compact"/>
              <w:jc w:val="right"/>
            </w:pPr>
            <w:r>
              <w:t xml:space="preserve">1.547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2.375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-0.793</w:t>
            </w:r>
          </w:p>
        </w:tc>
        <w:tc>
          <w:p>
            <w:pPr>
              <w:pStyle w:val="Compact"/>
              <w:jc w:val="right"/>
            </w:pPr>
            <w:r>
              <w:t xml:space="preserve">-0.613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6.984</w:t>
            </w:r>
          </w:p>
        </w:tc>
        <w:tc>
          <w:p>
            <w:pPr>
              <w:pStyle w:val="Compact"/>
              <w:jc w:val="right"/>
            </w:pPr>
            <w:r>
              <w:t xml:space="preserve">7.167</w:t>
            </w:r>
          </w:p>
        </w:tc>
        <w:tc>
          <w:p>
            <w:pPr>
              <w:pStyle w:val="Compact"/>
              <w:jc w:val="right"/>
            </w:pPr>
            <w:r>
              <w:t xml:space="preserve">5.667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6.347</w:t>
            </w:r>
          </w:p>
        </w:tc>
        <w:tc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-1.149</w:t>
            </w:r>
          </w:p>
        </w:tc>
        <w:tc>
          <w:p>
            <w:pPr>
              <w:pStyle w:val="Compact"/>
              <w:jc w:val="right"/>
            </w:pPr>
            <w:r>
              <w:t xml:space="preserve">1.625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6.378</w:t>
            </w:r>
          </w:p>
        </w:tc>
        <w:tc>
          <w:p>
            <w:pPr>
              <w:pStyle w:val="Compact"/>
              <w:jc w:val="right"/>
            </w:pPr>
            <w:r>
              <w:t xml:space="preserve">6.000</w:t>
            </w:r>
          </w:p>
        </w:tc>
        <w:tc>
          <w:p>
            <w:pPr>
              <w:pStyle w:val="Compact"/>
              <w:jc w:val="right"/>
            </w:pPr>
            <w:r>
              <w:t xml:space="preserve">2.167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1.641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2.250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-0.894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6.949</w:t>
            </w:r>
          </w:p>
        </w:tc>
        <w:tc>
          <w:p>
            <w:pPr>
              <w:pStyle w:val="Compact"/>
              <w:jc w:val="right"/>
            </w:pPr>
            <w:r>
              <w:t xml:space="preserve">7.333</w:t>
            </w:r>
          </w:p>
        </w:tc>
        <w:tc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-1.812</w:t>
            </w:r>
          </w:p>
        </w:tc>
        <w:tc>
          <w:p>
            <w:pPr>
              <w:pStyle w:val="Compact"/>
              <w:jc w:val="right"/>
            </w:pPr>
            <w:r>
              <w:t xml:space="preserve">3.106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6.514</w:t>
            </w:r>
          </w:p>
        </w:tc>
        <w:tc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p>
            <w:pPr>
              <w:pStyle w:val="Compact"/>
              <w:jc w:val="right"/>
            </w:pPr>
            <w:r>
              <w:t xml:space="preserve">3.167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-1.186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6.391</w:t>
            </w:r>
          </w:p>
        </w:tc>
        <w:tc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p>
            <w:pPr>
              <w:pStyle w:val="Compact"/>
              <w:jc w:val="right"/>
            </w:pPr>
            <w:r>
              <w:t xml:space="preserve">3.833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1.370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-0.597</w:t>
            </w:r>
          </w:p>
        </w:tc>
        <w:tc>
          <w:p>
            <w:pPr>
              <w:pStyle w:val="Compact"/>
              <w:jc w:val="right"/>
            </w:pPr>
            <w:r>
              <w:t xml:space="preserve">-1.162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5.542</w:t>
            </w:r>
          </w:p>
        </w:tc>
        <w:tc>
          <w:p>
            <w:pPr>
              <w:pStyle w:val="Compact"/>
              <w:jc w:val="right"/>
            </w:pPr>
            <w:r>
              <w:t xml:space="preserve">6.083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1.940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2.208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-1.056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6.826</w:t>
            </w:r>
          </w:p>
        </w:tc>
        <w:tc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-0.491</w:t>
            </w:r>
          </w:p>
        </w:tc>
        <w:tc>
          <w:p>
            <w:pPr>
              <w:pStyle w:val="Compact"/>
              <w:jc w:val="right"/>
            </w:pPr>
            <w:r>
              <w:t xml:space="preserve">-0.537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6.502</w:t>
            </w:r>
          </w:p>
        </w:tc>
        <w:tc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p>
            <w:pPr>
              <w:pStyle w:val="Compact"/>
              <w:jc w:val="right"/>
            </w:pPr>
            <w:r>
              <w:t xml:space="preserve">1.404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1.667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-1.491</w:t>
            </w:r>
          </w:p>
        </w:tc>
        <w:tc>
          <w:p>
            <w:pPr>
              <w:pStyle w:val="Compact"/>
              <w:jc w:val="right"/>
            </w:pPr>
            <w:r>
              <w:t xml:space="preserve">2.461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692c758e31a511ea/results/anc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9" w:name="checking-of-assumptions"/>
    <w:p>
      <w:pPr>
        <w:pStyle w:val="Heading2"/>
      </w:pPr>
      <w:r>
        <w:t xml:space="preserve">Checking of Assumptions</w:t>
      </w:r>
    </w:p>
    <w:bookmarkStart w:id="31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29" w:name="X6693df6d94e3904c269fe52af20a2f49fcdda45"/>
    <w:p>
      <w:pPr>
        <w:pStyle w:val="Heading4"/>
      </w:pPr>
      <w:r>
        <w:t xml:space="preserve">Applying transformation for skewness data when normality is not achieved in any dependent variables or covariance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692c758e31a511ea/results/anc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density_res_plot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692c758e31a511ea/results/ancov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"autoeficacia.pre"</w:t>
      </w:r>
      <w:r>
        <w:rPr>
          <w:rStyle w:val="NormalTok"/>
        </w:rPr>
        <w:t xml:space="preserve">)</w:t>
      </w:r>
    </w:p>
    <w:bookmarkEnd w:id="30"/>
    <w:bookmarkEnd w:id="31"/>
    <w:bookmarkStart w:id="35" w:name="X94f3a7b2bae4211e00805492d4917b1cadd088d"/>
    <w:p>
      <w:pPr>
        <w:pStyle w:val="Heading3"/>
      </w:pPr>
      <w:r>
        <w:t xml:space="preserve">Assumption: Normality distribution of data</w:t>
      </w:r>
    </w:p>
    <w:bookmarkStart w:id="32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"p69"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remove_from_datatable</w:t>
      </w:r>
      <w:r>
        <w:rPr>
          <w:rStyle w:val="NormalTok"/>
        </w:rPr>
        <w:t xml:space="preserve">(rdat, non.normal, wid)</w:t>
      </w:r>
    </w:p>
    <w:p>
      <w:pPr>
        <w:pStyle w:val="SourceCode"/>
      </w:pPr>
      <w:r>
        <w:rPr>
          <w:rStyle w:val="VerbatimChar"/>
        </w:rPr>
        <w:t xml:space="preserve">## [1] "autoeficacia.pos"</w:t>
      </w:r>
    </w:p>
    <w:bookmarkEnd w:id="32"/>
    <w:bookmarkStart w:id="33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1.366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33"/>
    <w:bookmarkStart w:id="34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performed for groups with number greater than 30 observations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20"/>
        <w:gridCol w:w="578"/>
        <w:gridCol w:w="982"/>
        <w:gridCol w:w="231"/>
        <w:gridCol w:w="346"/>
        <w:gridCol w:w="404"/>
        <w:gridCol w:w="346"/>
        <w:gridCol w:w="346"/>
        <w:gridCol w:w="346"/>
        <w:gridCol w:w="346"/>
        <w:gridCol w:w="346"/>
        <w:gridCol w:w="346"/>
        <w:gridCol w:w="578"/>
        <w:gridCol w:w="751"/>
        <w:gridCol w:w="578"/>
        <w:gridCol w:w="346"/>
        <w:gridCol w:w="520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1.723</w:t>
            </w:r>
          </w:p>
        </w:tc>
        <w:tc>
          <w:p>
            <w:pPr>
              <w:pStyle w:val="Compact"/>
              <w:jc w:val="right"/>
            </w:pPr>
            <w:r>
              <w:t xml:space="preserve">1.780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1.547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2.113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1.710</w:t>
            </w:r>
          </w:p>
        </w:tc>
        <w:tc>
          <w:p>
            <w:pPr>
              <w:pStyle w:val="Compact"/>
              <w:jc w:val="right"/>
            </w:pPr>
            <w:r>
              <w:t xml:space="preserve">1.706</w:t>
            </w:r>
          </w:p>
        </w:tc>
        <w:tc>
          <w:p>
            <w:pPr>
              <w:pStyle w:val="Compact"/>
              <w:jc w:val="right"/>
            </w:pPr>
            <w:r>
              <w:t xml:space="preserve">1.193</w:t>
            </w:r>
          </w:p>
        </w:tc>
        <w:tc>
          <w:p>
            <w:pPr>
              <w:pStyle w:val="Compact"/>
              <w:jc w:val="right"/>
            </w:pPr>
            <w:r>
              <w:t xml:space="preserve">2.247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1.644</w:t>
            </w:r>
          </w:p>
        </w:tc>
        <w:tc>
          <w:p>
            <w:pPr>
              <w:pStyle w:val="Compact"/>
              <w:jc w:val="right"/>
            </w:pPr>
            <w:r>
              <w:t xml:space="preserve">1.633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1.886</w:t>
            </w:r>
          </w:p>
        </w:tc>
        <w:tc>
          <w:p>
            <w:pPr>
              <w:pStyle w:val="Compact"/>
              <w:jc w:val="right"/>
            </w:pPr>
            <w:r>
              <w:t xml:space="preserve">1.933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1.343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1.581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1.604</w:t>
            </w:r>
          </w:p>
        </w:tc>
        <w:tc>
          <w:p>
            <w:pPr>
              <w:pStyle w:val="Compact"/>
              <w:jc w:val="right"/>
            </w:pPr>
            <w:r>
              <w:t xml:space="preserve">1.581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7.350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34"/>
    <w:bookmarkEnd w:id="35"/>
    <w:bookmarkStart w:id="37" w:name="Xf3367d7f1cacaca3a844f6708d8b5efa9ff12cb"/>
    <w:p>
      <w:pPr>
        <w:pStyle w:val="Heading3"/>
      </w:pPr>
      <w:r>
        <w:t xml:space="preserve">Assumption: Linearity of dependent variables and covariate variable</w:t>
      </w:r>
    </w:p>
    <w:p>
      <w:pPr>
        <w:numPr>
          <w:ilvl w:val="0"/>
          <w:numId w:val="1003"/>
        </w:numPr>
        <w:pStyle w:val="Compact"/>
      </w:pPr>
      <w:r>
        <w:t xml:space="preserve">Linearity test in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facet.by=</w:t>
      </w:r>
      <w:r>
        <w:rPr>
          <w:rStyle w:val="NormalTok"/>
        </w:rPr>
        <w:t xml:space="preserve">between, </w:t>
      </w:r>
      <w:r>
        <w:rPr>
          <w:rStyle w:val="AttributeTok"/>
        </w:rPr>
        <w:t xml:space="preserve">short.panel.labs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692c758e31a511ea/results/ancov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23"/>
        <w:gridCol w:w="1094"/>
        <w:gridCol w:w="965"/>
        <w:gridCol w:w="1738"/>
        <w:gridCol w:w="257"/>
        <w:gridCol w:w="515"/>
        <w:gridCol w:w="515"/>
        <w:gridCol w:w="643"/>
        <w:gridCol w:w="386"/>
        <w:gridCol w:w="579"/>
      </w:tblGrid>
      <w:tr>
        <w:tc>
          <w:p/>
        </w:tc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DFn.df1</w:t>
            </w:r>
          </w:p>
        </w:tc>
        <w:tc>
          <w:p>
            <w:pPr>
              <w:pStyle w:val="Compact"/>
              <w:jc w:val="right"/>
            </w:pPr>
            <w:r>
              <w:t xml:space="preserve">DFd.df2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autoeficacia.pos.1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2.855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autoeficacia.pos.2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Anova’s slopes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1.163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38"/>
    <w:bookmarkEnd w:id="39"/>
    <w:bookmarkStart w:id="41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520"/>
        <w:gridCol w:w="578"/>
        <w:gridCol w:w="982"/>
        <w:gridCol w:w="231"/>
        <w:gridCol w:w="346"/>
        <w:gridCol w:w="404"/>
        <w:gridCol w:w="346"/>
        <w:gridCol w:w="346"/>
        <w:gridCol w:w="346"/>
        <w:gridCol w:w="346"/>
        <w:gridCol w:w="346"/>
        <w:gridCol w:w="346"/>
        <w:gridCol w:w="578"/>
        <w:gridCol w:w="751"/>
        <w:gridCol w:w="578"/>
        <w:gridCol w:w="346"/>
        <w:gridCol w:w="520"/>
      </w:tblGrid>
      <w:tr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1.723</w:t>
            </w:r>
          </w:p>
        </w:tc>
        <w:tc>
          <w:p>
            <w:pPr>
              <w:pStyle w:val="Compact"/>
              <w:jc w:val="right"/>
            </w:pPr>
            <w:r>
              <w:t xml:space="preserve">1.780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1.547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2.113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1.710</w:t>
            </w:r>
          </w:p>
        </w:tc>
        <w:tc>
          <w:p>
            <w:pPr>
              <w:pStyle w:val="Compact"/>
              <w:jc w:val="right"/>
            </w:pPr>
            <w:r>
              <w:t xml:space="preserve">1.706</w:t>
            </w:r>
          </w:p>
        </w:tc>
        <w:tc>
          <w:p>
            <w:pPr>
              <w:pStyle w:val="Compact"/>
              <w:jc w:val="right"/>
            </w:pPr>
            <w:r>
              <w:t xml:space="preserve">1.193</w:t>
            </w:r>
          </w:p>
        </w:tc>
        <w:tc>
          <w:p>
            <w:pPr>
              <w:pStyle w:val="Compact"/>
              <w:jc w:val="right"/>
            </w:pPr>
            <w:r>
              <w:t xml:space="preserve">2.247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1.644</w:t>
            </w:r>
          </w:p>
        </w:tc>
        <w:tc>
          <w:p>
            <w:pPr>
              <w:pStyle w:val="Compact"/>
              <w:jc w:val="right"/>
            </w:pPr>
            <w:r>
              <w:t xml:space="preserve">1.633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1.886</w:t>
            </w:r>
          </w:p>
        </w:tc>
        <w:tc>
          <w:p>
            <w:pPr>
              <w:pStyle w:val="Compact"/>
              <w:jc w:val="right"/>
            </w:pPr>
            <w:r>
              <w:t xml:space="preserve">1.933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1.343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1.581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1.604</w:t>
            </w:r>
          </w:p>
        </w:tc>
        <w:tc>
          <w:p>
            <w:pPr>
              <w:pStyle w:val="Compact"/>
              <w:jc w:val="right"/>
            </w:pPr>
            <w:r>
              <w:t xml:space="preserve">1.581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2.306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left"/>
            </w:pPr>
            <w:r>
              <w:t xml:space="preserve">QQ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right"/>
            </w:pPr>
            <w:r>
              <w:t xml:space="preserve">7.350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692c758e31a511ea/results/ancov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51" w:name="X36a81a69a5136d3a91624d9f9a5648d92d916be"/>
    <w:p>
      <w:pPr>
        <w:pStyle w:val="Heading2"/>
      </w:pPr>
      <w:r>
        <w:t xml:space="preserve">Computation of ANCOVA Test and Pairwise Comparison</w:t>
      </w:r>
    </w:p>
    <w:bookmarkStart w:id="42" w:name="ancova-test"/>
    <w:p>
      <w:pPr>
        <w:pStyle w:val="Heading3"/>
      </w:pPr>
      <w:r>
        <w:t xml:space="preserve">ANCOVA test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8.499</w:t>
            </w:r>
          </w:p>
        </w:tc>
        <w:tc>
          <w:p>
            <w:pPr>
              <w:pStyle w:val="Compact"/>
              <w:jc w:val="right"/>
            </w:pPr>
            <w:r>
              <w:t xml:space="preserve">43.376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8.499</w:t>
            </w:r>
          </w:p>
        </w:tc>
        <w:tc>
          <w:p>
            <w:pPr>
              <w:pStyle w:val="Compact"/>
              <w:jc w:val="right"/>
            </w:pPr>
            <w:r>
              <w:t xml:space="preserve">5.003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8.499</w:t>
            </w:r>
          </w:p>
        </w:tc>
        <w:tc>
          <w:p>
            <w:pPr>
              <w:pStyle w:val="Compact"/>
              <w:jc w:val="right"/>
            </w:pPr>
            <w:r>
              <w:t xml:space="preserve">9.185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stType:gender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8.499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2"/>
    <w:bookmarkStart w:id="43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35"/>
        <w:gridCol w:w="653"/>
        <w:gridCol w:w="726"/>
        <w:gridCol w:w="653"/>
        <w:gridCol w:w="726"/>
        <w:gridCol w:w="653"/>
        <w:gridCol w:w="435"/>
        <w:gridCol w:w="290"/>
        <w:gridCol w:w="726"/>
        <w:gridCol w:w="435"/>
        <w:gridCol w:w="435"/>
        <w:gridCol w:w="944"/>
      </w:tblGrid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3.214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3.086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1.007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3.286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bookmarkEnd w:id="43"/>
    <w:bookmarkStart w:id="44" w:name="X3a0cd5a9e49dafcd0329486f6235fe6cc4414e4"/>
    <w:p>
      <w:pPr>
        <w:pStyle w:val="Heading3"/>
      </w:pPr>
      <w:r>
        <w:t xml:space="preserve">Estimated Marginal Means and ANCOVA Plots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170"/>
        <w:gridCol w:w="619"/>
        <w:gridCol w:w="688"/>
        <w:gridCol w:w="1170"/>
        <w:gridCol w:w="206"/>
        <w:gridCol w:w="482"/>
        <w:gridCol w:w="550"/>
        <w:gridCol w:w="619"/>
        <w:gridCol w:w="688"/>
        <w:gridCol w:w="413"/>
        <w:gridCol w:w="482"/>
        <w:gridCol w:w="413"/>
        <w:gridCol w:w="413"/>
      </w:tblGrid>
      <w:tr>
        <w:tc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autoeficacia.pre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1.595</w:t>
            </w:r>
          </w:p>
        </w:tc>
        <w:tc>
          <w:p>
            <w:pPr>
              <w:pStyle w:val="Compact"/>
              <w:jc w:val="right"/>
            </w:pPr>
            <w:r>
              <w:t xml:space="preserve">1.879</w:t>
            </w:r>
          </w:p>
        </w:tc>
        <w:tc>
          <w:p>
            <w:pPr>
              <w:pStyle w:val="Compact"/>
              <w:jc w:val="right"/>
            </w:pPr>
            <w:r>
              <w:t xml:space="preserve">1.723</w:t>
            </w:r>
          </w:p>
        </w:tc>
        <w:tc>
          <w:p>
            <w:pPr>
              <w:pStyle w:val="Compact"/>
              <w:jc w:val="right"/>
            </w:pPr>
            <w:r>
              <w:t xml:space="preserve">1.780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1.519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1.547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1.715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1.556</w:t>
            </w:r>
          </w:p>
        </w:tc>
        <w:tc>
          <w:p>
            <w:pPr>
              <w:pStyle w:val="Compact"/>
              <w:jc w:val="right"/>
            </w:pPr>
            <w:r>
              <w:t xml:space="preserve">1.874</w:t>
            </w:r>
          </w:p>
        </w:tc>
        <w:tc>
          <w:p>
            <w:pPr>
              <w:pStyle w:val="Compact"/>
              <w:jc w:val="right"/>
            </w:pPr>
            <w:r>
              <w:t xml:space="preserve">1.710</w:t>
            </w:r>
          </w:p>
        </w:tc>
        <w:tc>
          <w:p>
            <w:pPr>
              <w:pStyle w:val="Compact"/>
              <w:jc w:val="right"/>
            </w:pPr>
            <w:r>
              <w:t xml:space="preserve">1.706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1.617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1.724</w:t>
            </w:r>
          </w:p>
        </w:tc>
        <w:tc>
          <w:p>
            <w:pPr>
              <w:pStyle w:val="Compact"/>
              <w:jc w:val="right"/>
            </w:pPr>
            <w:r>
              <w:t xml:space="preserve">1.644</w:t>
            </w:r>
          </w:p>
        </w:tc>
        <w:tc>
          <w:p>
            <w:pPr>
              <w:pStyle w:val="Compact"/>
              <w:jc w:val="right"/>
            </w:pPr>
            <w:r>
              <w:t xml:space="preserve">1.633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1.702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1.545</w:t>
            </w:r>
          </w:p>
        </w:tc>
        <w:tc>
          <w:p>
            <w:pPr>
              <w:pStyle w:val="Compact"/>
              <w:jc w:val="right"/>
            </w:pPr>
            <w:r>
              <w:t xml:space="preserve">1.859</w:t>
            </w:r>
          </w:p>
        </w:tc>
        <w:tc>
          <w:p>
            <w:pPr>
              <w:pStyle w:val="Compact"/>
              <w:jc w:val="right"/>
            </w:pPr>
            <w:r>
              <w:t xml:space="preserve">1.886</w:t>
            </w:r>
          </w:p>
        </w:tc>
        <w:tc>
          <w:p>
            <w:pPr>
              <w:pStyle w:val="Compact"/>
              <w:jc w:val="right"/>
            </w:pPr>
            <w:r>
              <w:t xml:space="preserve">1.933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1.380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1.271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1.343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</w:tbl>
    <w:bookmarkEnd w:id="44"/>
    <w:bookmarkStart w:id="49" w:name="X7f0185fb70e9adb6b7e0d0a673885c3116b75b5"/>
    <w:p>
      <w:pPr>
        <w:pStyle w:val="Heading3"/>
      </w:pPr>
      <w:r>
        <w:t xml:space="preserve">Ancova plots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twoWayAncovaPlots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between</w:t>
      </w:r>
      <w:r>
        <w:br/>
      </w:r>
      <w:r>
        <w:rPr>
          <w:rStyle w:val="NormalTok"/>
        </w:rPr>
        <w:t xml:space="preserve">, aov[[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bookmarkStart w:id="46" w:name="plot-for-autoeficacia.pos-sttype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stType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692c758e31a511ea/results/anc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8" w:name="plot-for-autoeficacia.pos-gender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gender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rstudio/report/ancova/692c758e31a511ea/results/ancov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0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After controlling the linearity of covariance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, ANCOVA tests with independent between-subjects variables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(default, stFemale, stMale) and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(Feminino, Masculino)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 </w:t>
      </w:r>
      <w:r>
        <w:t xml:space="preserve">with F(1,110)=43.376, p&lt;0.001 and ges=0.283 (effect size) and in the factor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with F(2,110)=5.003, p=0.008 and ges=0.083 (effect size) and in the factor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with F(1,110)=9.185, p=0.003 and ges=0.077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 mean in the stType=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(adj M=1.637 and SD=0.364)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M=1.38 and SD=0.153) with p-adj=0.005; the mean in the stType=</w:t>
      </w:r>
      <w:r>
        <w:t xml:space="preserve">“</w:t>
      </w:r>
      <w:r>
        <w:t xml:space="preserve">stFemale</w:t>
      </w:r>
      <w:r>
        <w:t xml:space="preserve">”</w:t>
      </w:r>
      <w:r>
        <w:t xml:space="preserve"> </w:t>
      </w:r>
      <w:r>
        <w:t xml:space="preserve">(adj M=1.617 and SD=0.325)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M=1.38 and SD=0.153) with p-adj=0.008; the mean in the gender=</w:t>
      </w:r>
      <w:r>
        <w:t xml:space="preserve">“</w:t>
      </w:r>
      <w:r>
        <w:t xml:space="preserve">Feminino</w:t>
      </w:r>
      <w:r>
        <w:t xml:space="preserve">”</w:t>
      </w:r>
      <w:r>
        <w:t xml:space="preserve"> </w:t>
      </w:r>
      <w:r>
        <w:t xml:space="preserve">(adj M=1.702 and SD=0.318) was significantly different than the mean in the gender=</w:t>
      </w:r>
      <w:r>
        <w:t xml:space="preserve">“</w:t>
      </w:r>
      <w:r>
        <w:t xml:space="preserve">Masculino</w:t>
      </w:r>
      <w:r>
        <w:t xml:space="preserve">”</w:t>
      </w:r>
      <w:r>
        <w:t xml:space="preserve"> </w:t>
      </w:r>
      <w:r>
        <w:t xml:space="preserve">(adj M=1.38 and SD=0.153) with p-adj=0.001.</w:t>
      </w:r>
    </w:p>
    <w:bookmarkEnd w:id="50"/>
    <w:bookmarkEnd w:id="51"/>
    <w:bookmarkStart w:id="53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4"/>
        </w:numPr>
      </w:pPr>
      <w:r>
        <w:t xml:space="preserve">Use the site</w:t>
      </w:r>
      <w:r>
        <w:t xml:space="preserve"> </w:t>
      </w:r>
      <w:hyperlink r:id="rId52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4"/>
        </w:numPr>
      </w:pPr>
      <w:r>
        <w:t xml:space="preserve">[1]: Ghasemi, A., &amp; Zahediasl, S. (2012). Normality tests for statistical analysis: a guide for non-statisticians. International journal of endocrinology and metabolism, 10(2), 486.</w:t>
      </w:r>
    </w:p>
    <w:p>
      <w:pPr>
        <w:numPr>
          <w:ilvl w:val="0"/>
          <w:numId w:val="1004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4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52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52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 test for autoeficacia.pos</dc:title>
  <dc:creator>Geiser C. Challco geiser@alumni.usp.br</dc:creator>
  <cp:keywords/>
  <dcterms:created xsi:type="dcterms:W3CDTF">2021-06-03T12:59:12Z</dcterms:created>
  <dcterms:modified xsi:type="dcterms:W3CDTF">2021-06-03T12:59:12Z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