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4.png" ContentType="image/png"/>
  <Override PartName="/word/media/rId27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~</w:t>
      </w:r>
      <w:r>
        <w:rPr>
          <w:rStyle w:val="VerbatimChar"/>
        </w:rPr>
        <w:t xml:space="preserve">condicao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points</w:t>
      </w:r>
      <w:r>
        <w:t xml:space="preserve"> </w:t>
      </w:r>
      <w:hyperlink r:id="rId23">
        <w:r>
          <w:rPr>
            <w:rStyle w:val="Hyperlink"/>
          </w:rPr>
          <w:t xml:space="preserve">../data/table-for-points.csv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without outliers and normal distribution of data:</w:t>
      </w:r>
      <w:r>
        <w:t xml:space="preserve"> </w:t>
      </w:r>
      <w:hyperlink r:id="rId24">
        <w:r>
          <w:rPr>
            <w:rStyle w:val="Hyperlink"/>
          </w:rPr>
          <w:t xml:space="preserve">../data/table-with-normal-distribution.csv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Other data files:</w:t>
      </w:r>
      <w:r>
        <w:t xml:space="preserve"> </w:t>
      </w:r>
      <w:hyperlink r:id="rId25">
        <w:r>
          <w:rPr>
            <w:rStyle w:val="Hyperlink"/>
          </w:rPr>
          <w:t xml:space="preserve">../data/</w:t>
        </w:r>
      </w:hyperlink>
    </w:p>
    <w:p>
      <w:pPr>
        <w:numPr>
          <w:ilvl w:val="0"/>
          <w:numId w:val="1001"/>
        </w:numPr>
        <w:pStyle w:val="Compact"/>
      </w:pPr>
      <w:r>
        <w:t xml:space="preserve">Files related to the presented results:</w:t>
      </w:r>
      <w:r>
        <w:t xml:space="preserve"> </w:t>
      </w:r>
      <w:hyperlink r:id="rId26">
        <w:r>
          <w:rPr>
            <w:rStyle w:val="Hyperlink"/>
          </w:rPr>
          <w:t xml:space="preserve">../results/</w:t>
        </w:r>
      </w:hyperlink>
    </w:p>
    <w:bookmarkStart w:id="30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58"/>
        <w:gridCol w:w="758"/>
        <w:gridCol w:w="337"/>
        <w:gridCol w:w="589"/>
        <w:gridCol w:w="589"/>
        <w:gridCol w:w="337"/>
        <w:gridCol w:w="337"/>
        <w:gridCol w:w="505"/>
        <w:gridCol w:w="505"/>
        <w:gridCol w:w="505"/>
        <w:gridCol w:w="421"/>
        <w:gridCol w:w="758"/>
        <w:gridCol w:w="758"/>
        <w:gridCol w:w="7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e6ab992124fac436/results/anova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"p79"  "p90"  "p33"  "p14"  "p56"  "p61"  "p124" "p127" "p129" "p140"</w:t>
      </w:r>
    </w:p>
    <w:bookmarkEnd w:id="30"/>
    <w:bookmarkEnd w:id="31"/>
    <w:bookmarkStart w:id="46" w:name="checking-of-assumptions"/>
    <w:p>
      <w:pPr>
        <w:pStyle w:val="Heading2"/>
      </w:pPr>
      <w:r>
        <w:t xml:space="preserve">Checking of Assumptions</w:t>
      </w:r>
    </w:p>
    <w:bookmarkStart w:id="40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38" w:name="X1bf3d1a91a44d1d2e6159e00380182afafe3f9b"/>
    <w:p>
      <w:pPr>
        <w:pStyle w:val="Heading4"/>
      </w:pPr>
      <w:r>
        <w:t xml:space="preserve">Applying transformation for skewness data when normality is not achieved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e6ab992124fac436/results/anova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"std.points"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"std.points"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e6ab992124fac436/results/anova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skewness=</w:t>
      </w:r>
      <w:r>
        <w:rPr>
          <w:rStyle w:val="NormalTok"/>
        </w:rPr>
        <w:t xml:space="preserve">skewness)</w:t>
      </w:r>
    </w:p>
    <w:bookmarkEnd w:id="39"/>
    <w:bookmarkEnd w:id="40"/>
    <w:bookmarkStart w:id="44" w:name="X94f3a7b2bae4211e00805492d4917b1cadd088d"/>
    <w:p>
      <w:pPr>
        <w:pStyle w:val="Heading3"/>
      </w:pPr>
      <w:r>
        <w:t xml:space="preserve">Assumption: Normality distribution of data</w:t>
      </w:r>
    </w:p>
    <w:bookmarkStart w:id="41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removeFromDataTable</w:t>
      </w:r>
      <w:r>
        <w:rPr>
          <w:rStyle w:val="NormalTok"/>
        </w:rPr>
        <w:t xml:space="preserve">(rdat, non.normal, wid)</w:t>
      </w:r>
    </w:p>
    <w:bookmarkEnd w:id="41"/>
    <w:bookmarkStart w:id="42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609"/>
        <w:gridCol w:w="348"/>
        <w:gridCol w:w="783"/>
        <w:gridCol w:w="783"/>
        <w:gridCol w:w="783"/>
        <w:gridCol w:w="870"/>
        <w:gridCol w:w="957"/>
        <w:gridCol w:w="522"/>
        <w:gridCol w:w="783"/>
        <w:gridCol w:w="8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42"/>
    <w:bookmarkStart w:id="43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valid for groups with number greater than 30 observations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89"/>
        <w:gridCol w:w="589"/>
        <w:gridCol w:w="196"/>
        <w:gridCol w:w="458"/>
        <w:gridCol w:w="458"/>
        <w:gridCol w:w="458"/>
        <w:gridCol w:w="458"/>
        <w:gridCol w:w="392"/>
        <w:gridCol w:w="392"/>
        <w:gridCol w:w="392"/>
        <w:gridCol w:w="392"/>
        <w:gridCol w:w="654"/>
        <w:gridCol w:w="850"/>
        <w:gridCol w:w="654"/>
        <w:gridCol w:w="392"/>
        <w:gridCol w:w="5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43"/>
    <w:bookmarkEnd w:id="44"/>
    <w:bookmarkStart w:id="45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52"/>
        <w:gridCol w:w="652"/>
        <w:gridCol w:w="1304"/>
        <w:gridCol w:w="1863"/>
        <w:gridCol w:w="372"/>
        <w:gridCol w:w="372"/>
        <w:gridCol w:w="372"/>
        <w:gridCol w:w="931"/>
        <w:gridCol w:w="559"/>
        <w:gridCol w:w="83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</w:t>
            </w:r>
            <w:r>
              <w:t xml:space="preserve">~</w:t>
            </w:r>
            <w:r>
              <w:rPr>
                <w:rStyle w:val="VerbatimChar"/>
              </w:rP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5"/>
    <w:bookmarkEnd w:id="46"/>
    <w:bookmarkStart w:id="50" w:name="X18e8b7457ed4a1899044fd695bf7a76cd4f3b67"/>
    <w:p>
      <w:pPr>
        <w:pStyle w:val="Heading2"/>
      </w:pPr>
      <w:r>
        <w:t xml:space="preserve">Saving the Data with Normal Distribution Used for Performing ANOVA test</w:t>
      </w:r>
    </w:p>
    <w:p>
      <w:pPr>
        <w:pStyle w:val="SourceCode"/>
      </w:pPr>
      <w:r>
        <w:rPr>
          <w:rStyle w:val="NormalTok"/>
        </w:rPr>
        <w:t xml:space="preserve">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(sdat)[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(ndat, sdat[[dv]])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(ndat,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"../data/table-with-normal-distribution.csv"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0"/>
        <w:gridCol w:w="950"/>
        <w:gridCol w:w="950"/>
        <w:gridCol w:w="316"/>
        <w:gridCol w:w="739"/>
        <w:gridCol w:w="739"/>
        <w:gridCol w:w="422"/>
        <w:gridCol w:w="528"/>
        <w:gridCol w:w="633"/>
        <w:gridCol w:w="633"/>
        <w:gridCol w:w="633"/>
        <w:gridCol w:w="42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e6ab992124fac436/results/anova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60" w:name="Xf6ee8544a8f098179c32080f68ef29282e818f9"/>
    <w:p>
      <w:pPr>
        <w:pStyle w:val="Heading2"/>
      </w:pPr>
      <w:r>
        <w:t xml:space="preserve">Computation of ANOVA test and Pairwise Comparison</w:t>
      </w:r>
    </w:p>
    <w:bookmarkStart w:id="51" w:name="anova-test"/>
    <w:p>
      <w:pPr>
        <w:pStyle w:val="Heading3"/>
      </w:pPr>
      <w:r>
        <w:t xml:space="preserve">ANOVA test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66"/>
        <w:gridCol w:w="1113"/>
        <w:gridCol w:w="495"/>
        <w:gridCol w:w="495"/>
        <w:gridCol w:w="742"/>
        <w:gridCol w:w="866"/>
        <w:gridCol w:w="742"/>
        <w:gridCol w:w="742"/>
        <w:gridCol w:w="742"/>
        <w:gridCol w:w="11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bookmarkEnd w:id="51"/>
    <w:bookmarkStart w:id="52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89"/>
        <w:gridCol w:w="758"/>
        <w:gridCol w:w="758"/>
        <w:gridCol w:w="758"/>
        <w:gridCol w:w="758"/>
        <w:gridCol w:w="842"/>
        <w:gridCol w:w="505"/>
        <w:gridCol w:w="842"/>
        <w:gridCol w:w="505"/>
        <w:gridCol w:w="505"/>
        <w:gridCol w:w="10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52"/>
    <w:bookmarkStart w:id="53" w:name="X115d066783c92b07639c83880883e6056312471"/>
    <w:p>
      <w:pPr>
        <w:pStyle w:val="Heading3"/>
      </w:pPr>
      <w:r>
        <w:t xml:space="preserve">Descriptive Statistic of Estimated Marginal Means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9"/>
        <w:gridCol w:w="963"/>
        <w:gridCol w:w="321"/>
        <w:gridCol w:w="749"/>
        <w:gridCol w:w="749"/>
        <w:gridCol w:w="963"/>
        <w:gridCol w:w="1070"/>
        <w:gridCol w:w="642"/>
        <w:gridCol w:w="856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sd.emms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se.emms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</w:tbl>
    <w:bookmarkEnd w:id="53"/>
    <w:bookmarkStart w:id="58" w:name="X42a0982f633cf9bf3ba8f7c43f9e1f95268a2d5"/>
    <w:p>
      <w:pPr>
        <w:pStyle w:val="Heading3"/>
      </w:pPr>
      <w:r>
        <w:t xml:space="preserve">Anova plots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oneWayAnovaPlots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between, aov[[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p.label=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)</w:t>
      </w:r>
    </w:p>
    <w:bookmarkStart w:id="57" w:name="plot-of-points-based-on-condicao"/>
    <w:p>
      <w:pPr>
        <w:pStyle w:val="Heading4"/>
      </w:pPr>
      <w:r>
        <w:t xml:space="preserve">Plot of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e6ab992124fac436/results/anova_files/figure-docx/unnamed-chunk-2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59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ANOVA tests with independent between-subjects variables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(inBoost, inThreat, neutro)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with F(2,139)=3.843, p=0.024 and ges=0.052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 mean in the condicao=</w:t>
      </w:r>
      <w:r>
        <w:t xml:space="preserve">“</w:t>
      </w:r>
      <w:r>
        <w:t xml:space="preserve">inBoost</w:t>
      </w:r>
      <w:r>
        <w:t xml:space="preserve">”</w:t>
      </w:r>
      <w:r>
        <w:t xml:space="preserve"> </w:t>
      </w:r>
      <w:r>
        <w:t xml:space="preserve">(adj M=12.855 and SD=4.786) was significantly different than the mean in the condicao=</w:t>
      </w:r>
      <w:r>
        <w:t xml:space="preserve">“</w:t>
      </w:r>
      <w:r>
        <w:t xml:space="preserve">inThreat</w:t>
      </w:r>
      <w:r>
        <w:t xml:space="preserve">”</w:t>
      </w:r>
      <w:r>
        <w:t xml:space="preserve"> </w:t>
      </w:r>
      <w:r>
        <w:t xml:space="preserve">(adj M=10.955 and SD=4.356) with p-adj=0.032.</w:t>
      </w:r>
    </w:p>
    <w:bookmarkEnd w:id="59"/>
    <w:bookmarkEnd w:id="60"/>
    <w:bookmarkStart w:id="62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3"/>
        </w:numPr>
      </w:pPr>
      <w:r>
        <w:t xml:space="preserve">Use the site</w:t>
      </w:r>
      <w:r>
        <w:t xml:space="preserve"> </w:t>
      </w:r>
      <w:hyperlink r:id="rId61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3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3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1" Target="../code/an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1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code/an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1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test for points~condicao</dc:title>
  <dc:creator>Geiser C. Challco geiser@alumni.usp.br</dc:creator>
  <cp:keywords/>
  <dcterms:created xsi:type="dcterms:W3CDTF">2022-12-11T15:00:57Z</dcterms:created>
  <dcterms:modified xsi:type="dcterms:W3CDTF">2022-12-11T15:00:57Z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