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FB0" w:rsidRDefault="00314FB0" w:rsidP="00314FB0">
      <w:pPr>
        <w:pStyle w:val="11"/>
      </w:pPr>
      <w:r>
        <w:t>Оглавление</w:t>
      </w:r>
    </w:p>
    <w:p w:rsidR="00314FB0" w:rsidRDefault="00314FB0" w:rsidP="00314FB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33680508" w:history="1">
        <w:r w:rsidRPr="00144FAE">
          <w:rPr>
            <w:rStyle w:val="a4"/>
            <w:noProof/>
          </w:rPr>
          <w:t>Разработка кинематической схемы рулевого привода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_Toc533680508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4FB0" w:rsidRDefault="00BD67E1" w:rsidP="00314FB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680509" w:history="1">
        <w:r w:rsidR="00314FB0" w:rsidRPr="00144FAE">
          <w:rPr>
            <w:rStyle w:val="a4"/>
            <w:noProof/>
          </w:rPr>
          <w:t>Расчет потребной мощности для поворота колеса</w:t>
        </w:r>
        <w:r w:rsidR="00314FB0">
          <w:rPr>
            <w:noProof/>
            <w:webHidden/>
          </w:rPr>
          <w:tab/>
        </w:r>
        <w:r w:rsidR="00314FB0">
          <w:rPr>
            <w:noProof/>
            <w:webHidden/>
          </w:rPr>
          <w:fldChar w:fldCharType="begin"/>
        </w:r>
        <w:r w:rsidR="00314FB0">
          <w:rPr>
            <w:noProof/>
            <w:webHidden/>
          </w:rPr>
          <w:instrText xml:space="preserve"> PAGEREF _Toc533680509 \h </w:instrText>
        </w:r>
        <w:r w:rsidR="00314FB0">
          <w:rPr>
            <w:noProof/>
            <w:webHidden/>
          </w:rPr>
        </w:r>
        <w:r w:rsidR="00314FB0">
          <w:rPr>
            <w:noProof/>
            <w:webHidden/>
          </w:rPr>
          <w:fldChar w:fldCharType="separate"/>
        </w:r>
        <w:r w:rsidR="00314FB0">
          <w:rPr>
            <w:noProof/>
            <w:webHidden/>
          </w:rPr>
          <w:t>3</w:t>
        </w:r>
        <w:r w:rsidR="00314FB0">
          <w:rPr>
            <w:noProof/>
            <w:webHidden/>
          </w:rPr>
          <w:fldChar w:fldCharType="end"/>
        </w:r>
      </w:hyperlink>
    </w:p>
    <w:p w:rsidR="00314FB0" w:rsidRDefault="00BD67E1" w:rsidP="00314FB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680510" w:history="1">
        <w:r w:rsidR="00314FB0" w:rsidRPr="00144FAE">
          <w:rPr>
            <w:rStyle w:val="a4"/>
            <w:noProof/>
          </w:rPr>
          <w:t>Список используемой литературы</w:t>
        </w:r>
        <w:r w:rsidR="00314FB0">
          <w:rPr>
            <w:noProof/>
            <w:webHidden/>
          </w:rPr>
          <w:tab/>
        </w:r>
        <w:r w:rsidR="00314FB0">
          <w:rPr>
            <w:noProof/>
            <w:webHidden/>
          </w:rPr>
          <w:fldChar w:fldCharType="begin"/>
        </w:r>
        <w:r w:rsidR="00314FB0">
          <w:rPr>
            <w:noProof/>
            <w:webHidden/>
          </w:rPr>
          <w:instrText xml:space="preserve"> PAGEREF _Toc533680510 \h </w:instrText>
        </w:r>
        <w:r w:rsidR="00314FB0">
          <w:rPr>
            <w:noProof/>
            <w:webHidden/>
          </w:rPr>
        </w:r>
        <w:r w:rsidR="00314FB0">
          <w:rPr>
            <w:noProof/>
            <w:webHidden/>
          </w:rPr>
          <w:fldChar w:fldCharType="separate"/>
        </w:r>
        <w:r w:rsidR="00314FB0">
          <w:rPr>
            <w:noProof/>
            <w:webHidden/>
          </w:rPr>
          <w:t>5</w:t>
        </w:r>
        <w:r w:rsidR="00314FB0">
          <w:rPr>
            <w:noProof/>
            <w:webHidden/>
          </w:rPr>
          <w:fldChar w:fldCharType="end"/>
        </w:r>
      </w:hyperlink>
    </w:p>
    <w:p w:rsidR="00314FB0" w:rsidRDefault="00314FB0" w:rsidP="00314FB0">
      <w:pPr>
        <w:pStyle w:val="1"/>
      </w:pPr>
      <w:r>
        <w:fldChar w:fldCharType="end"/>
      </w:r>
    </w:p>
    <w:p w:rsidR="00314FB0" w:rsidRDefault="00314FB0" w:rsidP="00314FB0">
      <w:pPr>
        <w:rPr>
          <w:rFonts w:eastAsiaTheme="majorEastAsia" w:cstheme="majorBidi"/>
          <w:sz w:val="36"/>
          <w:szCs w:val="28"/>
        </w:rPr>
      </w:pPr>
      <w:r>
        <w:br w:type="page"/>
      </w:r>
    </w:p>
    <w:p w:rsidR="00314FB0" w:rsidRDefault="00314FB0" w:rsidP="00314FB0">
      <w:pPr>
        <w:pStyle w:val="1"/>
      </w:pPr>
      <w:bookmarkStart w:id="0" w:name="_Toc533680508"/>
      <w:r>
        <w:lastRenderedPageBreak/>
        <w:t>Разработка кинематической схемы рулевого привода</w:t>
      </w:r>
      <w:bookmarkEnd w:id="0"/>
    </w:p>
    <w:p w:rsidR="00314FB0" w:rsidRPr="00DF1106" w:rsidRDefault="00314FB0" w:rsidP="00314FB0"/>
    <w:p w:rsidR="00314FB0" w:rsidRDefault="00314FB0" w:rsidP="00314FB0">
      <w:pPr>
        <w:ind w:firstLine="708"/>
      </w:pPr>
      <w:r>
        <w:t>Особенности при проектировании подвески зависят от типа и размера электромашины, а также от дополнительных агрегатов.</w:t>
      </w:r>
    </w:p>
    <w:p w:rsidR="00314FB0" w:rsidRDefault="00314FB0" w:rsidP="00314FB0">
      <w:pPr>
        <w:ind w:firstLine="708"/>
      </w:pPr>
      <w:r>
        <w:t xml:space="preserve">Существуют </w:t>
      </w:r>
      <w:proofErr w:type="gramStart"/>
      <w:r>
        <w:t>не</w:t>
      </w:r>
      <w:proofErr w:type="gramEnd"/>
      <w:r>
        <w:t xml:space="preserve"> сколько конструктивных подходов для проектирования рулевого привода. 1) Если колесо имеет большие размеры, то электромашину можно разместить внутри обода, но это может привести к значительному увеличению непосредственной массы, что приведет к ухудшению управляемости и устойчивости. Требуется переработка направляющего аппарата подвески, силовой структуры крепления элементов подвески, потребуются работы по оптимизации собственной частотной характеристики системы </w:t>
      </w:r>
      <w:proofErr w:type="spellStart"/>
      <w:r>
        <w:t>подрессования</w:t>
      </w:r>
      <w:proofErr w:type="spellEnd"/>
      <w:r>
        <w:t xml:space="preserve">. Данный конструктивный подход характерен для большегрузных автомобилей. 2) Если пространства внутри обода недостаточно и не удается скомпоновать электромашину вблизи колеса, то </w:t>
      </w:r>
      <w:proofErr w:type="gramStart"/>
      <w:r>
        <w:t>применяют привод электромашин к колёсам через оси в этом случае электромашины подрессорены</w:t>
      </w:r>
      <w:proofErr w:type="gramEnd"/>
      <w:r>
        <w:t xml:space="preserve"> и изолируются от кузова при помощи эластичных элементов.</w:t>
      </w:r>
    </w:p>
    <w:p w:rsidR="00314FB0" w:rsidRDefault="00314FB0" w:rsidP="00314FB0">
      <w:pPr>
        <w:ind w:firstLine="708"/>
      </w:pPr>
    </w:p>
    <w:p w:rsidR="00314FB0" w:rsidRDefault="00314FB0" w:rsidP="00314FB0">
      <w:r>
        <w:tab/>
        <w:t xml:space="preserve">Так как в данной диссертации рулевой привод колеса разрабатывается </w:t>
      </w:r>
      <w:proofErr w:type="gramStart"/>
      <w:r>
        <w:t>для</w:t>
      </w:r>
      <w:proofErr w:type="gramEnd"/>
      <w:r>
        <w:t xml:space="preserve"> большегрузного </w:t>
      </w:r>
      <w:proofErr w:type="spellStart"/>
      <w:r>
        <w:t>электротягача</w:t>
      </w:r>
      <w:proofErr w:type="spellEnd"/>
      <w:r>
        <w:t xml:space="preserve">. То было решено </w:t>
      </w:r>
      <w:proofErr w:type="gramStart"/>
      <w:r>
        <w:t>разместить электропривод</w:t>
      </w:r>
      <w:proofErr w:type="gramEnd"/>
      <w:r>
        <w:t xml:space="preserve"> поворота колеса разместить вне обода колеса, не увеличивая массу колеса. На рисунке </w:t>
      </w:r>
      <w:r>
        <w:rPr>
          <w:lang w:val="en-US"/>
        </w:rPr>
        <w:t xml:space="preserve">X </w:t>
      </w:r>
      <w:r>
        <w:t>изображена примерная кинематическая схема</w:t>
      </w:r>
      <w:r>
        <w:rPr>
          <w:lang w:val="en-US"/>
        </w:rPr>
        <w:t>.</w:t>
      </w:r>
    </w:p>
    <w:p w:rsidR="00C62983" w:rsidRPr="00C62983" w:rsidRDefault="00C62983" w:rsidP="00314FB0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14FB0" w:rsidTr="00C62983">
        <w:tc>
          <w:tcPr>
            <w:tcW w:w="9571" w:type="dxa"/>
          </w:tcPr>
          <w:p w:rsidR="00314FB0" w:rsidRDefault="00C62983" w:rsidP="00C62983">
            <w:pPr>
              <w:jc w:val="center"/>
              <w:rPr>
                <w:lang w:val="en-US"/>
              </w:rPr>
            </w:pPr>
            <w:r w:rsidRPr="00C62983">
              <w:drawing>
                <wp:inline distT="0" distB="0" distL="0" distR="0" wp14:anchorId="73ABE9BA" wp14:editId="25326C6C">
                  <wp:extent cx="5667375" cy="921848"/>
                  <wp:effectExtent l="0" t="0" r="0" b="0"/>
                  <wp:docPr id="3" name="Picture 2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0973" cy="922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FB0" w:rsidRPr="00DF1106" w:rsidTr="00C62983">
        <w:tc>
          <w:tcPr>
            <w:tcW w:w="9571" w:type="dxa"/>
          </w:tcPr>
          <w:p w:rsidR="00C62983" w:rsidRDefault="00C62983" w:rsidP="00DE00D0">
            <w:pPr>
              <w:jc w:val="center"/>
            </w:pPr>
          </w:p>
          <w:p w:rsidR="00314FB0" w:rsidRPr="00DF1106" w:rsidRDefault="00314FB0" w:rsidP="00DE00D0">
            <w:pPr>
              <w:jc w:val="center"/>
            </w:pPr>
            <w:r>
              <w:t>Рисунке</w:t>
            </w:r>
            <w:proofErr w:type="gramStart"/>
            <w:r>
              <w:t>1</w:t>
            </w:r>
            <w:proofErr w:type="gramEnd"/>
            <w:r>
              <w:t>. Кинематическая схема рулевого привода.</w:t>
            </w:r>
          </w:p>
        </w:tc>
      </w:tr>
    </w:tbl>
    <w:p w:rsidR="00314FB0" w:rsidRDefault="00314FB0" w:rsidP="00314FB0"/>
    <w:p w:rsidR="00314FB0" w:rsidRDefault="00314FB0" w:rsidP="00314FB0">
      <w:r>
        <w:br w:type="page"/>
      </w:r>
    </w:p>
    <w:p w:rsidR="00314FB0" w:rsidRDefault="00314FB0" w:rsidP="00314FB0">
      <w:pPr>
        <w:pStyle w:val="1"/>
      </w:pPr>
      <w:bookmarkStart w:id="1" w:name="_Toc533680509"/>
      <w:r>
        <w:lastRenderedPageBreak/>
        <w:t>Расчет потребной мощности для поворота колеса</w:t>
      </w:r>
      <w:bookmarkEnd w:id="1"/>
    </w:p>
    <w:p w:rsidR="00314FB0" w:rsidRDefault="00314FB0" w:rsidP="00314FB0">
      <w:pPr>
        <w:ind w:firstLine="708"/>
      </w:pPr>
      <w:proofErr w:type="gramStart"/>
      <w:r>
        <w:t>Движение любого колеса при повороте машины можно рассматривать состоящим из движения в направлении в продольной плоскостью оси, совпадающей с центральной продольной плоскостью колеса, и поворота относительно вертикальной оси на некоторый угол, увеличивающийся с увеличением кривизны траектории движения колеса.</w:t>
      </w:r>
      <w:proofErr w:type="gramEnd"/>
      <w:r>
        <w:t xml:space="preserve"> При малых углах поворота имеются лишь упругие деформации шины. При этом возникает момент сопротивления повороту, пропорциональный как углу поворота колеса в плоскости дороги, так и угловой жесткости шины в поперечной плоскости. </w:t>
      </w:r>
    </w:p>
    <w:p w:rsidR="00314FB0" w:rsidRPr="0098042D" w:rsidRDefault="00314FB0" w:rsidP="00314FB0">
      <w:pPr>
        <w:ind w:firstLine="708"/>
        <w:rPr>
          <w:lang w:val="en-US"/>
        </w:rPr>
      </w:pPr>
      <w:r>
        <w:t>Однако при углах поворота колеса, больше 2…3</w:t>
      </w:r>
      <w:r>
        <w:rPr>
          <w:rFonts w:cs="Times New Roman"/>
        </w:rPr>
        <w:t>°</w:t>
      </w:r>
      <w:r>
        <w:t xml:space="preserve">,происходит скольжение отпечатка шины по опорной поверхности, которое вызывает дополнительный момент сопротивления повороту колеса, зависящий от сцепления колеса с опорной поверхностью. </w:t>
      </w:r>
      <w:proofErr w:type="gramStart"/>
      <w:r>
        <w:t xml:space="preserve">Этот момент можно представить моментом пары сил сопротивления скольжению, представляющих собой равнодействующие сумм удельных сил сцепления, распределенных по всей площади </w:t>
      </w:r>
      <w:proofErr w:type="spellStart"/>
      <w:r>
        <w:t>отпечтка</w:t>
      </w:r>
      <w:proofErr w:type="spellEnd"/>
      <w:r>
        <w:t>, соответственно с различными для каждой пары плеч.</w:t>
      </w:r>
      <w:proofErr w:type="gramEnd"/>
      <w:r>
        <w:t xml:space="preserve"> Поэтому усилия для поворота колеса считается по формуле</w:t>
      </w:r>
      <w:r>
        <w:rPr>
          <w:lang w:val="en-US"/>
        </w:rPr>
        <w:t>:</w:t>
      </w:r>
    </w:p>
    <w:p w:rsidR="00314FB0" w:rsidRPr="0098042D" w:rsidRDefault="00BD67E1" w:rsidP="00314FB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 xml:space="preserve">пк 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=0,375∙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φ∙P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e>
          </m:rad>
        </m:oMath>
      </m:oMathPara>
    </w:p>
    <w:p w:rsidR="00314FB0" w:rsidRDefault="00314FB0" w:rsidP="00314FB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98042D">
        <w:rPr>
          <w:rFonts w:eastAsiaTheme="minorEastAsia"/>
        </w:rPr>
        <w:softHyphen/>
        <w:t xml:space="preserve"> </w:t>
      </w:r>
      <w:r w:rsidRPr="0098042D">
        <w:rPr>
          <w:rFonts w:eastAsiaTheme="minorEastAsia"/>
        </w:rPr>
        <w:softHyphen/>
        <w:t xml:space="preserve">– </w:t>
      </w:r>
      <w:r>
        <w:rPr>
          <w:rFonts w:eastAsiaTheme="minorEastAsia"/>
        </w:rPr>
        <w:t xml:space="preserve">площадь отпечатка, имеющего эллиптическую форму,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Pr="008F51F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F51F1">
        <w:rPr>
          <w:rFonts w:eastAsiaTheme="minorEastAsia"/>
        </w:rPr>
        <w:t xml:space="preserve"> </w:t>
      </w:r>
      <w:r>
        <w:rPr>
          <w:rFonts w:eastAsiaTheme="minorEastAsia"/>
        </w:rPr>
        <w:t>суммарная векторная сумма сил приложенных к колесу</w:t>
      </w:r>
      <w:r w:rsidRPr="008F51F1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φ</m:t>
        </m:r>
      </m:oMath>
      <w:r w:rsidRPr="008F51F1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 сцепления.</w:t>
      </w:r>
    </w:p>
    <w:p w:rsidR="00314FB0" w:rsidRPr="00350A77" w:rsidRDefault="00314FB0" w:rsidP="00314FB0">
      <w:pPr>
        <w:rPr>
          <w:rFonts w:eastAsiaTheme="minorEastAsia"/>
        </w:rPr>
      </w:pPr>
      <w:r>
        <w:rPr>
          <w:rFonts w:eastAsiaTheme="minorEastAsia"/>
        </w:rPr>
        <w:t>Для расчета площади отпечатка колеса необходимы параметры колеса. По ГОСТ 5513-97 «Шины пневматические для грузовых автомобилей, прицепов к ним, автобусов и троллейбусов» выбран размер 425</w:t>
      </w:r>
      <w:r w:rsidRPr="00623663">
        <w:rPr>
          <w:rFonts w:eastAsiaTheme="minorEastAsia"/>
        </w:rPr>
        <w:t>/65</w:t>
      </w:r>
      <w:r>
        <w:rPr>
          <w:rFonts w:eastAsiaTheme="minorEastAsia"/>
          <w:lang w:val="en-US"/>
        </w:rPr>
        <w:t>R</w:t>
      </w:r>
      <w:r>
        <w:rPr>
          <w:rFonts w:eastAsiaTheme="minorEastAsia"/>
        </w:rPr>
        <w:t>22</w:t>
      </w:r>
      <w:r w:rsidRPr="00623663">
        <w:rPr>
          <w:rFonts w:eastAsiaTheme="minorEastAsia"/>
        </w:rPr>
        <w:t>,5</w:t>
      </w:r>
      <w:r w:rsidRPr="000F0CF1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наружный диаметр – </w:t>
      </w:r>
      <w:r w:rsidRPr="00623663">
        <w:rPr>
          <w:rFonts w:eastAsiaTheme="minorEastAsia"/>
        </w:rPr>
        <w:t>1122</w:t>
      </w:r>
      <w:r>
        <w:rPr>
          <w:rFonts w:eastAsiaTheme="minorEastAsia"/>
        </w:rPr>
        <w:t xml:space="preserve"> мм, ширина профиля – </w:t>
      </w:r>
      <w:r w:rsidRPr="00623663">
        <w:rPr>
          <w:rFonts w:eastAsiaTheme="minorEastAsia"/>
        </w:rPr>
        <w:t>425</w:t>
      </w:r>
      <w:r>
        <w:rPr>
          <w:rFonts w:eastAsiaTheme="minorEastAsia"/>
        </w:rPr>
        <w:t xml:space="preserve"> мм, статический радиус – </w:t>
      </w:r>
      <w:r w:rsidRPr="00623663">
        <w:rPr>
          <w:rFonts w:eastAsiaTheme="minorEastAsia"/>
        </w:rPr>
        <w:t>525</w:t>
      </w:r>
      <w:r>
        <w:rPr>
          <w:rFonts w:eastAsiaTheme="minorEastAsia"/>
        </w:rPr>
        <w:t xml:space="preserve"> мм, максимально допустимая нагрузка для одинарных колес – 50,52 </w:t>
      </w:r>
      <w:proofErr w:type="spellStart"/>
      <w:r>
        <w:rPr>
          <w:rFonts w:eastAsiaTheme="minorEastAsia"/>
        </w:rPr>
        <w:t>кН.</w:t>
      </w:r>
      <w:proofErr w:type="spellEnd"/>
      <w:r>
        <w:rPr>
          <w:rFonts w:eastAsiaTheme="minorEastAsia"/>
        </w:rPr>
        <w:t xml:space="preserve"> Для определения пятна</w:t>
      </w:r>
    </w:p>
    <w:p w:rsidR="00314FB0" w:rsidRPr="000F0CF1" w:rsidRDefault="00314FB0" w:rsidP="00314FB0">
      <w:pPr>
        <w:rPr>
          <w:rFonts w:eastAsiaTheme="minorEastAsia"/>
        </w:rPr>
      </w:pPr>
      <w:r>
        <w:rPr>
          <w:rFonts w:eastAsiaTheme="minorEastAsia"/>
        </w:rPr>
        <w:t>Поэтому площадь отпечатка колеса рассчитывается по формуле</w:t>
      </w:r>
      <w:r w:rsidRPr="000F0CF1">
        <w:rPr>
          <w:rFonts w:eastAsiaTheme="minorEastAsia"/>
        </w:rPr>
        <w:t>:</w:t>
      </w:r>
    </w:p>
    <w:p w:rsidR="00314FB0" w:rsidRPr="00B43BDE" w:rsidRDefault="00BD67E1" w:rsidP="00314FB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3,14∙425∙70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=23,353∙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 xml:space="preserve"> м </m:t>
          </m:r>
        </m:oMath>
      </m:oMathPara>
    </w:p>
    <w:p w:rsidR="00314FB0" w:rsidRPr="00B43BDE" w:rsidRDefault="00314FB0" w:rsidP="00314FB0">
      <w:pPr>
        <w:rPr>
          <w:rFonts w:eastAsiaTheme="minorEastAsia"/>
        </w:rPr>
      </w:pPr>
      <w:r>
        <w:rPr>
          <w:rFonts w:eastAsiaTheme="minorEastAsia"/>
        </w:rPr>
        <w:t>Значит необходимое усилие для поворота колеса равно</w:t>
      </w:r>
      <w:r w:rsidRPr="00B43BDE">
        <w:rPr>
          <w:rFonts w:eastAsiaTheme="minorEastAsia"/>
        </w:rPr>
        <w:t>:</w:t>
      </w:r>
    </w:p>
    <w:p w:rsidR="00314FB0" w:rsidRPr="00B43BDE" w:rsidRDefault="00BD67E1" w:rsidP="00314FB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 xml:space="preserve">пк 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=0,375∙0,5∙50,52∙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23,353∙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e>
          </m:rad>
          <m:r>
            <w:rPr>
              <w:rFonts w:ascii="Cambria Math" w:hAnsi="Cambria Math"/>
            </w:rPr>
            <m:t>=1447,557</m:t>
          </m:r>
          <m:r>
            <w:rPr>
              <w:rFonts w:ascii="Cambria Math" w:eastAsiaTheme="minorEastAsia" w:hAnsi="Cambria Math"/>
            </w:rPr>
            <m:t xml:space="preserve"> Нм</m:t>
          </m:r>
        </m:oMath>
      </m:oMathPara>
    </w:p>
    <w:p w:rsidR="00314FB0" w:rsidRDefault="00314FB0" w:rsidP="00314FB0">
      <w:pPr>
        <w:rPr>
          <w:rFonts w:cs="Times New Roman"/>
        </w:rPr>
      </w:pPr>
      <w:r>
        <w:rPr>
          <w:rFonts w:eastAsiaTheme="minorEastAsia"/>
        </w:rPr>
        <w:t>Задаемся скоростью поворота колеса для данного колеса</w:t>
      </w:r>
      <w:r w:rsidRPr="00B43BDE">
        <w:rPr>
          <w:rFonts w:eastAsiaTheme="minorEastAsia"/>
        </w:rPr>
        <w:t xml:space="preserve">. </w:t>
      </w:r>
      <w:r>
        <w:rPr>
          <w:rFonts w:eastAsiaTheme="minorEastAsia"/>
        </w:rPr>
        <w:t>Так как максимальный угол поворота составляет 30</w:t>
      </w:r>
      <w:r>
        <w:rPr>
          <w:rFonts w:cs="Times New Roman"/>
        </w:rPr>
        <w:t xml:space="preserve">° и максимальное время 1с. </w:t>
      </w:r>
    </w:p>
    <w:p w:rsidR="00314FB0" w:rsidRDefault="00314FB0" w:rsidP="00314FB0">
      <w:r>
        <w:br w:type="page"/>
      </w:r>
    </w:p>
    <w:p w:rsidR="00314FB0" w:rsidRPr="00861FB0" w:rsidRDefault="00314FB0" w:rsidP="00314FB0">
      <w:pPr>
        <w:rPr>
          <w:rFonts w:cs="Times New Roman"/>
        </w:rPr>
      </w:pPr>
      <w:r>
        <w:rPr>
          <w:rFonts w:cs="Times New Roman"/>
        </w:rPr>
        <w:lastRenderedPageBreak/>
        <w:t>Поэтому максимальная скорость поворота колеса равна</w:t>
      </w:r>
      <w:r w:rsidRPr="00861FB0">
        <w:rPr>
          <w:rFonts w:cs="Times New Roman"/>
        </w:rPr>
        <w:t>:</w:t>
      </w:r>
    </w:p>
    <w:p w:rsidR="00314FB0" w:rsidRPr="00861FB0" w:rsidRDefault="00314FB0" w:rsidP="00314FB0">
      <w:pPr>
        <w:rPr>
          <w:rFonts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</w:rPr>
            <m:t>ω=φ∙t=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30∙π</m:t>
              </m:r>
            </m:num>
            <m:den>
              <m:r>
                <w:rPr>
                  <w:rFonts w:ascii="Cambria Math" w:hAnsi="Cambria Math" w:cs="Times New Roman"/>
                </w:rPr>
                <m:t>360</m:t>
              </m:r>
            </m:den>
          </m:f>
          <m:r>
            <w:rPr>
              <w:rFonts w:ascii="Cambria Math" w:hAnsi="Cambria Math" w:cs="Times New Roman"/>
            </w:rPr>
            <m:t>∙1=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</w:rPr>
                <m:t>12</m:t>
              </m:r>
            </m:den>
          </m:f>
        </m:oMath>
      </m:oMathPara>
    </w:p>
    <w:p w:rsidR="00314FB0" w:rsidRPr="00861FB0" w:rsidRDefault="00314FB0" w:rsidP="00314FB0">
      <w:pPr>
        <w:rPr>
          <w:rFonts w:cs="Times New Roman"/>
        </w:rPr>
      </w:pPr>
    </w:p>
    <w:p w:rsidR="00314FB0" w:rsidRPr="00861FB0" w:rsidRDefault="00314FB0" w:rsidP="00314FB0">
      <w:r>
        <w:t>Рассчитываем механическую мощность</w:t>
      </w:r>
      <w:r w:rsidRPr="00861FB0">
        <w:t>:</w:t>
      </w:r>
    </w:p>
    <w:p w:rsidR="00314FB0" w:rsidRPr="00861FB0" w:rsidRDefault="00BD67E1" w:rsidP="00314FB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мех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=ω∙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к 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hAnsi="Cambria Math"/>
            </w:rPr>
            <m:t>1447,557</m:t>
          </m:r>
          <m:r>
            <w:rPr>
              <w:rFonts w:ascii="Cambria Math" w:eastAsiaTheme="minorEastAsia" w:hAnsi="Cambria Math"/>
            </w:rPr>
            <m:t>=378,77 Вт</m:t>
          </m:r>
        </m:oMath>
      </m:oMathPara>
    </w:p>
    <w:p w:rsidR="00314FB0" w:rsidRDefault="00314FB0" w:rsidP="00314FB0">
      <w:pPr>
        <w:jc w:val="left"/>
      </w:pPr>
      <w:r>
        <w:t>Значит максимальная мощность для ситуации, когда колесо поворачивается на месте равно 378,77 Вт.</w:t>
      </w:r>
      <w:r>
        <w:br w:type="page"/>
      </w:r>
      <w:bookmarkStart w:id="2" w:name="_GoBack"/>
      <w:bookmarkEnd w:id="2"/>
    </w:p>
    <w:p w:rsidR="00314FB0" w:rsidRPr="00397F35" w:rsidRDefault="00314FB0" w:rsidP="00314FB0">
      <w:pPr>
        <w:pStyle w:val="1"/>
      </w:pPr>
      <w:bookmarkStart w:id="3" w:name="_Toc533680510"/>
      <w:r>
        <w:lastRenderedPageBreak/>
        <w:t>Список используемой литературы</w:t>
      </w:r>
      <w:bookmarkEnd w:id="3"/>
    </w:p>
    <w:p w:rsidR="00314FB0" w:rsidRDefault="00314FB0" w:rsidP="00314FB0">
      <w:pPr>
        <w:pStyle w:val="a5"/>
        <w:numPr>
          <w:ilvl w:val="0"/>
          <w:numId w:val="1"/>
        </w:numPr>
      </w:pPr>
      <w:proofErr w:type="spellStart"/>
      <w:r>
        <w:t>И.Балабин</w:t>
      </w:r>
      <w:proofErr w:type="gramStart"/>
      <w:r>
        <w:t>,В</w:t>
      </w:r>
      <w:proofErr w:type="gramEnd"/>
      <w:r>
        <w:t>.Путин</w:t>
      </w:r>
      <w:proofErr w:type="spellEnd"/>
      <w:r>
        <w:t xml:space="preserve"> «Автомобильные колеса и тракторные колеса» 1963 г.</w:t>
      </w:r>
    </w:p>
    <w:p w:rsidR="00314FB0" w:rsidRDefault="00314FB0" w:rsidP="00314FB0">
      <w:pPr>
        <w:pStyle w:val="a5"/>
        <w:numPr>
          <w:ilvl w:val="0"/>
          <w:numId w:val="1"/>
        </w:numPr>
      </w:pPr>
      <w:r>
        <w:t xml:space="preserve">Г.А. Смирнов « Теория движения колесных </w:t>
      </w:r>
      <w:proofErr w:type="gramStart"/>
      <w:r>
        <w:t>движениях</w:t>
      </w:r>
      <w:proofErr w:type="gramEnd"/>
      <w:r>
        <w:t>» 1990 г.</w:t>
      </w:r>
    </w:p>
    <w:p w:rsidR="00314FB0" w:rsidRPr="00397F35" w:rsidRDefault="00314FB0" w:rsidP="00314FB0">
      <w:pPr>
        <w:pStyle w:val="a5"/>
        <w:numPr>
          <w:ilvl w:val="0"/>
          <w:numId w:val="1"/>
        </w:numPr>
      </w:pPr>
      <w:proofErr w:type="spellStart"/>
      <w:r>
        <w:t>А.И.Бокарев</w:t>
      </w:r>
      <w:proofErr w:type="spellEnd"/>
      <w:r>
        <w:t xml:space="preserve"> Статья « перспективы использования индивидуального регулируемого силового электропривода в системах активной безопасности» 2015 г.</w:t>
      </w:r>
    </w:p>
    <w:p w:rsidR="00290F2D" w:rsidRDefault="00290F2D"/>
    <w:sectPr w:rsidR="00290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13F0B"/>
    <w:multiLevelType w:val="hybridMultilevel"/>
    <w:tmpl w:val="90CED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037"/>
    <w:rsid w:val="00290F2D"/>
    <w:rsid w:val="00314FB0"/>
    <w:rsid w:val="006B1037"/>
    <w:rsid w:val="00BD67E1"/>
    <w:rsid w:val="00C6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FB0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14FB0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4FB0"/>
    <w:rPr>
      <w:rFonts w:ascii="Times New Roman" w:eastAsiaTheme="majorEastAsia" w:hAnsi="Times New Roman" w:cstheme="majorBidi"/>
      <w:b/>
      <w:bCs/>
      <w:sz w:val="36"/>
      <w:szCs w:val="28"/>
    </w:rPr>
  </w:style>
  <w:style w:type="table" w:styleId="a3">
    <w:name w:val="Table Grid"/>
    <w:basedOn w:val="a1"/>
    <w:uiPriority w:val="39"/>
    <w:rsid w:val="00314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314FB0"/>
    <w:pPr>
      <w:tabs>
        <w:tab w:val="right" w:leader="dot" w:pos="9345"/>
      </w:tabs>
      <w:spacing w:after="100"/>
      <w:jc w:val="center"/>
    </w:pPr>
  </w:style>
  <w:style w:type="character" w:styleId="a4">
    <w:name w:val="Hyperlink"/>
    <w:basedOn w:val="a0"/>
    <w:uiPriority w:val="99"/>
    <w:unhideWhenUsed/>
    <w:rsid w:val="00314FB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14FB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14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4F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FB0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14FB0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4FB0"/>
    <w:rPr>
      <w:rFonts w:ascii="Times New Roman" w:eastAsiaTheme="majorEastAsia" w:hAnsi="Times New Roman" w:cstheme="majorBidi"/>
      <w:b/>
      <w:bCs/>
      <w:sz w:val="36"/>
      <w:szCs w:val="28"/>
    </w:rPr>
  </w:style>
  <w:style w:type="table" w:styleId="a3">
    <w:name w:val="Table Grid"/>
    <w:basedOn w:val="a1"/>
    <w:uiPriority w:val="39"/>
    <w:rsid w:val="00314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314FB0"/>
    <w:pPr>
      <w:tabs>
        <w:tab w:val="right" w:leader="dot" w:pos="9345"/>
      </w:tabs>
      <w:spacing w:after="100"/>
      <w:jc w:val="center"/>
    </w:pPr>
  </w:style>
  <w:style w:type="character" w:styleId="a4">
    <w:name w:val="Hyperlink"/>
    <w:basedOn w:val="a0"/>
    <w:uiPriority w:val="99"/>
    <w:unhideWhenUsed/>
    <w:rsid w:val="00314FB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14FB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14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4F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 Раевская</cp:lastModifiedBy>
  <cp:revision>4</cp:revision>
  <dcterms:created xsi:type="dcterms:W3CDTF">2018-12-27T11:55:00Z</dcterms:created>
  <dcterms:modified xsi:type="dcterms:W3CDTF">2019-03-23T17:44:00Z</dcterms:modified>
</cp:coreProperties>
</file>