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35.99999999999994" w:lineRule="auto"/>
        <w:jc w:val="center"/>
        <w:rPr>
          <w:rFonts w:ascii="Georgia" w:cs="Georgia" w:eastAsia="Georgia" w:hAnsi="Georgia"/>
          <w:b w:val="1"/>
          <w:bCs w:val="1"/>
          <w:sz w:val="64"/>
          <w:szCs w:val="64"/>
        </w:rPr>
      </w:pPr>
      <w:bookmarkStart w:colFirst="0" w:colLast="0" w:name="_g04q6lps1pap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64"/>
          <w:szCs w:val="64"/>
          <w:rtl w:val="0"/>
        </w:rPr>
        <w:t xml:space="preserve">Risk Management Plan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962025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1371600</wp:posOffset>
            </wp:positionV>
            <wp:extent cx="5731200" cy="1714500"/>
            <wp:effectExtent b="0" l="0" r="0" t="0"/>
            <wp:wrapSquare wrapText="bothSides" distB="57150" distT="57150" distL="57150" distR="571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2551914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tj5zxygp33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f44g12niacj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Dettagli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Versione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06/01/2025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Membri del team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Destinatario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Prof.ssa Filomena Ferrucci</w:t>
              <w:br w:type="textWrapping"/>
              <w:t xml:space="preserve">Prof. Carmine Gravino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Presentato da 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Approvato da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b69htw63s0ga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Autori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Versione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06 Gennaio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Prima stesura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09 Gennaio 2025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Seconda stesura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11 Gennaio 2025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Modifica Stile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2.1</w:t>
            </w:r>
          </w:p>
        </w:tc>
      </w:tr>
    </w:tbl>
    <w:p w:rsidR="00000000" w:rsidDel="00000000" w:rsidP="00000000" w:rsidRDefault="00000000" w:rsidRPr="00000000" w14:paraId="0000002F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cnkymxv4863u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88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250"/>
        <w:gridCol w:w="6630"/>
        <w:tblGridChange w:id="0">
          <w:tblGrid>
            <w:gridCol w:w="225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m.cascone48@studenti.unisa.it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sjar3m46clwa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Sommario</w:t>
      </w:r>
    </w:p>
    <w:sdt>
      <w:sdtPr>
        <w:id w:val="21417225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69htw63s0ga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Revision History</w:t>
              <w:tab/>
            </w:r>
          </w:hyperlink>
          <w:r w:rsidDel="00000000" w:rsidR="00000000" w:rsidRPr="00000000">
            <w:fldChar w:fldCharType="begin"/>
            <w:instrText xml:space="preserve"> PAGEREF _b69htw63s0ga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cnkymxv4863u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Project Manager</w:t>
              <w:tab/>
            </w:r>
          </w:hyperlink>
          <w:r w:rsidDel="00000000" w:rsidR="00000000" w:rsidRPr="00000000">
            <w:fldChar w:fldCharType="begin"/>
            <w:instrText xml:space="preserve"> PAGEREF _cnkymxv4863u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sjar3m46clwa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Sommario</w:t>
              <w:tab/>
            </w:r>
          </w:hyperlink>
          <w:r w:rsidDel="00000000" w:rsidR="00000000" w:rsidRPr="00000000">
            <w:fldChar w:fldCharType="begin"/>
            <w:instrText xml:space="preserve"> PAGEREF _sjar3m46clwa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bqwz9fqhrmof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Introduzione</w:t>
              <w:tab/>
            </w:r>
          </w:hyperlink>
          <w:r w:rsidDel="00000000" w:rsidR="00000000" w:rsidRPr="00000000">
            <w:fldChar w:fldCharType="begin"/>
            <w:instrText xml:space="preserve"> PAGEREF _bqwz9fqhrmof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gde2wohxcys9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Obiettivi del Risk Management Plan</w:t>
              <w:tab/>
            </w:r>
          </w:hyperlink>
          <w:r w:rsidDel="00000000" w:rsidR="00000000" w:rsidRPr="00000000">
            <w:fldChar w:fldCharType="begin"/>
            <w:instrText xml:space="preserve"> PAGEREF _gde2wohxcys9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xsq7mof0b8ku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Ruoli e Responsabilità</w:t>
              <w:tab/>
            </w:r>
          </w:hyperlink>
          <w:r w:rsidDel="00000000" w:rsidR="00000000" w:rsidRPr="00000000">
            <w:fldChar w:fldCharType="begin"/>
            <w:instrText xml:space="preserve"> PAGEREF _xsq7mof0b8ku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p44elet05ng7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Budget e Schedule</w:t>
              <w:tab/>
            </w:r>
          </w:hyperlink>
          <w:r w:rsidDel="00000000" w:rsidR="00000000" w:rsidRPr="00000000">
            <w:fldChar w:fldCharType="begin"/>
            <w:instrText xml:space="preserve"> PAGEREF _p44elet05ng7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6qy1g5uui2bb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Categorie e Rischi</w:t>
              <w:tab/>
            </w:r>
          </w:hyperlink>
          <w:r w:rsidDel="00000000" w:rsidR="00000000" w:rsidRPr="00000000">
            <w:fldChar w:fldCharType="begin"/>
            <w:instrText xml:space="preserve"> PAGEREF _6qy1g5uui2bb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grfvx1y08ghj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Probabilità e impatto dei rischi</w:t>
              <w:tab/>
            </w:r>
          </w:hyperlink>
          <w:r w:rsidDel="00000000" w:rsidR="00000000" w:rsidRPr="00000000">
            <w:fldChar w:fldCharType="begin"/>
            <w:instrText xml:space="preserve"> PAGEREF _grfvx1y08ghj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v7373js8tx0g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Risk Breakdown Structure (RBS)</w:t>
              <w:tab/>
            </w:r>
          </w:hyperlink>
          <w:r w:rsidDel="00000000" w:rsidR="00000000" w:rsidRPr="00000000">
            <w:fldChar w:fldCharType="begin"/>
            <w:instrText xml:space="preserve"> PAGEREF _v7373js8tx0g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g13o5r421dx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Strategie di risposta ai rischi</w:t>
              <w:tab/>
            </w:r>
          </w:hyperlink>
          <w:r w:rsidDel="00000000" w:rsidR="00000000" w:rsidRPr="00000000">
            <w:fldChar w:fldCharType="begin"/>
            <w:instrText xml:space="preserve"> PAGEREF _g13o5r421dx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ih8rse213zv4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Monitoraggio e Revisione</w:t>
              <w:tab/>
            </w:r>
          </w:hyperlink>
          <w:r w:rsidDel="00000000" w:rsidR="00000000" w:rsidRPr="00000000">
            <w:fldChar w:fldCharType="begin"/>
            <w:instrText xml:space="preserve"> PAGEREF _ih8rse213zv4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2zytcdfxlrs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bqwz9fqhrmof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Introduzione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Questo Risk Management Plan descrive l'approccio, i processi e gli strumenti utilizzati per gestire i rischi del progetto "Harmonia", un'applicazione concepita per potenziare l'apprendimento, il supporto e il monitoraggio delle persone nello spettro autistico. Lo scopo è identificare, analizzare e mitigare i rischi che potrebbero compromettere gli obiettivi del progetto, garantendo una gestione proattiva.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gde2wohxcys9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Obiettivi del Risk Management Plan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Identificare e classificare i rischi potenziali.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Valutare la probabilità e l'impatto dei rischi.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Definire strategie di mitigazione e piani di risposta.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Monitorare e aggiornare il piano di gestione dei rischi durante tutto il ciclo di vita del progetto.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xsq7mof0b8ku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Ruoli e Responsabilità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Project Manager: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Responsabile generale della gestione dei rischi; supervisiona l'intero processo.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Risk Manager: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Monitora i rischi, aggiorna il registro dei rischi e implementa i piani di risposta.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Team Tecnico: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Identifica e segnala rischi tecnici legati allo sviluppo e alla sicurezza.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Specialisti in GDPR e Sicurezza dei Dati: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Valutano rischi legati alla conformità normativa. (NB: Gli sviluppatori si occuperanno anche del rispetto e dell'applicazione delle normative del GDPR)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Stakeholder (FIA, INDIRE, centri di ricerca):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Forniscono input strategici sui rischi e approvano le risposte ai rischi.</w:t>
      </w:r>
    </w:p>
    <w:p w:rsidR="00000000" w:rsidDel="00000000" w:rsidP="00000000" w:rsidRDefault="00000000" w:rsidRPr="00000000" w14:paraId="00000056">
      <w:pPr>
        <w:pStyle w:val="Heading1"/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p44elet05ng7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Budget e Schedule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Allocazione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10% del budget totale del progetto è riservato per la gestione dei rischi, incluso lo sviluppo di soluzioni e la formazione.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Ripartizione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Identificazione e analisi: 30%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Mitigazione (strumenti e soluzioni): 50%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Monitoraggio e aggiornamento: 20%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6qy1g5uui2bb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Categorie e Rischi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523875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 rischi individuati potranno ricadere all’interno di una delle seguenti categorie: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Tecnologici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Bug software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Integrazione AI-driven non funzionale (Modulo per MBTI)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Sicurezza dei dati non conforme al GDPR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Legali e normativi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Mancata conformità alle normative GDPR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Violazione della proprietà intellettuale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Operativi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Ritardi nello sviluppo dei moduli educativi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Bassa adozione da parte degli utenti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Finanziari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Superamento del budget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Investimenti non sufficienti per il marketing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Sociali e culturali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Mancata accettazione dell’app da parte degli utenti target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Problemi di usabilità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Team: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before="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Calo di produttività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before="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Calo di motivazione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before="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Problemi di comunicazione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before="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Conflitti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before="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Abbandono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Ogni rischio sarà descritto da: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 ID univoco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 nome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Una probabilità che il rischio si verifichi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Impatto sul lavoro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grfvx1y08ghj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Probabilità e impatto dei rischi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590"/>
        <w:gridCol w:w="1530"/>
        <w:gridCol w:w="1380"/>
        <w:gridCol w:w="1500"/>
        <w:gridCol w:w="1500"/>
        <w:gridCol w:w="1500"/>
        <w:tblGridChange w:id="0">
          <w:tblGrid>
            <w:gridCol w:w="1590"/>
            <w:gridCol w:w="1530"/>
            <w:gridCol w:w="138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Rischio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Probabilità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Impatto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Priorità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Strategie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Tecnologico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Bug software critico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Critico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Test continui e revisione del codice.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Problemi di integrazione AI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Critico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Backup e fallback pianificati.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Legale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Non conformità al GDPR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Critico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Audit regolari e consulenza con esperti.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Operativo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Ritardi nello sviluppo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Buffer temporale e gestione agile.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Finanziario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Superamento del budget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Bassa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Monitoraggio continuo delle spese.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Sociale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Mancata adozione dell’app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Critico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Campagne di sensibilizzazione e marketing mirato.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Problemi di usabilità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Critico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Test e iterazioni basati sul feedback degli utenti.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Team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Calo di produttività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Pianificazione accurata e monitoraggio delle performance.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Calo di motivazione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Incentivi e riconoscimenti per il team.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Problemi di comunicazione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Strumenti di comunicazione efficaci e riunioni regolari.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Conflitti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Gestione dei conflitti e team building.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Abbandono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Bassa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Documentazione chiara e piani di successione per i ruoli chiave.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v7373js8tx0g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Risk Breakdown Structure (RBS)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371475</wp:posOffset>
            </wp:positionV>
            <wp:extent cx="6300788" cy="1745116"/>
            <wp:effectExtent b="0" l="0" r="0" t="0"/>
            <wp:wrapSquare wrapText="bothSides" distB="114300" distT="114300" distL="114300" distR="11430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17451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g13o5r421dx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Strategie di risposta ai rischi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Evitare: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Modulare attentamente i tempi di sviluppo per evitare ritardi critici.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Mitigare: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Effettuare test continui per identificare e correggere bug software.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Accettare: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Monitorare la bassa probabilità di superamento del budget, accettando rischi minimi.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240" w:before="240" w:lineRule="auto"/>
        <w:jc w:val="both"/>
        <w:rPr>
          <w:rFonts w:ascii="Georgia" w:cs="Georgia" w:eastAsia="Georgia" w:hAnsi="Georgia"/>
          <w:b w:val="1"/>
          <w:bCs w:val="1"/>
          <w:sz w:val="40"/>
          <w:szCs w:val="40"/>
        </w:rPr>
      </w:pPr>
      <w:bookmarkStart w:colFirst="0" w:colLast="0" w:name="_ih8rse213zv4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onitoraggio e Revisione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Revisione mensile del registro dei rischi (Risk Register).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Meeting settimanale per aggiornamenti su rischi critici.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Aggiornamento continuo della RBS e delle priorità.</w:t>
      </w:r>
    </w:p>
    <w:p w:rsidR="00000000" w:rsidDel="00000000" w:rsidP="00000000" w:rsidRDefault="00000000" w:rsidRPr="00000000" w14:paraId="000000D8">
      <w:pPr>
        <w:spacing w:after="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Nel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Risk Register,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consultabile durante riunioni settimanali di aggiornamento, revisioni mensili del piano di progetto ed eventuali valutazioni da parte degli stakeholder per prendere decisioni strategiche, ogni rischio è classificato, analizzato e monitorato ed include informazioni su: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Descrizione del rischio;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Categoria;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Probabilità;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Impatto;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Responsabile;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Strategia di risposta e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Stato attuale.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